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C9" w:rsidRDefault="006815C9">
      <w:pPr>
        <w:spacing w:before="120"/>
        <w:rPr>
          <w:rFonts w:ascii="Arial" w:hAnsi="Arial" w:cs="Arial"/>
        </w:rPr>
      </w:pPr>
      <w:bookmarkStart w:id="0" w:name="_Toc44738651"/>
      <w:r>
        <w:rPr>
          <w:rFonts w:ascii="Arial" w:hAnsi="Arial" w:cs="Arial"/>
        </w:rPr>
        <w:t>Australian Capital Territory</w:t>
      </w:r>
    </w:p>
    <w:p w:rsidR="00CD510E" w:rsidRDefault="00C5026C" w:rsidP="00FA4648">
      <w:pPr>
        <w:pStyle w:val="Billname"/>
        <w:tabs>
          <w:tab w:val="clear" w:pos="2400"/>
          <w:tab w:val="clear" w:pos="2880"/>
        </w:tabs>
        <w:spacing w:before="700"/>
      </w:pPr>
      <w:r w:rsidRPr="00C5026C">
        <w:t>Energy Efficiency (Cost of Living) Improvement (Priority Household</w:t>
      </w:r>
      <w:r w:rsidR="00ED0017">
        <w:t xml:space="preserve"> </w:t>
      </w:r>
      <w:r w:rsidRPr="00C5026C">
        <w:t>Target) Determination 201</w:t>
      </w:r>
      <w:r w:rsidR="00BF5C31">
        <w:t>9</w:t>
      </w:r>
      <w:r w:rsidRPr="00C5026C">
        <w:t xml:space="preserve"> </w:t>
      </w:r>
    </w:p>
    <w:p w:rsidR="006815C9" w:rsidRPr="005259FD" w:rsidRDefault="009D5972" w:rsidP="00FA4648">
      <w:pPr>
        <w:pStyle w:val="Billname"/>
        <w:tabs>
          <w:tab w:val="clear" w:pos="2400"/>
          <w:tab w:val="clear" w:pos="2880"/>
        </w:tabs>
        <w:spacing w:before="340" w:after="0"/>
        <w:rPr>
          <w:rFonts w:cs="Arial"/>
          <w:b w:val="0"/>
          <w:bCs/>
          <w:sz w:val="24"/>
          <w:szCs w:val="24"/>
        </w:rPr>
      </w:pPr>
      <w:r w:rsidRPr="005259FD">
        <w:rPr>
          <w:rFonts w:cs="Arial"/>
          <w:bCs/>
          <w:sz w:val="24"/>
          <w:szCs w:val="24"/>
        </w:rPr>
        <w:t>Disallowable instrument DI201</w:t>
      </w:r>
      <w:r w:rsidR="00BF5C31">
        <w:rPr>
          <w:rFonts w:cs="Arial"/>
          <w:bCs/>
          <w:sz w:val="24"/>
          <w:szCs w:val="24"/>
        </w:rPr>
        <w:t>9</w:t>
      </w:r>
      <w:r w:rsidR="00476F1D">
        <w:rPr>
          <w:rFonts w:cs="Arial"/>
          <w:bCs/>
          <w:sz w:val="24"/>
          <w:szCs w:val="24"/>
        </w:rPr>
        <w:t>—</w:t>
      </w:r>
      <w:bookmarkStart w:id="1" w:name="_GoBack"/>
      <w:bookmarkEnd w:id="1"/>
      <w:r w:rsidR="00FD5649">
        <w:rPr>
          <w:rFonts w:cs="Arial"/>
          <w:bCs/>
          <w:sz w:val="24"/>
          <w:szCs w:val="24"/>
        </w:rPr>
        <w:t>75</w:t>
      </w:r>
    </w:p>
    <w:p w:rsidR="006815C9" w:rsidRDefault="006815C9" w:rsidP="00091D34">
      <w:pPr>
        <w:pStyle w:val="madeunder"/>
        <w:spacing w:before="300" w:after="0"/>
      </w:pPr>
      <w:r>
        <w:t xml:space="preserve">made under the  </w:t>
      </w:r>
    </w:p>
    <w:p w:rsidR="006815C9" w:rsidRDefault="00C5026C" w:rsidP="009C7485">
      <w:pPr>
        <w:pStyle w:val="CoverActName"/>
        <w:spacing w:before="320" w:after="0"/>
        <w:jc w:val="left"/>
        <w:rPr>
          <w:rFonts w:cs="Arial"/>
          <w:sz w:val="20"/>
        </w:rPr>
      </w:pPr>
      <w:r>
        <w:rPr>
          <w:rFonts w:cs="Arial"/>
          <w:sz w:val="20"/>
        </w:rPr>
        <w:t>Energy Efficiency (Cost of Living) Improvement Act 2012</w:t>
      </w:r>
      <w:r w:rsidR="00000320">
        <w:rPr>
          <w:rFonts w:cs="Arial"/>
          <w:sz w:val="20"/>
        </w:rPr>
        <w:t>, s</w:t>
      </w:r>
      <w:r w:rsidR="00433B22">
        <w:rPr>
          <w:rFonts w:cs="Arial"/>
          <w:sz w:val="20"/>
        </w:rPr>
        <w:t xml:space="preserve"> </w:t>
      </w:r>
      <w:r w:rsidR="00587B63">
        <w:rPr>
          <w:rFonts w:cs="Arial"/>
          <w:sz w:val="20"/>
        </w:rPr>
        <w:t>8</w:t>
      </w:r>
      <w:r w:rsidR="00000320">
        <w:rPr>
          <w:rFonts w:cs="Arial"/>
          <w:sz w:val="20"/>
        </w:rPr>
        <w:t xml:space="preserve"> (Priority </w:t>
      </w:r>
      <w:r w:rsidR="00FA4648">
        <w:rPr>
          <w:rFonts w:cs="Arial"/>
          <w:sz w:val="20"/>
        </w:rPr>
        <w:t>h</w:t>
      </w:r>
      <w:r w:rsidR="00000320">
        <w:rPr>
          <w:rFonts w:cs="Arial"/>
          <w:sz w:val="20"/>
        </w:rPr>
        <w:t xml:space="preserve">ousehold </w:t>
      </w:r>
      <w:r w:rsidR="00FA4648">
        <w:rPr>
          <w:rFonts w:cs="Arial"/>
          <w:sz w:val="20"/>
        </w:rPr>
        <w:t>t</w:t>
      </w:r>
      <w:r w:rsidR="00000320">
        <w:rPr>
          <w:rFonts w:cs="Arial"/>
          <w:sz w:val="20"/>
        </w:rPr>
        <w:t>arget)</w:t>
      </w:r>
    </w:p>
    <w:p w:rsidR="008B0940" w:rsidRPr="008B0940" w:rsidRDefault="008B0940" w:rsidP="00FA4648">
      <w:pPr>
        <w:pStyle w:val="CoverActName"/>
        <w:spacing w:before="360" w:after="0"/>
        <w:rPr>
          <w:rFonts w:cs="Arial"/>
          <w:bCs/>
          <w:sz w:val="28"/>
          <w:szCs w:val="28"/>
        </w:rPr>
      </w:pPr>
      <w:r w:rsidRPr="008B0940">
        <w:rPr>
          <w:rFonts w:cs="Arial"/>
          <w:bCs/>
          <w:sz w:val="28"/>
          <w:szCs w:val="28"/>
          <w:lang w:eastAsia="en-AU"/>
        </w:rPr>
        <w:t>EXPLANATORY STATEMENT</w:t>
      </w:r>
    </w:p>
    <w:p w:rsidR="006815C9" w:rsidRDefault="006815C9">
      <w:pPr>
        <w:pStyle w:val="N-line3"/>
        <w:pBdr>
          <w:bottom w:val="none" w:sz="0" w:space="0" w:color="auto"/>
        </w:pBdr>
      </w:pPr>
    </w:p>
    <w:p w:rsidR="006815C9" w:rsidRDefault="006815C9">
      <w:pPr>
        <w:pStyle w:val="N-line3"/>
        <w:pBdr>
          <w:top w:val="single" w:sz="12" w:space="1" w:color="auto"/>
          <w:bottom w:val="none" w:sz="0" w:space="0" w:color="auto"/>
        </w:pBdr>
      </w:pPr>
    </w:p>
    <w:bookmarkEnd w:id="0"/>
    <w:p w:rsidR="002A79B2" w:rsidRDefault="008E5A95" w:rsidP="007E747B">
      <w:pPr>
        <w:autoSpaceDE w:val="0"/>
        <w:autoSpaceDN w:val="0"/>
        <w:adjustRightInd w:val="0"/>
        <w:rPr>
          <w:rFonts w:ascii="Arial" w:hAnsi="Arial" w:cs="Arial"/>
          <w:b/>
          <w:bCs/>
          <w:szCs w:val="24"/>
          <w:lang w:eastAsia="en-AU"/>
        </w:rPr>
      </w:pPr>
      <w:r>
        <w:rPr>
          <w:rFonts w:ascii="Arial" w:hAnsi="Arial" w:cs="Arial"/>
          <w:b/>
          <w:bCs/>
          <w:szCs w:val="24"/>
          <w:lang w:eastAsia="en-AU"/>
        </w:rPr>
        <w:t>Introduction</w:t>
      </w:r>
    </w:p>
    <w:p w:rsidR="002A79B2" w:rsidRPr="00FA4648" w:rsidRDefault="002A79B2" w:rsidP="007E747B">
      <w:pPr>
        <w:autoSpaceDE w:val="0"/>
        <w:autoSpaceDN w:val="0"/>
        <w:adjustRightInd w:val="0"/>
        <w:rPr>
          <w:rFonts w:ascii="Arial" w:hAnsi="Arial" w:cs="Arial"/>
          <w:bCs/>
          <w:szCs w:val="24"/>
          <w:lang w:eastAsia="en-AU"/>
        </w:rPr>
      </w:pPr>
    </w:p>
    <w:p w:rsidR="002F57D6" w:rsidRDefault="002F57D6" w:rsidP="00F45AF4">
      <w:pPr>
        <w:autoSpaceDE w:val="0"/>
        <w:autoSpaceDN w:val="0"/>
        <w:adjustRightInd w:val="0"/>
        <w:spacing w:before="120" w:after="120"/>
        <w:rPr>
          <w:bCs/>
          <w:szCs w:val="24"/>
          <w:lang w:eastAsia="en-AU"/>
        </w:rPr>
      </w:pPr>
      <w:r w:rsidRPr="0083344A">
        <w:rPr>
          <w:bCs/>
          <w:szCs w:val="24"/>
          <w:lang w:eastAsia="en-AU"/>
        </w:rPr>
        <w:t xml:space="preserve">This explanatory statement relates to the </w:t>
      </w:r>
      <w:r w:rsidR="00C5026C" w:rsidRPr="00C5026C">
        <w:rPr>
          <w:bCs/>
          <w:i/>
          <w:szCs w:val="24"/>
          <w:lang w:eastAsia="en-AU"/>
        </w:rPr>
        <w:t>Energy Efficiency (Cost of Living) Improvement (Priority Household Target) Determination 201</w:t>
      </w:r>
      <w:r w:rsidR="00BF5C31">
        <w:rPr>
          <w:bCs/>
          <w:i/>
          <w:szCs w:val="24"/>
          <w:lang w:eastAsia="en-AU"/>
        </w:rPr>
        <w:t>9</w:t>
      </w:r>
      <w:r w:rsidR="00C5026C" w:rsidRPr="00C5026C">
        <w:rPr>
          <w:bCs/>
          <w:i/>
          <w:szCs w:val="24"/>
          <w:lang w:eastAsia="en-AU"/>
        </w:rPr>
        <w:t xml:space="preserve"> </w:t>
      </w:r>
      <w:r w:rsidRPr="0083344A">
        <w:rPr>
          <w:bCs/>
          <w:szCs w:val="24"/>
          <w:lang w:eastAsia="en-AU"/>
        </w:rPr>
        <w:t>as presente</w:t>
      </w:r>
      <w:r w:rsidR="0083344A">
        <w:rPr>
          <w:bCs/>
          <w:szCs w:val="24"/>
          <w:lang w:eastAsia="en-AU"/>
        </w:rPr>
        <w:t xml:space="preserve">d to the Legislative Assembly. </w:t>
      </w:r>
      <w:r w:rsidRPr="0083344A">
        <w:rPr>
          <w:bCs/>
          <w:szCs w:val="24"/>
          <w:lang w:eastAsia="en-AU"/>
        </w:rPr>
        <w:t>It has been prepared in order to assist the reader of the disallowable instrument an</w:t>
      </w:r>
      <w:r w:rsidR="0083344A">
        <w:rPr>
          <w:bCs/>
          <w:szCs w:val="24"/>
          <w:lang w:eastAsia="en-AU"/>
        </w:rPr>
        <w:t xml:space="preserve">d to help inform debate on it. </w:t>
      </w:r>
      <w:r w:rsidRPr="0083344A">
        <w:rPr>
          <w:bCs/>
          <w:szCs w:val="24"/>
          <w:lang w:eastAsia="en-AU"/>
        </w:rPr>
        <w:t>It does not form part of the disallowable instrument and has not been endorsed by the Assembly.</w:t>
      </w:r>
    </w:p>
    <w:p w:rsidR="00AD33F6" w:rsidRPr="001012F8" w:rsidRDefault="00AD33F6" w:rsidP="00F45AF4">
      <w:pPr>
        <w:autoSpaceDE w:val="0"/>
        <w:autoSpaceDN w:val="0"/>
        <w:adjustRightInd w:val="0"/>
        <w:spacing w:before="120" w:after="120"/>
        <w:rPr>
          <w:bCs/>
          <w:szCs w:val="24"/>
          <w:lang w:eastAsia="en-AU"/>
        </w:rPr>
      </w:pPr>
      <w:r w:rsidRPr="001012F8">
        <w:rPr>
          <w:bCs/>
          <w:szCs w:val="24"/>
          <w:lang w:eastAsia="en-AU"/>
        </w:rPr>
        <w:t xml:space="preserve">The </w:t>
      </w:r>
      <w:r w:rsidR="00FA4648">
        <w:rPr>
          <w:bCs/>
          <w:szCs w:val="24"/>
          <w:lang w:eastAsia="en-AU"/>
        </w:rPr>
        <w:t>s</w:t>
      </w:r>
      <w:r w:rsidRPr="001012F8">
        <w:rPr>
          <w:bCs/>
          <w:szCs w:val="24"/>
          <w:lang w:eastAsia="en-AU"/>
        </w:rPr>
        <w:t xml:space="preserve">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 </w:t>
      </w:r>
    </w:p>
    <w:p w:rsidR="002F57D6" w:rsidRDefault="002F57D6" w:rsidP="007E747B">
      <w:pPr>
        <w:autoSpaceDE w:val="0"/>
        <w:autoSpaceDN w:val="0"/>
        <w:adjustRightInd w:val="0"/>
        <w:rPr>
          <w:rFonts w:ascii="Arial" w:hAnsi="Arial" w:cs="Arial"/>
          <w:bCs/>
          <w:szCs w:val="24"/>
          <w:lang w:eastAsia="en-AU"/>
        </w:rPr>
      </w:pPr>
    </w:p>
    <w:p w:rsidR="000D6B88" w:rsidRDefault="000D6B88" w:rsidP="007E747B">
      <w:pPr>
        <w:autoSpaceDE w:val="0"/>
        <w:autoSpaceDN w:val="0"/>
        <w:adjustRightInd w:val="0"/>
        <w:rPr>
          <w:rFonts w:ascii="Arial" w:hAnsi="Arial" w:cs="Arial"/>
          <w:b/>
          <w:bCs/>
          <w:szCs w:val="24"/>
          <w:lang w:eastAsia="en-AU"/>
        </w:rPr>
      </w:pPr>
      <w:r w:rsidRPr="000D6B88">
        <w:rPr>
          <w:rFonts w:ascii="Arial" w:hAnsi="Arial" w:cs="Arial"/>
          <w:b/>
          <w:bCs/>
          <w:szCs w:val="24"/>
          <w:lang w:eastAsia="en-AU"/>
        </w:rPr>
        <w:t>Overview</w:t>
      </w:r>
    </w:p>
    <w:p w:rsidR="000D6B88" w:rsidRPr="0083344A" w:rsidRDefault="000D6B88" w:rsidP="007E747B">
      <w:pPr>
        <w:autoSpaceDE w:val="0"/>
        <w:autoSpaceDN w:val="0"/>
        <w:adjustRightInd w:val="0"/>
        <w:rPr>
          <w:b/>
          <w:bCs/>
          <w:szCs w:val="24"/>
          <w:lang w:eastAsia="en-AU"/>
        </w:rPr>
      </w:pPr>
    </w:p>
    <w:p w:rsidR="00D56EDC" w:rsidRDefault="0056301F" w:rsidP="00F45AF4">
      <w:pPr>
        <w:autoSpaceDE w:val="0"/>
        <w:autoSpaceDN w:val="0"/>
        <w:adjustRightInd w:val="0"/>
        <w:spacing w:before="120" w:after="120"/>
        <w:rPr>
          <w:bCs/>
          <w:szCs w:val="24"/>
          <w:lang w:eastAsia="en-AU"/>
        </w:rPr>
      </w:pPr>
      <w:r w:rsidRPr="0083344A">
        <w:rPr>
          <w:bCs/>
          <w:szCs w:val="24"/>
          <w:lang w:eastAsia="en-AU"/>
        </w:rPr>
        <w:t xml:space="preserve">The purpose of the </w:t>
      </w:r>
      <w:r w:rsidR="00204050" w:rsidRPr="0083344A">
        <w:rPr>
          <w:bCs/>
          <w:szCs w:val="24"/>
          <w:lang w:eastAsia="en-AU"/>
        </w:rPr>
        <w:t>disallowable instrument</w:t>
      </w:r>
      <w:r w:rsidRPr="0083344A">
        <w:rPr>
          <w:bCs/>
          <w:szCs w:val="24"/>
          <w:lang w:eastAsia="en-AU"/>
        </w:rPr>
        <w:t xml:space="preserve"> is to </w:t>
      </w:r>
      <w:r w:rsidR="00C5026C">
        <w:rPr>
          <w:bCs/>
          <w:szCs w:val="24"/>
          <w:lang w:eastAsia="en-AU"/>
        </w:rPr>
        <w:t>set a priority household target</w:t>
      </w:r>
      <w:r w:rsidR="00BF68B0">
        <w:rPr>
          <w:bCs/>
          <w:szCs w:val="24"/>
          <w:lang w:eastAsia="en-AU"/>
        </w:rPr>
        <w:t xml:space="preserve"> (PHT)</w:t>
      </w:r>
      <w:r w:rsidR="00C5026C">
        <w:rPr>
          <w:bCs/>
          <w:szCs w:val="24"/>
          <w:lang w:eastAsia="en-AU"/>
        </w:rPr>
        <w:t xml:space="preserve"> under the </w:t>
      </w:r>
      <w:r w:rsidR="00C5026C" w:rsidRPr="004B4A08">
        <w:rPr>
          <w:bCs/>
          <w:i/>
          <w:szCs w:val="24"/>
          <w:lang w:eastAsia="en-AU"/>
        </w:rPr>
        <w:t>Energy Efficiency (Cost of Living) Improvement Act 2012</w:t>
      </w:r>
      <w:r w:rsidR="00CA1798">
        <w:rPr>
          <w:bCs/>
          <w:szCs w:val="24"/>
          <w:lang w:eastAsia="en-AU"/>
        </w:rPr>
        <w:t xml:space="preserve"> (the Act)</w:t>
      </w:r>
      <w:r w:rsidR="00C5026C">
        <w:rPr>
          <w:bCs/>
          <w:szCs w:val="24"/>
          <w:lang w:eastAsia="en-AU"/>
        </w:rPr>
        <w:t xml:space="preserve">. </w:t>
      </w:r>
      <w:r w:rsidR="00BF68B0">
        <w:rPr>
          <w:bCs/>
          <w:szCs w:val="24"/>
          <w:lang w:eastAsia="en-AU"/>
        </w:rPr>
        <w:t xml:space="preserve">The Act establishes a retailer efficiency obligation scheme known as the Energy Efficiency Improvement Scheme (EEIS). </w:t>
      </w:r>
      <w:r w:rsidR="00D56EDC">
        <w:rPr>
          <w:bCs/>
          <w:szCs w:val="24"/>
          <w:lang w:eastAsia="en-AU"/>
        </w:rPr>
        <w:t xml:space="preserve">It includes a range of targets which are based on greenhouse gas emissions associated with electricity sales. EEIS targets include: </w:t>
      </w:r>
    </w:p>
    <w:p w:rsidR="00D56EDC" w:rsidRPr="00F45AF4" w:rsidRDefault="00D56EDC" w:rsidP="00FA4648">
      <w:pPr>
        <w:pStyle w:val="ListParagraph"/>
        <w:numPr>
          <w:ilvl w:val="0"/>
          <w:numId w:val="19"/>
        </w:numPr>
        <w:spacing w:before="120" w:after="120"/>
        <w:ind w:left="714" w:hanging="357"/>
        <w:contextualSpacing w:val="0"/>
        <w:rPr>
          <w:rFonts w:cs="Calibri-Bold"/>
          <w:bCs/>
          <w:szCs w:val="24"/>
          <w:lang w:eastAsia="en-AU"/>
        </w:rPr>
      </w:pPr>
      <w:r w:rsidRPr="00F45AF4">
        <w:rPr>
          <w:rFonts w:cs="Calibri-Bold"/>
          <w:bCs/>
          <w:szCs w:val="24"/>
          <w:lang w:eastAsia="en-AU"/>
        </w:rPr>
        <w:t xml:space="preserve">An Energy Savings Target establishing the total reduction in greenhouse gas emissions to be achieved by </w:t>
      </w:r>
      <w:r w:rsidR="00FA4648">
        <w:rPr>
          <w:rFonts w:cs="Calibri-Bold"/>
          <w:bCs/>
          <w:szCs w:val="24"/>
          <w:lang w:eastAsia="en-AU"/>
        </w:rPr>
        <w:t xml:space="preserve">electricity </w:t>
      </w:r>
      <w:r w:rsidRPr="00F45AF4">
        <w:rPr>
          <w:rFonts w:cs="Calibri-Bold"/>
          <w:bCs/>
          <w:szCs w:val="24"/>
          <w:lang w:eastAsia="en-AU"/>
        </w:rPr>
        <w:t xml:space="preserve">retailers, expressed as a percentage of their total electricity sales. From 2016 until 2020 </w:t>
      </w:r>
      <w:r w:rsidR="00FA4648">
        <w:rPr>
          <w:rFonts w:cs="Calibri-Bold"/>
          <w:bCs/>
          <w:szCs w:val="24"/>
          <w:lang w:eastAsia="en-AU"/>
        </w:rPr>
        <w:t>the Energy Savings Target</w:t>
      </w:r>
      <w:r w:rsidRPr="00F45AF4">
        <w:rPr>
          <w:rFonts w:cs="Calibri-Bold"/>
          <w:bCs/>
          <w:szCs w:val="24"/>
          <w:lang w:eastAsia="en-AU"/>
        </w:rPr>
        <w:t xml:space="preserve"> is set at 8.6 per cent. </w:t>
      </w:r>
    </w:p>
    <w:p w:rsidR="00D56EDC" w:rsidRPr="00F45AF4" w:rsidRDefault="00D56EDC" w:rsidP="00FA4648">
      <w:pPr>
        <w:pStyle w:val="ListParagraph"/>
        <w:numPr>
          <w:ilvl w:val="0"/>
          <w:numId w:val="19"/>
        </w:numPr>
        <w:spacing w:before="120" w:after="120"/>
        <w:ind w:left="714" w:hanging="357"/>
        <w:contextualSpacing w:val="0"/>
        <w:rPr>
          <w:rFonts w:cs="Calibri-Bold"/>
          <w:bCs/>
          <w:szCs w:val="24"/>
          <w:lang w:eastAsia="en-AU"/>
        </w:rPr>
      </w:pPr>
      <w:r w:rsidRPr="00F45AF4">
        <w:rPr>
          <w:rFonts w:cs="Calibri-Bold"/>
          <w:bCs/>
          <w:szCs w:val="24"/>
          <w:lang w:eastAsia="en-AU"/>
        </w:rPr>
        <w:lastRenderedPageBreak/>
        <w:t xml:space="preserve">The PHT for the total reduction in greenhouse gas emissions </w:t>
      </w:r>
      <w:r w:rsidR="00183FB9" w:rsidRPr="00F45AF4">
        <w:rPr>
          <w:rFonts w:cs="Calibri-Bold"/>
          <w:bCs/>
          <w:szCs w:val="24"/>
          <w:lang w:eastAsia="en-AU"/>
        </w:rPr>
        <w:t xml:space="preserve">to be achieved in priority households, expressed as a percentage of the retailer’s energy savings obligation. </w:t>
      </w:r>
    </w:p>
    <w:p w:rsidR="00183FB9" w:rsidRDefault="00183FB9" w:rsidP="00F45AF4">
      <w:pPr>
        <w:autoSpaceDE w:val="0"/>
        <w:autoSpaceDN w:val="0"/>
        <w:adjustRightInd w:val="0"/>
        <w:spacing w:before="120" w:after="120"/>
        <w:rPr>
          <w:bCs/>
          <w:szCs w:val="24"/>
          <w:lang w:eastAsia="en-AU"/>
        </w:rPr>
      </w:pPr>
      <w:r>
        <w:rPr>
          <w:bCs/>
          <w:szCs w:val="24"/>
          <w:lang w:eastAsia="en-AU"/>
        </w:rPr>
        <w:t xml:space="preserve">Energy Savings Targets are achieved by retailers delivering eligible activities under the EEIS. These activities include installing energy efficient light globes, draught seals, efficient </w:t>
      </w:r>
      <w:r w:rsidR="007145C8">
        <w:rPr>
          <w:bCs/>
          <w:szCs w:val="24"/>
          <w:lang w:eastAsia="en-AU"/>
        </w:rPr>
        <w:t xml:space="preserve">space and </w:t>
      </w:r>
      <w:r>
        <w:rPr>
          <w:bCs/>
          <w:szCs w:val="24"/>
          <w:lang w:eastAsia="en-AU"/>
        </w:rPr>
        <w:t xml:space="preserve">water heaters and other items that save energy while maintaining quality of life. </w:t>
      </w:r>
    </w:p>
    <w:p w:rsidR="005259FD" w:rsidRDefault="00062E55" w:rsidP="00F45AF4">
      <w:pPr>
        <w:autoSpaceDE w:val="0"/>
        <w:autoSpaceDN w:val="0"/>
        <w:adjustRightInd w:val="0"/>
        <w:spacing w:before="120" w:after="120"/>
        <w:rPr>
          <w:bCs/>
          <w:szCs w:val="24"/>
          <w:lang w:eastAsia="en-AU"/>
        </w:rPr>
      </w:pPr>
      <w:r>
        <w:rPr>
          <w:bCs/>
          <w:szCs w:val="24"/>
          <w:lang w:eastAsia="en-AU"/>
        </w:rPr>
        <w:t>Only t</w:t>
      </w:r>
      <w:r w:rsidR="00183FB9">
        <w:rPr>
          <w:bCs/>
          <w:szCs w:val="24"/>
          <w:lang w:eastAsia="en-AU"/>
        </w:rPr>
        <w:t>ier 1 retailers are required to achieve the Energy Savings Target</w:t>
      </w:r>
      <w:r w:rsidR="00105038">
        <w:rPr>
          <w:bCs/>
          <w:szCs w:val="24"/>
          <w:lang w:eastAsia="en-AU"/>
        </w:rPr>
        <w:t xml:space="preserve"> and the PHT</w:t>
      </w:r>
      <w:r>
        <w:rPr>
          <w:bCs/>
          <w:szCs w:val="24"/>
          <w:lang w:eastAsia="en-AU"/>
        </w:rPr>
        <w:t>. Smaller t</w:t>
      </w:r>
      <w:r w:rsidR="00183FB9">
        <w:rPr>
          <w:bCs/>
          <w:szCs w:val="24"/>
          <w:lang w:eastAsia="en-AU"/>
        </w:rPr>
        <w:t>ier 2 retailers can meet their obligation by paying a</w:t>
      </w:r>
      <w:r w:rsidR="00FA4648">
        <w:rPr>
          <w:bCs/>
          <w:szCs w:val="24"/>
          <w:lang w:eastAsia="en-AU"/>
        </w:rPr>
        <w:t>n</w:t>
      </w:r>
      <w:r w:rsidR="00183FB9">
        <w:rPr>
          <w:bCs/>
          <w:szCs w:val="24"/>
          <w:lang w:eastAsia="en-AU"/>
        </w:rPr>
        <w:t xml:space="preserve"> Energy Savings Contribution. The Act defines a </w:t>
      </w:r>
      <w:r>
        <w:rPr>
          <w:bCs/>
          <w:szCs w:val="24"/>
          <w:lang w:eastAsia="en-AU"/>
        </w:rPr>
        <w:t>t</w:t>
      </w:r>
      <w:r w:rsidR="00183FB9">
        <w:rPr>
          <w:bCs/>
          <w:szCs w:val="24"/>
          <w:lang w:eastAsia="en-AU"/>
        </w:rPr>
        <w:t xml:space="preserve">ier 1 retailer as a national energy retail law retailer that, in the previous compliance period had, at any time during that period, at least 5,000 customers in the ACT, and sold at least 500,000MWh of electricity to customers in the ACT. </w:t>
      </w:r>
      <w:r w:rsidR="009C7485">
        <w:rPr>
          <w:bCs/>
          <w:szCs w:val="24"/>
          <w:lang w:eastAsia="en-AU"/>
        </w:rPr>
        <w:t>There is currently only one tier 1 retailer</w:t>
      </w:r>
      <w:r w:rsidR="00183FB9">
        <w:rPr>
          <w:bCs/>
          <w:szCs w:val="24"/>
          <w:lang w:eastAsia="en-AU"/>
        </w:rPr>
        <w:t xml:space="preserve"> </w:t>
      </w:r>
      <w:r w:rsidR="009C7485">
        <w:rPr>
          <w:bCs/>
          <w:szCs w:val="24"/>
          <w:lang w:eastAsia="en-AU"/>
        </w:rPr>
        <w:t xml:space="preserve">operating in the ACT, </w:t>
      </w:r>
      <w:proofErr w:type="spellStart"/>
      <w:r w:rsidR="009C7485">
        <w:rPr>
          <w:bCs/>
          <w:szCs w:val="24"/>
          <w:lang w:eastAsia="en-AU"/>
        </w:rPr>
        <w:t>ActewAGL</w:t>
      </w:r>
      <w:proofErr w:type="spellEnd"/>
      <w:r w:rsidR="00FA4648">
        <w:rPr>
          <w:bCs/>
          <w:szCs w:val="24"/>
          <w:lang w:eastAsia="en-AU"/>
        </w:rPr>
        <w:t xml:space="preserve"> Retail</w:t>
      </w:r>
      <w:r w:rsidR="009C7485">
        <w:rPr>
          <w:bCs/>
          <w:szCs w:val="24"/>
          <w:lang w:eastAsia="en-AU"/>
        </w:rPr>
        <w:t>.</w:t>
      </w:r>
      <w:r w:rsidR="00D56EDC">
        <w:rPr>
          <w:bCs/>
          <w:szCs w:val="24"/>
          <w:lang w:eastAsia="en-AU"/>
        </w:rPr>
        <w:t xml:space="preserve">  </w:t>
      </w:r>
    </w:p>
    <w:p w:rsidR="00D56EDC" w:rsidRPr="00F45AF4" w:rsidRDefault="00D56EDC" w:rsidP="00F45AF4">
      <w:pPr>
        <w:autoSpaceDE w:val="0"/>
        <w:autoSpaceDN w:val="0"/>
        <w:adjustRightInd w:val="0"/>
        <w:spacing w:before="120" w:after="120"/>
        <w:rPr>
          <w:bCs/>
          <w:szCs w:val="24"/>
          <w:lang w:eastAsia="en-AU"/>
        </w:rPr>
      </w:pPr>
      <w:r w:rsidRPr="00F45AF4">
        <w:rPr>
          <w:bCs/>
          <w:szCs w:val="24"/>
          <w:lang w:eastAsia="en-AU"/>
        </w:rPr>
        <w:t xml:space="preserve">Priority households are intended to be those lower income households </w:t>
      </w:r>
      <w:r w:rsidR="009C7485">
        <w:rPr>
          <w:bCs/>
          <w:szCs w:val="24"/>
          <w:lang w:eastAsia="en-AU"/>
        </w:rPr>
        <w:t>that</w:t>
      </w:r>
      <w:r w:rsidRPr="00F45AF4">
        <w:rPr>
          <w:bCs/>
          <w:szCs w:val="24"/>
          <w:lang w:eastAsia="en-AU"/>
        </w:rPr>
        <w:t xml:space="preserve"> can benefit most from energy efficiency, but are least able to make improvements without additional assistance. Priority households are defined in the Act’s dictionary as a residential premises in which one person who lives at the premises– </w:t>
      </w:r>
    </w:p>
    <w:p w:rsidR="00D56EDC" w:rsidRDefault="00D56EDC" w:rsidP="00FD0984">
      <w:pPr>
        <w:pStyle w:val="ListParagraph"/>
        <w:numPr>
          <w:ilvl w:val="0"/>
          <w:numId w:val="12"/>
        </w:numPr>
        <w:spacing w:before="120" w:after="120" w:line="276" w:lineRule="auto"/>
        <w:ind w:left="714" w:hanging="357"/>
        <w:contextualSpacing w:val="0"/>
        <w:rPr>
          <w:rFonts w:cs="Calibri-Bold"/>
          <w:bCs/>
          <w:szCs w:val="24"/>
          <w:lang w:eastAsia="en-AU"/>
        </w:rPr>
      </w:pPr>
      <w:r>
        <w:rPr>
          <w:rFonts w:cs="Calibri-Bold"/>
          <w:bCs/>
          <w:szCs w:val="24"/>
          <w:lang w:eastAsia="en-AU"/>
        </w:rPr>
        <w:t>is a recipient of an ACT Government energy concession; or</w:t>
      </w:r>
    </w:p>
    <w:p w:rsidR="00D56EDC" w:rsidRDefault="00D56EDC" w:rsidP="00FD0984">
      <w:pPr>
        <w:pStyle w:val="ListParagraph"/>
        <w:numPr>
          <w:ilvl w:val="0"/>
          <w:numId w:val="12"/>
        </w:numPr>
        <w:spacing w:before="120" w:after="120" w:line="276" w:lineRule="auto"/>
        <w:ind w:left="714" w:hanging="357"/>
        <w:contextualSpacing w:val="0"/>
        <w:rPr>
          <w:rFonts w:cs="Calibri-Bold"/>
          <w:bCs/>
          <w:szCs w:val="24"/>
          <w:lang w:eastAsia="en-AU"/>
        </w:rPr>
      </w:pPr>
      <w:r>
        <w:rPr>
          <w:rFonts w:cs="Calibri-Bold"/>
          <w:bCs/>
          <w:szCs w:val="24"/>
          <w:lang w:eastAsia="en-AU"/>
        </w:rPr>
        <w:t xml:space="preserve">holds a Commonwealth pensioner concession card or health care card; or </w:t>
      </w:r>
    </w:p>
    <w:p w:rsidR="00D56EDC" w:rsidRDefault="00D56EDC" w:rsidP="00730C94">
      <w:pPr>
        <w:pStyle w:val="ListParagraph"/>
        <w:numPr>
          <w:ilvl w:val="0"/>
          <w:numId w:val="12"/>
        </w:numPr>
        <w:spacing w:before="120" w:after="120" w:line="276" w:lineRule="auto"/>
        <w:ind w:left="714" w:hanging="357"/>
        <w:contextualSpacing w:val="0"/>
        <w:rPr>
          <w:rFonts w:cs="Calibri-Bold"/>
          <w:bCs/>
          <w:szCs w:val="24"/>
          <w:lang w:eastAsia="en-AU"/>
        </w:rPr>
      </w:pPr>
      <w:r>
        <w:rPr>
          <w:rFonts w:cs="Calibri-Bold"/>
          <w:bCs/>
          <w:szCs w:val="24"/>
          <w:lang w:eastAsia="en-AU"/>
        </w:rPr>
        <w:t>holds a Department of Veterans Affairs pensioner concession card, TPI gold repatriation health care card, war widows repatriation health care card or gold repatriation health care card</w:t>
      </w:r>
      <w:r w:rsidR="00E150F7">
        <w:rPr>
          <w:rFonts w:cs="Calibri-Bold"/>
          <w:bCs/>
          <w:szCs w:val="24"/>
          <w:lang w:eastAsia="en-AU"/>
        </w:rPr>
        <w:t>; or</w:t>
      </w:r>
    </w:p>
    <w:p w:rsidR="00E150F7" w:rsidRDefault="00E150F7" w:rsidP="00FD0984">
      <w:pPr>
        <w:pStyle w:val="ListParagraph"/>
        <w:numPr>
          <w:ilvl w:val="0"/>
          <w:numId w:val="12"/>
        </w:numPr>
        <w:spacing w:before="120" w:after="120" w:line="276" w:lineRule="auto"/>
        <w:ind w:left="714" w:hanging="357"/>
        <w:contextualSpacing w:val="0"/>
        <w:rPr>
          <w:rFonts w:cs="Calibri-Bold"/>
          <w:bCs/>
          <w:szCs w:val="24"/>
          <w:lang w:eastAsia="en-AU"/>
        </w:rPr>
      </w:pPr>
      <w:r>
        <w:rPr>
          <w:rFonts w:cs="Calibri-Bold"/>
          <w:bCs/>
          <w:szCs w:val="24"/>
          <w:lang w:eastAsia="en-AU"/>
        </w:rPr>
        <w:t>is within a class of people prescribed by regulation.</w:t>
      </w:r>
    </w:p>
    <w:p w:rsidR="00674E68" w:rsidRPr="00F45AF4" w:rsidRDefault="00674E68" w:rsidP="00F45AF4">
      <w:pPr>
        <w:autoSpaceDE w:val="0"/>
        <w:autoSpaceDN w:val="0"/>
        <w:adjustRightInd w:val="0"/>
        <w:spacing w:before="120" w:after="120"/>
        <w:rPr>
          <w:bCs/>
          <w:szCs w:val="24"/>
          <w:lang w:eastAsia="en-AU"/>
        </w:rPr>
      </w:pPr>
      <w:r w:rsidRPr="00F45AF4">
        <w:rPr>
          <w:bCs/>
          <w:szCs w:val="24"/>
          <w:lang w:eastAsia="en-AU"/>
        </w:rPr>
        <w:t xml:space="preserve">An expanded scope of the PHT was </w:t>
      </w:r>
      <w:r w:rsidR="00A75FBF">
        <w:rPr>
          <w:bCs/>
          <w:szCs w:val="24"/>
          <w:lang w:eastAsia="en-AU"/>
        </w:rPr>
        <w:t>implemented</w:t>
      </w:r>
      <w:r w:rsidR="00A75FBF" w:rsidRPr="00F45AF4">
        <w:rPr>
          <w:bCs/>
          <w:szCs w:val="24"/>
          <w:lang w:eastAsia="en-AU"/>
        </w:rPr>
        <w:t xml:space="preserve"> </w:t>
      </w:r>
      <w:r w:rsidR="00777C5C">
        <w:rPr>
          <w:bCs/>
          <w:szCs w:val="24"/>
          <w:lang w:eastAsia="en-AU"/>
        </w:rPr>
        <w:t>through</w:t>
      </w:r>
      <w:r w:rsidR="00777C5C" w:rsidRPr="00F45AF4">
        <w:rPr>
          <w:bCs/>
          <w:szCs w:val="24"/>
          <w:lang w:eastAsia="en-AU"/>
        </w:rPr>
        <w:t xml:space="preserve"> </w:t>
      </w:r>
      <w:r w:rsidR="00A75FBF">
        <w:rPr>
          <w:bCs/>
          <w:szCs w:val="24"/>
          <w:lang w:eastAsia="en-AU"/>
        </w:rPr>
        <w:t xml:space="preserve">the </w:t>
      </w:r>
      <w:r w:rsidR="00A75FBF" w:rsidRPr="004B4A08">
        <w:rPr>
          <w:bCs/>
          <w:i/>
          <w:szCs w:val="24"/>
          <w:lang w:eastAsia="en-AU"/>
        </w:rPr>
        <w:t>Energy Efficiency (Cost of Living) Improvement R</w:t>
      </w:r>
      <w:r w:rsidRPr="004B4A08">
        <w:rPr>
          <w:bCs/>
          <w:i/>
          <w:szCs w:val="24"/>
          <w:lang w:eastAsia="en-AU"/>
        </w:rPr>
        <w:t>egulation 2017</w:t>
      </w:r>
      <w:r w:rsidR="00A75FBF">
        <w:rPr>
          <w:bCs/>
          <w:i/>
          <w:szCs w:val="24"/>
          <w:lang w:eastAsia="en-AU"/>
        </w:rPr>
        <w:t xml:space="preserve"> </w:t>
      </w:r>
      <w:r w:rsidR="00A75FBF">
        <w:rPr>
          <w:bCs/>
          <w:szCs w:val="24"/>
          <w:lang w:eastAsia="en-AU"/>
        </w:rPr>
        <w:t xml:space="preserve">(the </w:t>
      </w:r>
      <w:r w:rsidR="009C7485">
        <w:rPr>
          <w:bCs/>
          <w:szCs w:val="24"/>
          <w:lang w:eastAsia="en-AU"/>
        </w:rPr>
        <w:t>r</w:t>
      </w:r>
      <w:r w:rsidR="00A75FBF">
        <w:rPr>
          <w:bCs/>
          <w:szCs w:val="24"/>
          <w:lang w:eastAsia="en-AU"/>
        </w:rPr>
        <w:t>egulation)</w:t>
      </w:r>
      <w:r w:rsidRPr="004B4A08">
        <w:rPr>
          <w:bCs/>
          <w:i/>
          <w:szCs w:val="24"/>
          <w:lang w:eastAsia="en-AU"/>
        </w:rPr>
        <w:t xml:space="preserve"> </w:t>
      </w:r>
      <w:r w:rsidRPr="00F45AF4">
        <w:rPr>
          <w:bCs/>
          <w:szCs w:val="24"/>
          <w:lang w:eastAsia="en-AU"/>
        </w:rPr>
        <w:t>after being tested through stakeholder consultation. The regulation added the following priority household classes:</w:t>
      </w:r>
    </w:p>
    <w:p w:rsidR="004E36F8" w:rsidRDefault="00674E68" w:rsidP="00674E68">
      <w:pPr>
        <w:pStyle w:val="ListParagraph"/>
        <w:numPr>
          <w:ilvl w:val="0"/>
          <w:numId w:val="16"/>
        </w:numPr>
        <w:spacing w:before="120" w:after="120" w:line="276" w:lineRule="auto"/>
        <w:contextualSpacing w:val="0"/>
        <w:rPr>
          <w:rFonts w:cs="Calibri-Bold"/>
          <w:bCs/>
          <w:szCs w:val="24"/>
          <w:lang w:eastAsia="en-AU"/>
        </w:rPr>
      </w:pPr>
      <w:r w:rsidRPr="00674E68">
        <w:rPr>
          <w:rFonts w:cs="Calibri-Bold"/>
          <w:bCs/>
          <w:szCs w:val="24"/>
          <w:lang w:eastAsia="en-AU"/>
        </w:rPr>
        <w:t xml:space="preserve">Three additional </w:t>
      </w:r>
      <w:r w:rsidR="00E150F7">
        <w:rPr>
          <w:rFonts w:cs="Calibri-Bold"/>
          <w:bCs/>
          <w:szCs w:val="24"/>
          <w:lang w:eastAsia="en-AU"/>
        </w:rPr>
        <w:t>C</w:t>
      </w:r>
      <w:r w:rsidRPr="00674E68">
        <w:rPr>
          <w:rFonts w:cs="Calibri-Bold"/>
          <w:bCs/>
          <w:szCs w:val="24"/>
          <w:lang w:eastAsia="en-AU"/>
        </w:rPr>
        <w:t xml:space="preserve">ommonwealth concessions: </w:t>
      </w:r>
    </w:p>
    <w:p w:rsidR="00674E68" w:rsidRPr="004E36F8" w:rsidRDefault="00E150F7" w:rsidP="004E36F8">
      <w:pPr>
        <w:pStyle w:val="ListParagraph"/>
        <w:numPr>
          <w:ilvl w:val="1"/>
          <w:numId w:val="17"/>
        </w:numPr>
        <w:spacing w:before="120" w:after="120" w:line="276" w:lineRule="auto"/>
        <w:contextualSpacing w:val="0"/>
        <w:rPr>
          <w:rFonts w:cs="Calibri-Bold"/>
          <w:bCs/>
          <w:szCs w:val="24"/>
          <w:lang w:eastAsia="en-AU"/>
        </w:rPr>
      </w:pPr>
      <w:r>
        <w:rPr>
          <w:rFonts w:cs="Calibri-Bold"/>
          <w:bCs/>
          <w:szCs w:val="24"/>
          <w:lang w:eastAsia="en-AU"/>
        </w:rPr>
        <w:t>s</w:t>
      </w:r>
      <w:r w:rsidR="00674E68" w:rsidRPr="004E36F8">
        <w:rPr>
          <w:rFonts w:cs="Calibri-Bold"/>
          <w:bCs/>
          <w:szCs w:val="24"/>
          <w:lang w:eastAsia="en-AU"/>
        </w:rPr>
        <w:t xml:space="preserve">eniors </w:t>
      </w:r>
      <w:r>
        <w:rPr>
          <w:rFonts w:cs="Calibri-Bold"/>
          <w:bCs/>
          <w:szCs w:val="24"/>
          <w:lang w:eastAsia="en-AU"/>
        </w:rPr>
        <w:t>h</w:t>
      </w:r>
      <w:r w:rsidR="00674E68" w:rsidRPr="004E36F8">
        <w:rPr>
          <w:rFonts w:cs="Calibri-Bold"/>
          <w:bCs/>
          <w:szCs w:val="24"/>
          <w:lang w:eastAsia="en-AU"/>
        </w:rPr>
        <w:t xml:space="preserve">ealth </w:t>
      </w:r>
      <w:r>
        <w:rPr>
          <w:rFonts w:cs="Calibri-Bold"/>
          <w:bCs/>
          <w:szCs w:val="24"/>
          <w:lang w:eastAsia="en-AU"/>
        </w:rPr>
        <w:t>c</w:t>
      </w:r>
      <w:r w:rsidR="00674E68" w:rsidRPr="004E36F8">
        <w:rPr>
          <w:rFonts w:cs="Calibri-Bold"/>
          <w:bCs/>
          <w:szCs w:val="24"/>
          <w:lang w:eastAsia="en-AU"/>
        </w:rPr>
        <w:t>ard</w:t>
      </w:r>
      <w:r w:rsidR="001573AF">
        <w:rPr>
          <w:rFonts w:cs="Calibri-Bold"/>
          <w:bCs/>
          <w:szCs w:val="24"/>
          <w:lang w:eastAsia="en-AU"/>
        </w:rPr>
        <w:t xml:space="preserve"> holders</w:t>
      </w:r>
      <w:r w:rsidR="00674E68" w:rsidRPr="004E36F8">
        <w:rPr>
          <w:rFonts w:cs="Calibri-Bold"/>
          <w:bCs/>
          <w:szCs w:val="24"/>
          <w:lang w:eastAsia="en-AU"/>
        </w:rPr>
        <w:t>;</w:t>
      </w:r>
    </w:p>
    <w:p w:rsidR="00674E68" w:rsidRPr="00674E68" w:rsidRDefault="00E150F7" w:rsidP="004E36F8">
      <w:pPr>
        <w:pStyle w:val="ListParagraph"/>
        <w:numPr>
          <w:ilvl w:val="1"/>
          <w:numId w:val="17"/>
        </w:numPr>
        <w:spacing w:before="120" w:after="120" w:line="276" w:lineRule="auto"/>
        <w:contextualSpacing w:val="0"/>
        <w:rPr>
          <w:rFonts w:cs="Calibri-Bold"/>
          <w:bCs/>
          <w:szCs w:val="24"/>
          <w:lang w:eastAsia="en-AU"/>
        </w:rPr>
      </w:pPr>
      <w:r>
        <w:rPr>
          <w:rFonts w:cs="Calibri-Bold"/>
          <w:bCs/>
          <w:szCs w:val="24"/>
          <w:lang w:eastAsia="en-AU"/>
        </w:rPr>
        <w:t>l</w:t>
      </w:r>
      <w:r w:rsidR="00674E68" w:rsidRPr="00674E68">
        <w:rPr>
          <w:rFonts w:cs="Calibri-Bold"/>
          <w:bCs/>
          <w:szCs w:val="24"/>
          <w:lang w:eastAsia="en-AU"/>
        </w:rPr>
        <w:t xml:space="preserve">ow </w:t>
      </w:r>
      <w:r>
        <w:rPr>
          <w:rFonts w:cs="Calibri-Bold"/>
          <w:bCs/>
          <w:szCs w:val="24"/>
          <w:lang w:eastAsia="en-AU"/>
        </w:rPr>
        <w:t>i</w:t>
      </w:r>
      <w:r w:rsidR="00674E68" w:rsidRPr="00674E68">
        <w:rPr>
          <w:rFonts w:cs="Calibri-Bold"/>
          <w:bCs/>
          <w:szCs w:val="24"/>
          <w:lang w:eastAsia="en-AU"/>
        </w:rPr>
        <w:t xml:space="preserve">ncome </w:t>
      </w:r>
      <w:r>
        <w:rPr>
          <w:rFonts w:cs="Calibri-Bold"/>
          <w:bCs/>
          <w:szCs w:val="24"/>
          <w:lang w:eastAsia="en-AU"/>
        </w:rPr>
        <w:t>h</w:t>
      </w:r>
      <w:r w:rsidR="00674E68" w:rsidRPr="00674E68">
        <w:rPr>
          <w:rFonts w:cs="Calibri-Bold"/>
          <w:bCs/>
          <w:szCs w:val="24"/>
          <w:lang w:eastAsia="en-AU"/>
        </w:rPr>
        <w:t xml:space="preserve">ealth </w:t>
      </w:r>
      <w:r>
        <w:rPr>
          <w:rFonts w:cs="Calibri-Bold"/>
          <w:bCs/>
          <w:szCs w:val="24"/>
          <w:lang w:eastAsia="en-AU"/>
        </w:rPr>
        <w:t>c</w:t>
      </w:r>
      <w:r w:rsidR="00674E68" w:rsidRPr="00674E68">
        <w:rPr>
          <w:rFonts w:cs="Calibri-Bold"/>
          <w:bCs/>
          <w:szCs w:val="24"/>
          <w:lang w:eastAsia="en-AU"/>
        </w:rPr>
        <w:t xml:space="preserve">are </w:t>
      </w:r>
      <w:r>
        <w:rPr>
          <w:rFonts w:cs="Calibri-Bold"/>
          <w:bCs/>
          <w:szCs w:val="24"/>
          <w:lang w:eastAsia="en-AU"/>
        </w:rPr>
        <w:t>c</w:t>
      </w:r>
      <w:r w:rsidR="00674E68" w:rsidRPr="00674E68">
        <w:rPr>
          <w:rFonts w:cs="Calibri-Bold"/>
          <w:bCs/>
          <w:szCs w:val="24"/>
          <w:lang w:eastAsia="en-AU"/>
        </w:rPr>
        <w:t>ard</w:t>
      </w:r>
      <w:r w:rsidR="001573AF">
        <w:rPr>
          <w:rFonts w:cs="Calibri-Bold"/>
          <w:bCs/>
          <w:szCs w:val="24"/>
          <w:lang w:eastAsia="en-AU"/>
        </w:rPr>
        <w:t xml:space="preserve"> holders</w:t>
      </w:r>
      <w:r w:rsidR="00674E68" w:rsidRPr="00674E68">
        <w:rPr>
          <w:rFonts w:cs="Calibri-Bold"/>
          <w:bCs/>
          <w:szCs w:val="24"/>
          <w:lang w:eastAsia="en-AU"/>
        </w:rPr>
        <w:t>;</w:t>
      </w:r>
    </w:p>
    <w:p w:rsidR="00674E68" w:rsidRPr="00674E68" w:rsidRDefault="00E150F7" w:rsidP="004E36F8">
      <w:pPr>
        <w:pStyle w:val="ListParagraph"/>
        <w:numPr>
          <w:ilvl w:val="1"/>
          <w:numId w:val="17"/>
        </w:numPr>
        <w:spacing w:before="120" w:after="120" w:line="276" w:lineRule="auto"/>
        <w:contextualSpacing w:val="0"/>
        <w:rPr>
          <w:rFonts w:cs="Calibri-Bold"/>
          <w:bCs/>
          <w:szCs w:val="24"/>
          <w:lang w:eastAsia="en-AU"/>
        </w:rPr>
      </w:pPr>
      <w:r>
        <w:rPr>
          <w:rFonts w:cs="Calibri-Bold"/>
          <w:bCs/>
          <w:szCs w:val="24"/>
          <w:lang w:eastAsia="en-AU"/>
        </w:rPr>
        <w:t>d</w:t>
      </w:r>
      <w:r w:rsidR="00674E68" w:rsidRPr="00674E68">
        <w:rPr>
          <w:rFonts w:cs="Calibri-Bold"/>
          <w:bCs/>
          <w:szCs w:val="24"/>
          <w:lang w:eastAsia="en-AU"/>
        </w:rPr>
        <w:t xml:space="preserve">isability </w:t>
      </w:r>
      <w:r>
        <w:rPr>
          <w:rFonts w:cs="Calibri-Bold"/>
          <w:bCs/>
          <w:szCs w:val="24"/>
          <w:lang w:eastAsia="en-AU"/>
        </w:rPr>
        <w:t>s</w:t>
      </w:r>
      <w:r w:rsidR="00674E68" w:rsidRPr="00674E68">
        <w:rPr>
          <w:rFonts w:cs="Calibri-Bold"/>
          <w:bCs/>
          <w:szCs w:val="24"/>
          <w:lang w:eastAsia="en-AU"/>
        </w:rPr>
        <w:t xml:space="preserve">upport </w:t>
      </w:r>
      <w:r>
        <w:rPr>
          <w:rFonts w:cs="Calibri-Bold"/>
          <w:bCs/>
          <w:szCs w:val="24"/>
          <w:lang w:eastAsia="en-AU"/>
        </w:rPr>
        <w:t>p</w:t>
      </w:r>
      <w:r w:rsidR="00674E68" w:rsidRPr="00674E68">
        <w:rPr>
          <w:rFonts w:cs="Calibri-Bold"/>
          <w:bCs/>
          <w:szCs w:val="24"/>
          <w:lang w:eastAsia="en-AU"/>
        </w:rPr>
        <w:t xml:space="preserve">ension </w:t>
      </w:r>
      <w:r>
        <w:rPr>
          <w:rFonts w:cs="Calibri-Bold"/>
          <w:bCs/>
          <w:szCs w:val="24"/>
          <w:lang w:eastAsia="en-AU"/>
        </w:rPr>
        <w:t>recipients</w:t>
      </w:r>
      <w:r w:rsidR="00674E68" w:rsidRPr="00674E68">
        <w:rPr>
          <w:rFonts w:cs="Calibri-Bold"/>
          <w:bCs/>
          <w:szCs w:val="24"/>
          <w:lang w:eastAsia="en-AU"/>
        </w:rPr>
        <w:t>;</w:t>
      </w:r>
    </w:p>
    <w:p w:rsidR="00674E68" w:rsidRPr="00674E68" w:rsidRDefault="00674E68" w:rsidP="00674E68">
      <w:pPr>
        <w:pStyle w:val="ListParagraph"/>
        <w:numPr>
          <w:ilvl w:val="0"/>
          <w:numId w:val="16"/>
        </w:numPr>
        <w:spacing w:before="120" w:after="120" w:line="276" w:lineRule="auto"/>
        <w:contextualSpacing w:val="0"/>
        <w:rPr>
          <w:rFonts w:cs="Calibri-Bold"/>
          <w:bCs/>
          <w:szCs w:val="24"/>
          <w:lang w:eastAsia="en-AU"/>
        </w:rPr>
      </w:pPr>
      <w:r w:rsidRPr="00674E68">
        <w:rPr>
          <w:rFonts w:cs="Calibri-Bold"/>
          <w:bCs/>
          <w:szCs w:val="24"/>
          <w:lang w:eastAsia="en-AU"/>
        </w:rPr>
        <w:t xml:space="preserve">Households accessing a financial hardship </w:t>
      </w:r>
      <w:r w:rsidR="00E150F7">
        <w:rPr>
          <w:rFonts w:cs="Calibri-Bold"/>
          <w:bCs/>
          <w:szCs w:val="24"/>
          <w:lang w:eastAsia="en-AU"/>
        </w:rPr>
        <w:t>program</w:t>
      </w:r>
      <w:r w:rsidRPr="00674E68">
        <w:rPr>
          <w:rFonts w:cs="Calibri-Bold"/>
          <w:bCs/>
          <w:szCs w:val="24"/>
          <w:lang w:eastAsia="en-AU"/>
        </w:rPr>
        <w:t xml:space="preserve"> of an energy retailer,</w:t>
      </w:r>
    </w:p>
    <w:p w:rsidR="00674E68" w:rsidRPr="00674E68" w:rsidRDefault="00674E68" w:rsidP="00674E68">
      <w:pPr>
        <w:pStyle w:val="ListParagraph"/>
        <w:numPr>
          <w:ilvl w:val="0"/>
          <w:numId w:val="16"/>
        </w:numPr>
        <w:spacing w:before="120" w:after="120" w:line="276" w:lineRule="auto"/>
        <w:contextualSpacing w:val="0"/>
        <w:rPr>
          <w:rFonts w:cs="Calibri-Bold"/>
          <w:bCs/>
          <w:szCs w:val="24"/>
          <w:lang w:eastAsia="en-AU"/>
        </w:rPr>
      </w:pPr>
      <w:r w:rsidRPr="00674E68">
        <w:rPr>
          <w:rFonts w:cs="Calibri-Bold"/>
          <w:bCs/>
          <w:szCs w:val="24"/>
          <w:lang w:eastAsia="en-AU"/>
        </w:rPr>
        <w:t xml:space="preserve">Households experiencing financial hardship and referred by a specified community organisation or the </w:t>
      </w:r>
      <w:r w:rsidR="009C7485">
        <w:rPr>
          <w:rFonts w:cs="Calibri-Bold"/>
          <w:bCs/>
          <w:szCs w:val="24"/>
          <w:lang w:eastAsia="en-AU"/>
        </w:rPr>
        <w:t>ACT</w:t>
      </w:r>
      <w:r w:rsidRPr="00674E68">
        <w:rPr>
          <w:rFonts w:cs="Calibri-Bold"/>
          <w:bCs/>
          <w:szCs w:val="24"/>
          <w:lang w:eastAsia="en-AU"/>
        </w:rPr>
        <w:t xml:space="preserve"> Civil and Administrative Tribunal; and</w:t>
      </w:r>
    </w:p>
    <w:p w:rsidR="00674E68" w:rsidRPr="00674E68" w:rsidRDefault="00E150F7" w:rsidP="00674E68">
      <w:pPr>
        <w:pStyle w:val="ListParagraph"/>
        <w:numPr>
          <w:ilvl w:val="0"/>
          <w:numId w:val="16"/>
        </w:numPr>
        <w:spacing w:before="120" w:after="120" w:line="276" w:lineRule="auto"/>
        <w:contextualSpacing w:val="0"/>
        <w:rPr>
          <w:rFonts w:cs="Calibri-Bold"/>
          <w:bCs/>
          <w:szCs w:val="24"/>
          <w:lang w:eastAsia="en-AU"/>
        </w:rPr>
      </w:pPr>
      <w:r>
        <w:rPr>
          <w:rFonts w:cs="Calibri-Bold"/>
          <w:bCs/>
          <w:szCs w:val="24"/>
          <w:lang w:eastAsia="en-AU"/>
        </w:rPr>
        <w:t>People living in a priority dwelling, which includes</w:t>
      </w:r>
      <w:r w:rsidR="00674E68" w:rsidRPr="00674E68">
        <w:rPr>
          <w:rFonts w:cs="Calibri-Bold"/>
          <w:bCs/>
          <w:szCs w:val="24"/>
          <w:lang w:eastAsia="en-AU"/>
        </w:rPr>
        <w:t xml:space="preserve">: </w:t>
      </w:r>
    </w:p>
    <w:p w:rsidR="00674E68" w:rsidRPr="00674E68" w:rsidRDefault="00674E68" w:rsidP="004E36F8">
      <w:pPr>
        <w:pStyle w:val="ListParagraph"/>
        <w:numPr>
          <w:ilvl w:val="0"/>
          <w:numId w:val="18"/>
        </w:numPr>
        <w:spacing w:before="120" w:after="120" w:line="276" w:lineRule="auto"/>
        <w:contextualSpacing w:val="0"/>
        <w:rPr>
          <w:rFonts w:cs="Calibri-Bold"/>
          <w:bCs/>
          <w:szCs w:val="24"/>
          <w:lang w:eastAsia="en-AU"/>
        </w:rPr>
      </w:pPr>
      <w:r w:rsidRPr="00674E68">
        <w:rPr>
          <w:rFonts w:cs="Calibri-Bold"/>
          <w:bCs/>
          <w:szCs w:val="24"/>
          <w:lang w:eastAsia="en-AU"/>
        </w:rPr>
        <w:t>Public housing properties managed by Housing ACT;</w:t>
      </w:r>
    </w:p>
    <w:p w:rsidR="00674E68" w:rsidRPr="00674E68" w:rsidRDefault="00674E68" w:rsidP="004E36F8">
      <w:pPr>
        <w:pStyle w:val="ListParagraph"/>
        <w:numPr>
          <w:ilvl w:val="0"/>
          <w:numId w:val="18"/>
        </w:numPr>
        <w:spacing w:before="120" w:after="120" w:line="276" w:lineRule="auto"/>
        <w:contextualSpacing w:val="0"/>
        <w:rPr>
          <w:rFonts w:cs="Calibri-Bold"/>
          <w:bCs/>
          <w:szCs w:val="24"/>
          <w:lang w:eastAsia="en-AU"/>
        </w:rPr>
      </w:pPr>
      <w:r w:rsidRPr="00674E68">
        <w:rPr>
          <w:rFonts w:cs="Calibri-Bold"/>
          <w:bCs/>
          <w:szCs w:val="24"/>
          <w:lang w:eastAsia="en-AU"/>
        </w:rPr>
        <w:t>Not-for-profit community housing facilities;</w:t>
      </w:r>
    </w:p>
    <w:p w:rsidR="00674E68" w:rsidRPr="00674E68" w:rsidRDefault="00674E68" w:rsidP="004E36F8">
      <w:pPr>
        <w:pStyle w:val="ListParagraph"/>
        <w:numPr>
          <w:ilvl w:val="0"/>
          <w:numId w:val="18"/>
        </w:numPr>
        <w:spacing w:before="120" w:after="120" w:line="276" w:lineRule="auto"/>
        <w:contextualSpacing w:val="0"/>
        <w:rPr>
          <w:rFonts w:cs="Calibri-Bold"/>
          <w:bCs/>
          <w:szCs w:val="24"/>
          <w:lang w:eastAsia="en-AU"/>
        </w:rPr>
      </w:pPr>
      <w:r w:rsidRPr="00674E68">
        <w:rPr>
          <w:rFonts w:cs="Calibri-Bold"/>
          <w:bCs/>
          <w:szCs w:val="24"/>
          <w:lang w:eastAsia="en-AU"/>
        </w:rPr>
        <w:t xml:space="preserve">Not-for-profit aged care housing facilities; and </w:t>
      </w:r>
    </w:p>
    <w:p w:rsidR="00674E68" w:rsidRPr="00674E68" w:rsidRDefault="00674E68" w:rsidP="004E36F8">
      <w:pPr>
        <w:pStyle w:val="ListParagraph"/>
        <w:numPr>
          <w:ilvl w:val="0"/>
          <w:numId w:val="18"/>
        </w:numPr>
        <w:spacing w:before="120" w:after="120" w:line="276" w:lineRule="auto"/>
        <w:contextualSpacing w:val="0"/>
        <w:rPr>
          <w:rFonts w:cs="Calibri-Bold"/>
          <w:bCs/>
          <w:szCs w:val="24"/>
          <w:lang w:eastAsia="en-AU"/>
        </w:rPr>
      </w:pPr>
      <w:r w:rsidRPr="00674E68">
        <w:rPr>
          <w:rFonts w:cs="Calibri-Bold"/>
          <w:bCs/>
          <w:szCs w:val="24"/>
          <w:lang w:eastAsia="en-AU"/>
        </w:rPr>
        <w:lastRenderedPageBreak/>
        <w:t>Not-for-profit disability housing facilities.</w:t>
      </w:r>
    </w:p>
    <w:p w:rsidR="006D6B38" w:rsidRPr="00B65183" w:rsidRDefault="00CA1798" w:rsidP="002B5B8C">
      <w:pPr>
        <w:autoSpaceDE w:val="0"/>
        <w:autoSpaceDN w:val="0"/>
        <w:adjustRightInd w:val="0"/>
        <w:spacing w:before="120" w:after="120"/>
      </w:pPr>
      <w:r w:rsidRPr="00F45AF4">
        <w:rPr>
          <w:bCs/>
          <w:szCs w:val="24"/>
          <w:lang w:eastAsia="en-AU"/>
        </w:rPr>
        <w:t xml:space="preserve">The policy objective </w:t>
      </w:r>
      <w:r w:rsidR="00E150F7">
        <w:rPr>
          <w:bCs/>
          <w:szCs w:val="24"/>
          <w:lang w:eastAsia="en-AU"/>
        </w:rPr>
        <w:t xml:space="preserve">to </w:t>
      </w:r>
      <w:r w:rsidR="0039306B">
        <w:rPr>
          <w:bCs/>
          <w:szCs w:val="24"/>
          <w:lang w:eastAsia="en-AU"/>
        </w:rPr>
        <w:t>“</w:t>
      </w:r>
      <w:r w:rsidRPr="00F45AF4">
        <w:rPr>
          <w:bCs/>
          <w:szCs w:val="24"/>
          <w:lang w:eastAsia="en-AU"/>
        </w:rPr>
        <w:t>increas</w:t>
      </w:r>
      <w:r w:rsidR="0039306B">
        <w:rPr>
          <w:bCs/>
          <w:szCs w:val="24"/>
          <w:lang w:eastAsia="en-AU"/>
        </w:rPr>
        <w:t>e</w:t>
      </w:r>
      <w:r w:rsidRPr="00F45AF4">
        <w:rPr>
          <w:bCs/>
          <w:szCs w:val="24"/>
          <w:lang w:eastAsia="en-AU"/>
        </w:rPr>
        <w:t xml:space="preserve"> opportunities for priority households to reduce energy use and cost</w:t>
      </w:r>
      <w:r w:rsidR="00E150F7">
        <w:rPr>
          <w:bCs/>
          <w:szCs w:val="24"/>
          <w:lang w:eastAsia="en-AU"/>
        </w:rPr>
        <w:t>s</w:t>
      </w:r>
      <w:r w:rsidRPr="00F45AF4">
        <w:rPr>
          <w:bCs/>
          <w:szCs w:val="24"/>
          <w:lang w:eastAsia="en-AU"/>
        </w:rPr>
        <w:t xml:space="preserve">” is established </w:t>
      </w:r>
      <w:r w:rsidR="00E150F7">
        <w:rPr>
          <w:bCs/>
          <w:szCs w:val="24"/>
          <w:lang w:eastAsia="en-AU"/>
        </w:rPr>
        <w:t>by</w:t>
      </w:r>
      <w:r w:rsidRPr="00F45AF4">
        <w:rPr>
          <w:bCs/>
          <w:szCs w:val="24"/>
          <w:lang w:eastAsia="en-AU"/>
        </w:rPr>
        <w:t xml:space="preserve"> </w:t>
      </w:r>
      <w:r w:rsidR="00000320" w:rsidRPr="00F45AF4">
        <w:rPr>
          <w:bCs/>
          <w:szCs w:val="24"/>
          <w:lang w:eastAsia="en-AU"/>
        </w:rPr>
        <w:t>s</w:t>
      </w:r>
      <w:r w:rsidRPr="00F45AF4">
        <w:rPr>
          <w:bCs/>
          <w:szCs w:val="24"/>
          <w:lang w:eastAsia="en-AU"/>
        </w:rPr>
        <w:t>ection 6</w:t>
      </w:r>
      <w:r w:rsidR="009C7485">
        <w:rPr>
          <w:bCs/>
          <w:szCs w:val="24"/>
          <w:lang w:eastAsia="en-AU"/>
        </w:rPr>
        <w:t xml:space="preserve"> </w:t>
      </w:r>
      <w:r w:rsidR="00AD33F6" w:rsidRPr="00F45AF4">
        <w:rPr>
          <w:bCs/>
          <w:szCs w:val="24"/>
          <w:lang w:eastAsia="en-AU"/>
        </w:rPr>
        <w:t>(d)</w:t>
      </w:r>
      <w:r w:rsidRPr="00F45AF4">
        <w:rPr>
          <w:bCs/>
          <w:szCs w:val="24"/>
          <w:lang w:eastAsia="en-AU"/>
        </w:rPr>
        <w:t xml:space="preserve"> of the Act. </w:t>
      </w:r>
      <w:r w:rsidR="00BF68B0" w:rsidRPr="00F45AF4">
        <w:rPr>
          <w:bCs/>
          <w:szCs w:val="24"/>
          <w:lang w:eastAsia="en-AU"/>
        </w:rPr>
        <w:t xml:space="preserve">Section 8 of the Act requires the Minister to determine the </w:t>
      </w:r>
      <w:r w:rsidR="00183FB9" w:rsidRPr="00F45AF4">
        <w:rPr>
          <w:bCs/>
          <w:szCs w:val="24"/>
          <w:lang w:eastAsia="en-AU"/>
        </w:rPr>
        <w:t>PHT</w:t>
      </w:r>
      <w:r w:rsidR="00BF68B0" w:rsidRPr="00F45AF4">
        <w:rPr>
          <w:bCs/>
          <w:szCs w:val="24"/>
          <w:lang w:eastAsia="en-AU"/>
        </w:rPr>
        <w:t>.</w:t>
      </w:r>
      <w:r w:rsidR="002C0E57" w:rsidRPr="00F45AF4">
        <w:rPr>
          <w:bCs/>
          <w:szCs w:val="24"/>
          <w:lang w:eastAsia="en-AU"/>
        </w:rPr>
        <w:t xml:space="preserve"> </w:t>
      </w:r>
      <w:r w:rsidR="00F1527D" w:rsidRPr="00F45AF4">
        <w:rPr>
          <w:bCs/>
          <w:szCs w:val="24"/>
          <w:lang w:eastAsia="en-AU"/>
        </w:rPr>
        <w:t xml:space="preserve">Section </w:t>
      </w:r>
      <w:r w:rsidR="00587B63" w:rsidRPr="00F45AF4">
        <w:rPr>
          <w:bCs/>
          <w:szCs w:val="24"/>
          <w:lang w:eastAsia="en-AU"/>
        </w:rPr>
        <w:t>16</w:t>
      </w:r>
      <w:r w:rsidR="00F1527D" w:rsidRPr="00F45AF4">
        <w:rPr>
          <w:bCs/>
          <w:szCs w:val="24"/>
          <w:lang w:eastAsia="en-AU"/>
        </w:rPr>
        <w:t xml:space="preserve"> of the Act requires </w:t>
      </w:r>
      <w:r w:rsidR="009C7485">
        <w:rPr>
          <w:bCs/>
          <w:szCs w:val="24"/>
          <w:lang w:eastAsia="en-AU"/>
        </w:rPr>
        <w:t>t</w:t>
      </w:r>
      <w:r w:rsidR="00F1527D" w:rsidRPr="00F45AF4">
        <w:rPr>
          <w:bCs/>
          <w:szCs w:val="24"/>
          <w:lang w:eastAsia="en-AU"/>
        </w:rPr>
        <w:t xml:space="preserve">ier 1 retailers to achieve </w:t>
      </w:r>
      <w:r w:rsidR="00CE1CB7">
        <w:rPr>
          <w:bCs/>
          <w:szCs w:val="24"/>
          <w:lang w:eastAsia="en-AU"/>
        </w:rPr>
        <w:t>the retailer’s priority household obligation for a compliance period</w:t>
      </w:r>
      <w:r w:rsidR="00105038" w:rsidRPr="00F45AF4">
        <w:rPr>
          <w:bCs/>
          <w:szCs w:val="24"/>
          <w:lang w:eastAsia="en-AU"/>
        </w:rPr>
        <w:t xml:space="preserve">. </w:t>
      </w:r>
      <w:r w:rsidR="00AD33F6" w:rsidRPr="00F45AF4">
        <w:rPr>
          <w:bCs/>
          <w:szCs w:val="24"/>
          <w:lang w:eastAsia="en-AU"/>
        </w:rPr>
        <w:t>The disallowable instr</w:t>
      </w:r>
      <w:r w:rsidR="00476596" w:rsidRPr="00F45AF4">
        <w:rPr>
          <w:bCs/>
          <w:szCs w:val="24"/>
          <w:lang w:eastAsia="en-AU"/>
        </w:rPr>
        <w:t>u</w:t>
      </w:r>
      <w:r w:rsidR="00EB1852" w:rsidRPr="00F45AF4">
        <w:rPr>
          <w:bCs/>
          <w:szCs w:val="24"/>
          <w:lang w:eastAsia="en-AU"/>
        </w:rPr>
        <w:t xml:space="preserve">ment determines the PHT to be </w:t>
      </w:r>
      <w:r w:rsidR="003B3302">
        <w:rPr>
          <w:bCs/>
          <w:szCs w:val="24"/>
          <w:lang w:eastAsia="en-AU"/>
        </w:rPr>
        <w:t>30</w:t>
      </w:r>
      <w:r w:rsidR="00AD33F6" w:rsidRPr="00F45AF4">
        <w:rPr>
          <w:bCs/>
          <w:szCs w:val="24"/>
          <w:lang w:eastAsia="en-AU"/>
        </w:rPr>
        <w:t xml:space="preserve"> per cent</w:t>
      </w:r>
      <w:r w:rsidR="00674E68" w:rsidRPr="00F45AF4">
        <w:rPr>
          <w:bCs/>
          <w:szCs w:val="24"/>
          <w:lang w:eastAsia="en-AU"/>
        </w:rPr>
        <w:t xml:space="preserve"> </w:t>
      </w:r>
      <w:r w:rsidR="00674E68" w:rsidRPr="00553AA0">
        <w:rPr>
          <w:bCs/>
          <w:szCs w:val="24"/>
          <w:lang w:eastAsia="en-AU"/>
        </w:rPr>
        <w:t xml:space="preserve">for </w:t>
      </w:r>
      <w:r w:rsidR="00BF5C31">
        <w:rPr>
          <w:bCs/>
          <w:szCs w:val="24"/>
          <w:lang w:eastAsia="en-AU"/>
        </w:rPr>
        <w:t>the</w:t>
      </w:r>
      <w:r w:rsidR="00674E68" w:rsidRPr="00626FE3">
        <w:rPr>
          <w:bCs/>
          <w:szCs w:val="24"/>
          <w:lang w:eastAsia="en-AU"/>
        </w:rPr>
        <w:t xml:space="preserve"> 2020 compliance period</w:t>
      </w:r>
      <w:r w:rsidR="00AD33F6" w:rsidRPr="00F45AF4">
        <w:rPr>
          <w:bCs/>
          <w:szCs w:val="24"/>
          <w:lang w:eastAsia="en-AU"/>
        </w:rPr>
        <w:t xml:space="preserve">. </w:t>
      </w:r>
      <w:r w:rsidRPr="00F45AF4">
        <w:rPr>
          <w:bCs/>
          <w:szCs w:val="24"/>
          <w:lang w:eastAsia="en-AU"/>
        </w:rPr>
        <w:t>The disallowable instrument</w:t>
      </w:r>
      <w:r w:rsidR="00BF68B0" w:rsidRPr="00F45AF4">
        <w:rPr>
          <w:bCs/>
          <w:szCs w:val="24"/>
          <w:lang w:eastAsia="en-AU"/>
        </w:rPr>
        <w:t xml:space="preserve"> meets the policy objective </w:t>
      </w:r>
      <w:r w:rsidR="00CE1CB7">
        <w:rPr>
          <w:bCs/>
          <w:szCs w:val="24"/>
          <w:lang w:eastAsia="en-AU"/>
        </w:rPr>
        <w:t xml:space="preserve">of section 6 (d) </w:t>
      </w:r>
      <w:r w:rsidR="00BF68B0" w:rsidRPr="00F45AF4">
        <w:rPr>
          <w:bCs/>
          <w:szCs w:val="24"/>
          <w:lang w:eastAsia="en-AU"/>
        </w:rPr>
        <w:t xml:space="preserve">by </w:t>
      </w:r>
      <w:r w:rsidRPr="00F45AF4">
        <w:rPr>
          <w:bCs/>
          <w:szCs w:val="24"/>
          <w:lang w:eastAsia="en-AU"/>
        </w:rPr>
        <w:t xml:space="preserve">ensuring that a proportion of savings are achieved in </w:t>
      </w:r>
      <w:r w:rsidR="00AD33F6" w:rsidRPr="00F45AF4">
        <w:rPr>
          <w:bCs/>
          <w:szCs w:val="24"/>
          <w:lang w:eastAsia="en-AU"/>
        </w:rPr>
        <w:t xml:space="preserve">priority </w:t>
      </w:r>
      <w:r w:rsidRPr="00F45AF4">
        <w:rPr>
          <w:bCs/>
          <w:szCs w:val="24"/>
          <w:lang w:eastAsia="en-AU"/>
        </w:rPr>
        <w:t xml:space="preserve">households. </w:t>
      </w:r>
    </w:p>
    <w:p w:rsidR="004E36F8" w:rsidRPr="00F45AF4" w:rsidRDefault="00B57FBE" w:rsidP="00B65183">
      <w:pPr>
        <w:spacing w:before="120" w:after="120"/>
        <w:rPr>
          <w:rFonts w:cs="Calibri-Bold"/>
          <w:bCs/>
          <w:szCs w:val="24"/>
          <w:lang w:eastAsia="en-AU"/>
        </w:rPr>
      </w:pPr>
      <w:r w:rsidRPr="00F45AF4">
        <w:rPr>
          <w:rFonts w:cs="Calibri-Bold"/>
          <w:bCs/>
          <w:szCs w:val="24"/>
          <w:lang w:eastAsia="en-AU"/>
        </w:rPr>
        <w:t xml:space="preserve">An independent, post-implementation </w:t>
      </w:r>
      <w:r w:rsidR="00CE1CB7">
        <w:rPr>
          <w:rFonts w:cs="Calibri-Bold"/>
          <w:bCs/>
          <w:szCs w:val="24"/>
          <w:lang w:eastAsia="en-AU"/>
        </w:rPr>
        <w:t>r</w:t>
      </w:r>
      <w:r w:rsidRPr="00F45AF4">
        <w:rPr>
          <w:rFonts w:cs="Calibri-Bold"/>
          <w:bCs/>
          <w:szCs w:val="24"/>
          <w:lang w:eastAsia="en-AU"/>
        </w:rPr>
        <w:t>eview</w:t>
      </w:r>
      <w:r w:rsidR="004E36F8">
        <w:rPr>
          <w:rStyle w:val="FootnoteReference"/>
          <w:bCs/>
          <w:lang w:eastAsia="en-AU"/>
        </w:rPr>
        <w:footnoteReference w:id="1"/>
      </w:r>
      <w:r w:rsidRPr="00F45AF4">
        <w:rPr>
          <w:rFonts w:cs="Calibri-Bold"/>
          <w:bCs/>
          <w:szCs w:val="24"/>
          <w:lang w:eastAsia="en-AU"/>
        </w:rPr>
        <w:t xml:space="preserve"> of the EEIS was carried out in early 2018 to assess whether </w:t>
      </w:r>
      <w:r w:rsidR="009C7485">
        <w:rPr>
          <w:rFonts w:cs="Calibri-Bold"/>
          <w:bCs/>
          <w:szCs w:val="24"/>
          <w:lang w:eastAsia="en-AU"/>
        </w:rPr>
        <w:t xml:space="preserve">the </w:t>
      </w:r>
      <w:r w:rsidRPr="00F45AF4">
        <w:rPr>
          <w:rFonts w:cs="Calibri-Bold"/>
          <w:bCs/>
          <w:szCs w:val="24"/>
          <w:lang w:eastAsia="en-AU"/>
        </w:rPr>
        <w:t xml:space="preserve">EEIS remains appropriate, and how effective and efficient it has been in tackling the original policy problems and scheme objectives. The </w:t>
      </w:r>
      <w:r w:rsidR="009C7485">
        <w:rPr>
          <w:rFonts w:cs="Calibri-Bold"/>
          <w:bCs/>
          <w:szCs w:val="24"/>
          <w:lang w:eastAsia="en-AU"/>
        </w:rPr>
        <w:t>r</w:t>
      </w:r>
      <w:r w:rsidRPr="00F45AF4">
        <w:rPr>
          <w:rFonts w:cs="Calibri-Bold"/>
          <w:bCs/>
          <w:szCs w:val="24"/>
          <w:lang w:eastAsia="en-AU"/>
        </w:rPr>
        <w:t xml:space="preserve">eview </w:t>
      </w:r>
      <w:r w:rsidR="00CE1CB7">
        <w:rPr>
          <w:rFonts w:cs="Calibri-Bold"/>
          <w:bCs/>
          <w:szCs w:val="24"/>
          <w:lang w:eastAsia="en-AU"/>
        </w:rPr>
        <w:t>found</w:t>
      </w:r>
      <w:r w:rsidRPr="00F45AF4">
        <w:rPr>
          <w:rFonts w:cs="Calibri-Bold"/>
          <w:bCs/>
          <w:szCs w:val="24"/>
          <w:lang w:eastAsia="en-AU"/>
        </w:rPr>
        <w:t xml:space="preserve"> that the EEIS has fulfilled its four objectives, which include reducing energy use and costs for priority households.</w:t>
      </w:r>
    </w:p>
    <w:p w:rsidR="00062E55" w:rsidRPr="00F45AF4" w:rsidRDefault="00415484" w:rsidP="00F45AF4">
      <w:pPr>
        <w:rPr>
          <w:lang w:eastAsia="en-AU"/>
        </w:rPr>
      </w:pPr>
      <w:r w:rsidRPr="00F45AF4">
        <w:rPr>
          <w:rFonts w:cs="Calibri-Bold"/>
          <w:bCs/>
          <w:szCs w:val="24"/>
          <w:lang w:eastAsia="en-AU"/>
        </w:rPr>
        <w:t xml:space="preserve">According to the </w:t>
      </w:r>
      <w:r w:rsidR="009C7485">
        <w:rPr>
          <w:rFonts w:cs="Calibri-Bold"/>
          <w:bCs/>
          <w:szCs w:val="24"/>
          <w:lang w:eastAsia="en-AU"/>
        </w:rPr>
        <w:t>r</w:t>
      </w:r>
      <w:r w:rsidRPr="00F45AF4">
        <w:rPr>
          <w:rFonts w:cs="Calibri-Bold"/>
          <w:bCs/>
          <w:szCs w:val="24"/>
          <w:lang w:eastAsia="en-AU"/>
        </w:rPr>
        <w:t>eview, which had an extensive stakeholder consultation process, t</w:t>
      </w:r>
      <w:r w:rsidR="00B57FBE" w:rsidRPr="00F45AF4">
        <w:rPr>
          <w:rFonts w:cs="Calibri-Bold"/>
          <w:bCs/>
          <w:szCs w:val="24"/>
          <w:lang w:eastAsia="en-AU"/>
        </w:rPr>
        <w:t xml:space="preserve">he </w:t>
      </w:r>
      <w:r w:rsidR="00CE1CB7">
        <w:rPr>
          <w:rFonts w:cs="Calibri-Bold"/>
          <w:bCs/>
          <w:szCs w:val="24"/>
          <w:lang w:eastAsia="en-AU"/>
        </w:rPr>
        <w:t>t</w:t>
      </w:r>
      <w:r w:rsidR="00B57FBE" w:rsidRPr="00F45AF4">
        <w:rPr>
          <w:rFonts w:cs="Calibri-Bold"/>
          <w:bCs/>
          <w:szCs w:val="24"/>
          <w:lang w:eastAsia="en-AU"/>
        </w:rPr>
        <w:t xml:space="preserve">ier 1 retailer’s PHT </w:t>
      </w:r>
      <w:r w:rsidRPr="00F45AF4">
        <w:rPr>
          <w:rFonts w:cs="Calibri-Bold"/>
          <w:bCs/>
          <w:szCs w:val="24"/>
          <w:lang w:eastAsia="en-AU"/>
        </w:rPr>
        <w:t>is</w:t>
      </w:r>
      <w:r w:rsidR="00B57FBE" w:rsidRPr="00F45AF4">
        <w:rPr>
          <w:rFonts w:cs="Calibri-Bold"/>
          <w:bCs/>
          <w:szCs w:val="24"/>
          <w:lang w:eastAsia="en-AU"/>
        </w:rPr>
        <w:t xml:space="preserve"> an effective way to ensure that a proportion of the activities and hence benefits flow on to low income households.</w:t>
      </w:r>
      <w:r w:rsidRPr="00F45AF4">
        <w:rPr>
          <w:rFonts w:cs="Calibri-Bold"/>
          <w:bCs/>
          <w:szCs w:val="24"/>
          <w:lang w:eastAsia="en-AU"/>
        </w:rPr>
        <w:t xml:space="preserve"> P</w:t>
      </w:r>
      <w:r w:rsidR="00B57FBE" w:rsidRPr="00F45AF4">
        <w:rPr>
          <w:lang w:eastAsia="en-AU"/>
        </w:rPr>
        <w:t xml:space="preserve">riority households have been well served by the EEIS </w:t>
      </w:r>
      <w:r w:rsidRPr="00F45AF4">
        <w:rPr>
          <w:lang w:eastAsia="en-AU"/>
        </w:rPr>
        <w:t>since the scheme started in 2013</w:t>
      </w:r>
      <w:r w:rsidR="00B57FBE" w:rsidRPr="00F45AF4">
        <w:rPr>
          <w:lang w:eastAsia="en-AU"/>
        </w:rPr>
        <w:t>, deliver</w:t>
      </w:r>
      <w:r w:rsidRPr="00F45AF4">
        <w:rPr>
          <w:lang w:eastAsia="en-AU"/>
        </w:rPr>
        <w:t>ing</w:t>
      </w:r>
      <w:r w:rsidR="00B57FBE" w:rsidRPr="00F45AF4">
        <w:rPr>
          <w:lang w:eastAsia="en-AU"/>
        </w:rPr>
        <w:t xml:space="preserve"> over </w:t>
      </w:r>
      <w:r w:rsidR="002B5B8C">
        <w:rPr>
          <w:lang w:eastAsia="en-AU"/>
        </w:rPr>
        <w:t>1M</w:t>
      </w:r>
      <w:r w:rsidR="00B57FBE" w:rsidRPr="00626FE3">
        <w:rPr>
          <w:lang w:eastAsia="en-AU"/>
        </w:rPr>
        <w:t xml:space="preserve"> GJ</w:t>
      </w:r>
      <w:r w:rsidR="00B57FBE" w:rsidRPr="00F45AF4">
        <w:rPr>
          <w:lang w:eastAsia="en-AU"/>
        </w:rPr>
        <w:t xml:space="preserve"> of lifetime energy savings in over </w:t>
      </w:r>
      <w:r w:rsidR="002B5B8C">
        <w:rPr>
          <w:lang w:eastAsia="en-AU"/>
        </w:rPr>
        <w:t>1</w:t>
      </w:r>
      <w:r w:rsidR="002030CD">
        <w:rPr>
          <w:lang w:eastAsia="en-AU"/>
        </w:rPr>
        <w:t>8</w:t>
      </w:r>
      <w:r w:rsidR="002B5B8C">
        <w:rPr>
          <w:lang w:eastAsia="en-AU"/>
        </w:rPr>
        <w:t>,000</w:t>
      </w:r>
      <w:r w:rsidR="00B57FBE" w:rsidRPr="00F45AF4">
        <w:rPr>
          <w:lang w:eastAsia="en-AU"/>
        </w:rPr>
        <w:t xml:space="preserve"> priority households, or</w:t>
      </w:r>
      <w:r w:rsidR="00B57FBE" w:rsidRPr="00626FE3">
        <w:rPr>
          <w:lang w:eastAsia="en-AU"/>
        </w:rPr>
        <w:t xml:space="preserve"> 2</w:t>
      </w:r>
      <w:r w:rsidR="002B5B8C">
        <w:rPr>
          <w:lang w:eastAsia="en-AU"/>
        </w:rPr>
        <w:t>4</w:t>
      </w:r>
      <w:r w:rsidR="00B57FBE" w:rsidRPr="00626FE3">
        <w:rPr>
          <w:lang w:eastAsia="en-AU"/>
        </w:rPr>
        <w:t>%</w:t>
      </w:r>
      <w:r w:rsidR="00B57FBE" w:rsidRPr="00F45AF4">
        <w:rPr>
          <w:color w:val="FF0000"/>
          <w:lang w:eastAsia="en-AU"/>
        </w:rPr>
        <w:t xml:space="preserve"> </w:t>
      </w:r>
      <w:r w:rsidR="00B57FBE" w:rsidRPr="00F45AF4">
        <w:rPr>
          <w:lang w:eastAsia="en-AU"/>
        </w:rPr>
        <w:t>of total scheme residential lifetime energy savings.</w:t>
      </w:r>
    </w:p>
    <w:p w:rsidR="00F45AF4" w:rsidRDefault="00415484" w:rsidP="00F45AF4">
      <w:pPr>
        <w:autoSpaceDE w:val="0"/>
        <w:autoSpaceDN w:val="0"/>
        <w:adjustRightInd w:val="0"/>
        <w:spacing w:before="120" w:after="120"/>
        <w:rPr>
          <w:bCs/>
          <w:szCs w:val="24"/>
          <w:lang w:eastAsia="en-AU"/>
        </w:rPr>
      </w:pPr>
      <w:r w:rsidRPr="00F215BF">
        <w:rPr>
          <w:bCs/>
          <w:szCs w:val="24"/>
          <w:lang w:eastAsia="en-AU"/>
        </w:rPr>
        <w:t>Targeted key stakeholder consultation undertaken on the proposed 20</w:t>
      </w:r>
      <w:r w:rsidR="002B5B8C">
        <w:rPr>
          <w:bCs/>
          <w:szCs w:val="24"/>
          <w:lang w:eastAsia="en-AU"/>
        </w:rPr>
        <w:t>20</w:t>
      </w:r>
      <w:r w:rsidR="004E36F8" w:rsidRPr="00F45AF4">
        <w:rPr>
          <w:bCs/>
          <w:szCs w:val="24"/>
          <w:lang w:eastAsia="en-AU"/>
        </w:rPr>
        <w:t xml:space="preserve"> </w:t>
      </w:r>
      <w:r w:rsidRPr="00F215BF">
        <w:rPr>
          <w:bCs/>
          <w:szCs w:val="24"/>
          <w:lang w:eastAsia="en-AU"/>
        </w:rPr>
        <w:t xml:space="preserve">PHT confirmed that </w:t>
      </w:r>
      <w:r w:rsidR="002B5B8C">
        <w:rPr>
          <w:bCs/>
          <w:szCs w:val="24"/>
          <w:lang w:eastAsia="en-AU"/>
        </w:rPr>
        <w:t>most stakeholders supported an increase in the PHT</w:t>
      </w:r>
      <w:r w:rsidR="00CE1CB7">
        <w:rPr>
          <w:bCs/>
          <w:szCs w:val="24"/>
          <w:lang w:eastAsia="en-AU"/>
        </w:rPr>
        <w:t>.</w:t>
      </w:r>
    </w:p>
    <w:p w:rsidR="002B5B8C" w:rsidRPr="00952DB2" w:rsidRDefault="002B5B8C" w:rsidP="00952DB2">
      <w:pPr>
        <w:autoSpaceDE w:val="0"/>
        <w:autoSpaceDN w:val="0"/>
        <w:adjustRightInd w:val="0"/>
        <w:spacing w:line="276" w:lineRule="auto"/>
        <w:rPr>
          <w:bCs/>
          <w:szCs w:val="24"/>
          <w:lang w:eastAsia="en-AU"/>
        </w:rPr>
      </w:pPr>
      <w:r>
        <w:t xml:space="preserve">The forecast abatement from priority households for 2019 and 2020 based on the $7 million ACT Government investment </w:t>
      </w:r>
      <w:r w:rsidR="00952DB2">
        <w:t xml:space="preserve">in energy efficient public housing </w:t>
      </w:r>
      <w:r>
        <w:t>is higher than 25</w:t>
      </w:r>
      <w:r w:rsidR="00E3336D">
        <w:t xml:space="preserve"> per cent</w:t>
      </w:r>
      <w:r>
        <w:t>.</w:t>
      </w:r>
    </w:p>
    <w:p w:rsidR="007842D1" w:rsidRDefault="007842D1" w:rsidP="007842D1">
      <w:pPr>
        <w:autoSpaceDE w:val="0"/>
        <w:autoSpaceDN w:val="0"/>
        <w:adjustRightInd w:val="0"/>
        <w:spacing w:line="276" w:lineRule="auto"/>
        <w:contextualSpacing/>
        <w:rPr>
          <w:bCs/>
          <w:szCs w:val="24"/>
          <w:lang w:eastAsia="en-AU"/>
        </w:rPr>
      </w:pPr>
    </w:p>
    <w:p w:rsidR="003969C8" w:rsidRPr="003969C8" w:rsidRDefault="003969C8" w:rsidP="003D7EC6">
      <w:pPr>
        <w:pStyle w:val="CommentText"/>
        <w:rPr>
          <w:b/>
          <w:i/>
          <w:sz w:val="24"/>
          <w:szCs w:val="24"/>
        </w:rPr>
      </w:pPr>
      <w:r w:rsidRPr="003969C8">
        <w:rPr>
          <w:b/>
          <w:i/>
          <w:sz w:val="24"/>
          <w:szCs w:val="24"/>
        </w:rPr>
        <w:t>Human Rights</w:t>
      </w:r>
    </w:p>
    <w:p w:rsidR="003969C8" w:rsidRDefault="003D7EC6" w:rsidP="003D7EC6">
      <w:pPr>
        <w:pStyle w:val="CommentText"/>
        <w:rPr>
          <w:sz w:val="24"/>
          <w:szCs w:val="24"/>
        </w:rPr>
      </w:pPr>
      <w:r w:rsidRPr="003D7EC6">
        <w:rPr>
          <w:sz w:val="24"/>
          <w:szCs w:val="24"/>
        </w:rPr>
        <w:t xml:space="preserve">The determination does not affect any human right set out in the </w:t>
      </w:r>
      <w:r w:rsidRPr="003D7EC6">
        <w:rPr>
          <w:i/>
          <w:sz w:val="24"/>
          <w:szCs w:val="24"/>
        </w:rPr>
        <w:t>Human Rights Act</w:t>
      </w:r>
      <w:r w:rsidR="00E82CE2">
        <w:rPr>
          <w:i/>
          <w:sz w:val="24"/>
          <w:szCs w:val="24"/>
        </w:rPr>
        <w:t> </w:t>
      </w:r>
      <w:r w:rsidRPr="003D7EC6">
        <w:rPr>
          <w:i/>
          <w:sz w:val="24"/>
          <w:szCs w:val="24"/>
        </w:rPr>
        <w:t>2004</w:t>
      </w:r>
      <w:r w:rsidRPr="003D7EC6">
        <w:rPr>
          <w:sz w:val="24"/>
          <w:szCs w:val="24"/>
        </w:rPr>
        <w:t xml:space="preserve">.  </w:t>
      </w:r>
    </w:p>
    <w:p w:rsidR="003969C8" w:rsidRDefault="003969C8" w:rsidP="003D7EC6">
      <w:pPr>
        <w:pStyle w:val="CommentText"/>
        <w:rPr>
          <w:sz w:val="24"/>
          <w:szCs w:val="24"/>
        </w:rPr>
      </w:pPr>
    </w:p>
    <w:p w:rsidR="00BC63DF" w:rsidRDefault="00BC63DF" w:rsidP="007E747B">
      <w:pPr>
        <w:autoSpaceDE w:val="0"/>
        <w:autoSpaceDN w:val="0"/>
        <w:adjustRightInd w:val="0"/>
        <w:rPr>
          <w:rFonts w:ascii="Arial" w:hAnsi="Arial" w:cs="Arial"/>
          <w:b/>
          <w:bCs/>
          <w:szCs w:val="24"/>
          <w:lang w:eastAsia="en-AU"/>
        </w:rPr>
      </w:pPr>
    </w:p>
    <w:p w:rsidR="00204050" w:rsidRPr="00204050" w:rsidRDefault="00204050" w:rsidP="00187C28">
      <w:pPr>
        <w:autoSpaceDE w:val="0"/>
        <w:autoSpaceDN w:val="0"/>
        <w:adjustRightInd w:val="0"/>
        <w:rPr>
          <w:rFonts w:ascii="Arial" w:hAnsi="Arial" w:cs="Arial"/>
          <w:b/>
          <w:bCs/>
          <w:szCs w:val="24"/>
          <w:lang w:eastAsia="en-AU"/>
        </w:rPr>
      </w:pPr>
      <w:r w:rsidRPr="00204050">
        <w:rPr>
          <w:rFonts w:ascii="Arial" w:hAnsi="Arial" w:cs="Arial"/>
          <w:b/>
          <w:bCs/>
          <w:szCs w:val="24"/>
          <w:lang w:eastAsia="en-AU"/>
        </w:rPr>
        <w:t>Outline of provisions</w:t>
      </w:r>
    </w:p>
    <w:p w:rsidR="00204050" w:rsidRDefault="00204050" w:rsidP="00187C28">
      <w:pPr>
        <w:autoSpaceDE w:val="0"/>
        <w:autoSpaceDN w:val="0"/>
        <w:adjustRightInd w:val="0"/>
        <w:rPr>
          <w:rFonts w:ascii="Arial" w:hAnsi="Arial" w:cs="Arial"/>
          <w:bCs/>
          <w:szCs w:val="24"/>
          <w:lang w:eastAsia="en-AU"/>
        </w:rPr>
      </w:pPr>
    </w:p>
    <w:p w:rsidR="008E5A95" w:rsidRDefault="00000320" w:rsidP="008E5A95">
      <w:pPr>
        <w:autoSpaceDE w:val="0"/>
        <w:autoSpaceDN w:val="0"/>
        <w:adjustRightInd w:val="0"/>
        <w:rPr>
          <w:b/>
          <w:bCs/>
          <w:sz w:val="23"/>
          <w:szCs w:val="23"/>
        </w:rPr>
      </w:pPr>
      <w:r>
        <w:rPr>
          <w:b/>
          <w:bCs/>
          <w:szCs w:val="24"/>
        </w:rPr>
        <w:t>Section</w:t>
      </w:r>
      <w:r w:rsidRPr="00AD33F6">
        <w:rPr>
          <w:b/>
          <w:bCs/>
          <w:szCs w:val="24"/>
        </w:rPr>
        <w:t xml:space="preserve"> </w:t>
      </w:r>
      <w:r w:rsidR="00290D5A">
        <w:rPr>
          <w:b/>
          <w:bCs/>
          <w:szCs w:val="24"/>
        </w:rPr>
        <w:t>1</w:t>
      </w:r>
      <w:r w:rsidR="008E5A95" w:rsidRPr="00AD33F6">
        <w:rPr>
          <w:b/>
          <w:bCs/>
          <w:szCs w:val="24"/>
        </w:rPr>
        <w:t xml:space="preserve">- Name of instrument </w:t>
      </w:r>
    </w:p>
    <w:p w:rsidR="008E5A95" w:rsidRPr="0083344A" w:rsidRDefault="000D6B88" w:rsidP="00D44ADA">
      <w:pPr>
        <w:autoSpaceDE w:val="0"/>
        <w:autoSpaceDN w:val="0"/>
        <w:adjustRightInd w:val="0"/>
        <w:spacing w:before="120" w:after="120"/>
        <w:rPr>
          <w:bCs/>
          <w:szCs w:val="24"/>
          <w:lang w:eastAsia="en-AU"/>
        </w:rPr>
      </w:pPr>
      <w:r w:rsidRPr="0083344A">
        <w:rPr>
          <w:bCs/>
          <w:szCs w:val="24"/>
          <w:lang w:eastAsia="en-AU"/>
        </w:rPr>
        <w:t xml:space="preserve">This </w:t>
      </w:r>
      <w:r w:rsidR="00000320">
        <w:rPr>
          <w:bCs/>
          <w:szCs w:val="24"/>
          <w:lang w:eastAsia="en-AU"/>
        </w:rPr>
        <w:t>section</w:t>
      </w:r>
      <w:r w:rsidR="00000320" w:rsidRPr="0083344A">
        <w:rPr>
          <w:bCs/>
          <w:szCs w:val="24"/>
          <w:lang w:eastAsia="en-AU"/>
        </w:rPr>
        <w:t xml:space="preserve"> </w:t>
      </w:r>
      <w:r w:rsidRPr="0083344A">
        <w:rPr>
          <w:bCs/>
          <w:szCs w:val="24"/>
          <w:lang w:eastAsia="en-AU"/>
        </w:rPr>
        <w:t>names the instrument</w:t>
      </w:r>
      <w:r w:rsidR="00A757B4">
        <w:rPr>
          <w:bCs/>
          <w:szCs w:val="24"/>
          <w:lang w:eastAsia="en-AU"/>
        </w:rPr>
        <w:t xml:space="preserve"> as the </w:t>
      </w:r>
      <w:r w:rsidR="00A757B4" w:rsidRPr="00A757B4">
        <w:rPr>
          <w:bCs/>
          <w:i/>
          <w:szCs w:val="24"/>
          <w:lang w:eastAsia="en-AU"/>
        </w:rPr>
        <w:t>Energy Efficiency (Cost of Living) Improvement (Priority Household Target) Determination 2019</w:t>
      </w:r>
      <w:r w:rsidRPr="0083344A">
        <w:rPr>
          <w:bCs/>
          <w:szCs w:val="24"/>
          <w:lang w:eastAsia="en-AU"/>
        </w:rPr>
        <w:t>.</w:t>
      </w:r>
    </w:p>
    <w:p w:rsidR="00952DB2" w:rsidRDefault="00952DB2" w:rsidP="008E5A95">
      <w:pPr>
        <w:autoSpaceDE w:val="0"/>
        <w:autoSpaceDN w:val="0"/>
        <w:adjustRightInd w:val="0"/>
        <w:rPr>
          <w:b/>
          <w:bCs/>
          <w:szCs w:val="24"/>
        </w:rPr>
      </w:pPr>
    </w:p>
    <w:p w:rsidR="008E5A95" w:rsidRDefault="00000320" w:rsidP="008E5A95">
      <w:pPr>
        <w:autoSpaceDE w:val="0"/>
        <w:autoSpaceDN w:val="0"/>
        <w:adjustRightInd w:val="0"/>
        <w:rPr>
          <w:b/>
          <w:bCs/>
          <w:sz w:val="23"/>
          <w:szCs w:val="23"/>
        </w:rPr>
      </w:pPr>
      <w:r>
        <w:rPr>
          <w:b/>
          <w:bCs/>
          <w:szCs w:val="24"/>
        </w:rPr>
        <w:t>Section</w:t>
      </w:r>
      <w:r w:rsidRPr="00AD33F6">
        <w:rPr>
          <w:b/>
          <w:bCs/>
          <w:szCs w:val="24"/>
        </w:rPr>
        <w:t xml:space="preserve"> </w:t>
      </w:r>
      <w:r w:rsidR="008E5A95" w:rsidRPr="00AD33F6">
        <w:rPr>
          <w:b/>
          <w:bCs/>
          <w:szCs w:val="24"/>
        </w:rPr>
        <w:t>2 - Commencement</w:t>
      </w:r>
    </w:p>
    <w:p w:rsidR="008E5A95" w:rsidRPr="0083344A" w:rsidRDefault="000D6B88" w:rsidP="00D44ADA">
      <w:pPr>
        <w:autoSpaceDE w:val="0"/>
        <w:autoSpaceDN w:val="0"/>
        <w:adjustRightInd w:val="0"/>
        <w:spacing w:before="120" w:after="120"/>
        <w:rPr>
          <w:bCs/>
          <w:szCs w:val="24"/>
          <w:lang w:eastAsia="en-AU"/>
        </w:rPr>
      </w:pPr>
      <w:r w:rsidRPr="0083344A">
        <w:rPr>
          <w:bCs/>
          <w:szCs w:val="24"/>
          <w:lang w:eastAsia="en-AU"/>
        </w:rPr>
        <w:t xml:space="preserve">This </w:t>
      </w:r>
      <w:r w:rsidR="00000320">
        <w:rPr>
          <w:bCs/>
          <w:szCs w:val="24"/>
          <w:lang w:eastAsia="en-AU"/>
        </w:rPr>
        <w:t>section</w:t>
      </w:r>
      <w:r w:rsidR="00000320" w:rsidRPr="0083344A">
        <w:rPr>
          <w:bCs/>
          <w:szCs w:val="24"/>
          <w:lang w:eastAsia="en-AU"/>
        </w:rPr>
        <w:t xml:space="preserve"> </w:t>
      </w:r>
      <w:r w:rsidRPr="0083344A">
        <w:rPr>
          <w:bCs/>
          <w:szCs w:val="24"/>
          <w:lang w:eastAsia="en-AU"/>
        </w:rPr>
        <w:t>provides for the commencement of the instrument</w:t>
      </w:r>
      <w:r w:rsidR="00A757B4">
        <w:rPr>
          <w:bCs/>
          <w:szCs w:val="24"/>
          <w:lang w:eastAsia="en-AU"/>
        </w:rPr>
        <w:t>, which will be the day after its notification day</w:t>
      </w:r>
      <w:r w:rsidRPr="0083344A">
        <w:rPr>
          <w:bCs/>
          <w:szCs w:val="24"/>
          <w:lang w:eastAsia="en-AU"/>
        </w:rPr>
        <w:t>.</w:t>
      </w:r>
    </w:p>
    <w:p w:rsidR="007B2EB9" w:rsidRDefault="007B2EB9" w:rsidP="007E747B">
      <w:pPr>
        <w:autoSpaceDE w:val="0"/>
        <w:autoSpaceDN w:val="0"/>
        <w:adjustRightInd w:val="0"/>
        <w:rPr>
          <w:szCs w:val="24"/>
          <w:lang w:eastAsia="en-AU"/>
        </w:rPr>
      </w:pPr>
    </w:p>
    <w:p w:rsidR="0083344A" w:rsidRDefault="00000320" w:rsidP="007E747B">
      <w:pPr>
        <w:autoSpaceDE w:val="0"/>
        <w:autoSpaceDN w:val="0"/>
        <w:adjustRightInd w:val="0"/>
        <w:rPr>
          <w:bCs/>
          <w:szCs w:val="24"/>
          <w:lang w:eastAsia="en-AU"/>
        </w:rPr>
      </w:pPr>
      <w:r>
        <w:rPr>
          <w:b/>
        </w:rPr>
        <w:lastRenderedPageBreak/>
        <w:t>Section</w:t>
      </w:r>
      <w:r w:rsidRPr="00AD33F6">
        <w:rPr>
          <w:b/>
        </w:rPr>
        <w:t xml:space="preserve"> </w:t>
      </w:r>
      <w:r w:rsidR="00480D7B" w:rsidRPr="00AD33F6">
        <w:rPr>
          <w:b/>
        </w:rPr>
        <w:t>3</w:t>
      </w:r>
      <w:r w:rsidR="0083344A" w:rsidRPr="00AD33F6">
        <w:rPr>
          <w:b/>
        </w:rPr>
        <w:t xml:space="preserve"> – </w:t>
      </w:r>
      <w:r w:rsidR="00222AE1" w:rsidRPr="00AD33F6">
        <w:rPr>
          <w:b/>
        </w:rPr>
        <w:t xml:space="preserve">Determination of the </w:t>
      </w:r>
      <w:r w:rsidR="00A46FF1">
        <w:rPr>
          <w:b/>
        </w:rPr>
        <w:t>p</w:t>
      </w:r>
      <w:r w:rsidR="00222AE1" w:rsidRPr="00AD33F6">
        <w:rPr>
          <w:b/>
        </w:rPr>
        <w:t xml:space="preserve">riority </w:t>
      </w:r>
      <w:r w:rsidR="00A46FF1">
        <w:rPr>
          <w:b/>
        </w:rPr>
        <w:t>h</w:t>
      </w:r>
      <w:r w:rsidR="00222AE1" w:rsidRPr="00AD33F6">
        <w:rPr>
          <w:b/>
        </w:rPr>
        <w:t xml:space="preserve">ousehold </w:t>
      </w:r>
      <w:r w:rsidR="00A46FF1">
        <w:rPr>
          <w:b/>
        </w:rPr>
        <w:t>t</w:t>
      </w:r>
      <w:r w:rsidR="00222AE1" w:rsidRPr="00AD33F6">
        <w:rPr>
          <w:b/>
        </w:rPr>
        <w:t>arget</w:t>
      </w:r>
    </w:p>
    <w:p w:rsidR="000D6B88" w:rsidRPr="0083344A" w:rsidRDefault="00000320" w:rsidP="00D44ADA">
      <w:pPr>
        <w:autoSpaceDE w:val="0"/>
        <w:autoSpaceDN w:val="0"/>
        <w:adjustRightInd w:val="0"/>
        <w:spacing w:before="120" w:after="120"/>
        <w:rPr>
          <w:bCs/>
          <w:szCs w:val="24"/>
          <w:lang w:eastAsia="en-AU"/>
        </w:rPr>
      </w:pPr>
      <w:r>
        <w:rPr>
          <w:bCs/>
          <w:szCs w:val="24"/>
          <w:lang w:eastAsia="en-AU"/>
        </w:rPr>
        <w:t xml:space="preserve">By this section, the Minister determines the </w:t>
      </w:r>
      <w:r w:rsidR="003D7EC6">
        <w:rPr>
          <w:bCs/>
          <w:szCs w:val="24"/>
          <w:lang w:eastAsia="en-AU"/>
        </w:rPr>
        <w:t>Priority Household Target</w:t>
      </w:r>
      <w:r>
        <w:rPr>
          <w:bCs/>
          <w:szCs w:val="24"/>
          <w:lang w:eastAsia="en-AU"/>
        </w:rPr>
        <w:t xml:space="preserve"> </w:t>
      </w:r>
      <w:r w:rsidR="00A757B4">
        <w:rPr>
          <w:bCs/>
          <w:szCs w:val="24"/>
          <w:lang w:eastAsia="en-AU"/>
        </w:rPr>
        <w:t>as</w:t>
      </w:r>
      <w:r>
        <w:rPr>
          <w:bCs/>
          <w:szCs w:val="24"/>
          <w:lang w:eastAsia="en-AU"/>
        </w:rPr>
        <w:t xml:space="preserve"> </w:t>
      </w:r>
      <w:r w:rsidR="003B3302">
        <w:rPr>
          <w:bCs/>
          <w:szCs w:val="24"/>
          <w:lang w:eastAsia="en-AU"/>
        </w:rPr>
        <w:t>30</w:t>
      </w:r>
      <w:r>
        <w:rPr>
          <w:bCs/>
          <w:szCs w:val="24"/>
          <w:lang w:eastAsia="en-AU"/>
        </w:rPr>
        <w:t xml:space="preserve"> per cent for </w:t>
      </w:r>
      <w:r w:rsidR="00553AA0" w:rsidRPr="00626FE3">
        <w:rPr>
          <w:bCs/>
          <w:szCs w:val="24"/>
          <w:lang w:eastAsia="en-AU"/>
        </w:rPr>
        <w:t>2020</w:t>
      </w:r>
      <w:r w:rsidR="000D6B88" w:rsidRPr="00626FE3">
        <w:rPr>
          <w:bCs/>
          <w:szCs w:val="24"/>
          <w:lang w:eastAsia="en-AU"/>
        </w:rPr>
        <w:t>.</w:t>
      </w:r>
    </w:p>
    <w:p w:rsidR="00BC63DF" w:rsidRDefault="00222AE1" w:rsidP="00222AE1">
      <w:pPr>
        <w:tabs>
          <w:tab w:val="left" w:pos="3267"/>
        </w:tabs>
        <w:autoSpaceDE w:val="0"/>
        <w:autoSpaceDN w:val="0"/>
        <w:adjustRightInd w:val="0"/>
        <w:rPr>
          <w:szCs w:val="24"/>
          <w:lang w:eastAsia="en-AU"/>
        </w:rPr>
      </w:pPr>
      <w:r>
        <w:rPr>
          <w:szCs w:val="24"/>
          <w:lang w:eastAsia="en-AU"/>
        </w:rPr>
        <w:tab/>
      </w:r>
    </w:p>
    <w:p w:rsidR="0083344A" w:rsidRPr="0083344A" w:rsidRDefault="0083344A" w:rsidP="007E747B">
      <w:pPr>
        <w:autoSpaceDE w:val="0"/>
        <w:autoSpaceDN w:val="0"/>
        <w:adjustRightInd w:val="0"/>
        <w:rPr>
          <w:szCs w:val="24"/>
          <w:lang w:eastAsia="en-AU"/>
        </w:rPr>
      </w:pPr>
    </w:p>
    <w:sectPr w:rsidR="0083344A" w:rsidRPr="0083344A"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9E" w:rsidRDefault="0024249E" w:rsidP="006815C9">
      <w:r>
        <w:separator/>
      </w:r>
    </w:p>
  </w:endnote>
  <w:endnote w:type="continuationSeparator" w:id="0">
    <w:p w:rsidR="0024249E" w:rsidRDefault="0024249E"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122" w:rsidRDefault="0022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BA4" w:rsidRDefault="00556BA4" w:rsidP="0083344A">
    <w:pPr>
      <w:pStyle w:val="Footer"/>
      <w:jc w:val="center"/>
    </w:pPr>
    <w:r>
      <w:fldChar w:fldCharType="begin"/>
    </w:r>
    <w:r>
      <w:instrText xml:space="preserve"> PAGE   \* MERGEFORMAT </w:instrText>
    </w:r>
    <w:r>
      <w:fldChar w:fldCharType="separate"/>
    </w:r>
    <w:r w:rsidR="00336D81">
      <w:rPr>
        <w:noProof/>
      </w:rPr>
      <w:t>4</w:t>
    </w:r>
    <w:r>
      <w:fldChar w:fldCharType="end"/>
    </w:r>
  </w:p>
  <w:p w:rsidR="00737F6A" w:rsidRPr="00737F6A" w:rsidRDefault="00737F6A" w:rsidP="00737F6A">
    <w:pPr>
      <w:pStyle w:val="Footer"/>
      <w:jc w:val="center"/>
      <w:rPr>
        <w:rFonts w:cs="Arial"/>
        <w:sz w:val="14"/>
      </w:rPr>
    </w:pPr>
    <w:r w:rsidRPr="00737F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122" w:rsidRDefault="0022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9E" w:rsidRDefault="0024249E" w:rsidP="006815C9">
      <w:r>
        <w:separator/>
      </w:r>
    </w:p>
  </w:footnote>
  <w:footnote w:type="continuationSeparator" w:id="0">
    <w:p w:rsidR="0024249E" w:rsidRDefault="0024249E" w:rsidP="006815C9">
      <w:r>
        <w:continuationSeparator/>
      </w:r>
    </w:p>
  </w:footnote>
  <w:footnote w:id="1">
    <w:p w:rsidR="00000000" w:rsidRDefault="004E36F8" w:rsidP="004E36F8">
      <w:pPr>
        <w:pStyle w:val="FootnoteText"/>
        <w:jc w:val="left"/>
      </w:pPr>
      <w:r w:rsidRPr="00CE1CB7">
        <w:rPr>
          <w:rStyle w:val="FootnoteReference"/>
          <w:sz w:val="22"/>
          <w:szCs w:val="22"/>
        </w:rPr>
        <w:footnoteRef/>
      </w:r>
      <w:r w:rsidR="00626FE3" w:rsidRPr="00CE1CB7">
        <w:rPr>
          <w:sz w:val="22"/>
          <w:szCs w:val="22"/>
        </w:rPr>
        <w:t xml:space="preserve"> Point Advisory</w:t>
      </w:r>
      <w:r w:rsidR="001D3723" w:rsidRPr="00CE1CB7">
        <w:rPr>
          <w:sz w:val="22"/>
          <w:szCs w:val="22"/>
        </w:rPr>
        <w:t xml:space="preserve"> (2018) </w:t>
      </w:r>
      <w:r w:rsidR="001D3723" w:rsidRPr="00CE1CB7">
        <w:rPr>
          <w:i/>
          <w:sz w:val="22"/>
          <w:szCs w:val="22"/>
        </w:rPr>
        <w:t>Review of the Energy Efficiency Improvement Scheme.</w:t>
      </w:r>
      <w:r w:rsidRPr="00CE1CB7">
        <w:rPr>
          <w:sz w:val="22"/>
          <w:szCs w:val="22"/>
        </w:rPr>
        <w:t xml:space="preserve"> </w:t>
      </w:r>
      <w:hyperlink r:id="rId1" w:history="1">
        <w:r w:rsidR="00CE1CB7" w:rsidRPr="00CE1CB7">
          <w:rPr>
            <w:rStyle w:val="Hyperlink"/>
            <w:sz w:val="22"/>
            <w:szCs w:val="22"/>
          </w:rPr>
          <w:t>http://www.environment.act.gov.au/energy/smarter-use-of-energy/energy_efficiency_improvement_scheme/publications</w:t>
        </w:r>
      </w:hyperlink>
      <w:r w:rsidR="00626FE3" w:rsidRPr="001D3723">
        <w:rPr>
          <w:rStyle w:val="Hyperlink"/>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122" w:rsidRDefault="00225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122" w:rsidRDefault="00225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122" w:rsidRDefault="0022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605EAF"/>
    <w:multiLevelType w:val="hybridMultilevel"/>
    <w:tmpl w:val="051A1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A00A1F"/>
    <w:multiLevelType w:val="hybridMultilevel"/>
    <w:tmpl w:val="E7A2E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41F1C"/>
    <w:multiLevelType w:val="hybridMultilevel"/>
    <w:tmpl w:val="598EFA04"/>
    <w:lvl w:ilvl="0" w:tplc="87BA5F02">
      <w:start w:val="17"/>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1D674BD"/>
    <w:multiLevelType w:val="hybridMultilevel"/>
    <w:tmpl w:val="5EEC18F6"/>
    <w:lvl w:ilvl="0" w:tplc="0C090003">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064CF1"/>
    <w:multiLevelType w:val="hybridMultilevel"/>
    <w:tmpl w:val="DA8E0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A525F0"/>
    <w:multiLevelType w:val="hybridMultilevel"/>
    <w:tmpl w:val="323A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CD0D58"/>
    <w:multiLevelType w:val="hybridMultilevel"/>
    <w:tmpl w:val="FF0C081C"/>
    <w:lvl w:ilvl="0" w:tplc="E808336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54E058C0"/>
    <w:multiLevelType w:val="hybridMultilevel"/>
    <w:tmpl w:val="3098BE5C"/>
    <w:lvl w:ilvl="0" w:tplc="0C09001B">
      <w:start w:val="1"/>
      <w:numFmt w:val="lowerRoman"/>
      <w:lvlText w:val="%1."/>
      <w:lvlJc w:val="right"/>
      <w:pPr>
        <w:ind w:left="2160" w:hanging="360"/>
      </w:pPr>
      <w:rPr>
        <w:rFonts w:cs="Times New Roman"/>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5" w15:restartNumberingAfterBreak="0">
    <w:nsid w:val="563454CF"/>
    <w:multiLevelType w:val="multilevel"/>
    <w:tmpl w:val="B3E87DA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6" w15:restartNumberingAfterBreak="0">
    <w:nsid w:val="5CD21ED5"/>
    <w:multiLevelType w:val="hybridMultilevel"/>
    <w:tmpl w:val="FAA4F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C96751"/>
    <w:multiLevelType w:val="hybridMultilevel"/>
    <w:tmpl w:val="D1CC3B14"/>
    <w:lvl w:ilvl="0" w:tplc="0C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8" w15:restartNumberingAfterBreak="0">
    <w:nsid w:val="6A2438C5"/>
    <w:multiLevelType w:val="hybridMultilevel"/>
    <w:tmpl w:val="326CC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6FB66CDE"/>
    <w:multiLevelType w:val="hybridMultilevel"/>
    <w:tmpl w:val="FF0C081C"/>
    <w:lvl w:ilvl="0" w:tplc="E8083364">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7339113E"/>
    <w:multiLevelType w:val="hybridMultilevel"/>
    <w:tmpl w:val="FF0C081C"/>
    <w:lvl w:ilvl="0" w:tplc="E8083364">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76BB2685"/>
    <w:multiLevelType w:val="hybridMultilevel"/>
    <w:tmpl w:val="D1CC3B14"/>
    <w:lvl w:ilvl="0" w:tplc="0C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3" w15:restartNumberingAfterBreak="0">
    <w:nsid w:val="7C38337D"/>
    <w:multiLevelType w:val="hybridMultilevel"/>
    <w:tmpl w:val="DA92A21E"/>
    <w:lvl w:ilvl="0" w:tplc="E8083364">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7CAB0788"/>
    <w:multiLevelType w:val="hybridMultilevel"/>
    <w:tmpl w:val="FF0C081C"/>
    <w:lvl w:ilvl="0" w:tplc="E808336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9"/>
  </w:num>
  <w:num w:numId="5">
    <w:abstractNumId w:val="19"/>
  </w:num>
  <w:num w:numId="6">
    <w:abstractNumId w:val="2"/>
  </w:num>
  <w:num w:numId="7">
    <w:abstractNumId w:val="7"/>
  </w:num>
  <w:num w:numId="8">
    <w:abstractNumId w:val="8"/>
  </w:num>
  <w:num w:numId="9">
    <w:abstractNumId w:val="15"/>
  </w:num>
  <w:num w:numId="10">
    <w:abstractNumId w:val="11"/>
  </w:num>
  <w:num w:numId="11">
    <w:abstractNumId w:val="6"/>
  </w:num>
  <w:num w:numId="12">
    <w:abstractNumId w:val="24"/>
  </w:num>
  <w:num w:numId="13">
    <w:abstractNumId w:val="5"/>
  </w:num>
  <w:num w:numId="14">
    <w:abstractNumId w:val="16"/>
  </w:num>
  <w:num w:numId="15">
    <w:abstractNumId w:val="13"/>
  </w:num>
  <w:num w:numId="16">
    <w:abstractNumId w:val="21"/>
  </w:num>
  <w:num w:numId="17">
    <w:abstractNumId w:val="23"/>
  </w:num>
  <w:num w:numId="18">
    <w:abstractNumId w:val="17"/>
  </w:num>
  <w:num w:numId="19">
    <w:abstractNumId w:val="18"/>
  </w:num>
  <w:num w:numId="20">
    <w:abstractNumId w:val="20"/>
  </w:num>
  <w:num w:numId="21">
    <w:abstractNumId w:val="14"/>
  </w:num>
  <w:num w:numId="22">
    <w:abstractNumId w:val="22"/>
  </w:num>
  <w:num w:numId="23">
    <w:abstractNumId w:val="10"/>
  </w:num>
  <w:num w:numId="24">
    <w:abstractNumId w:val="10"/>
    <w:lvlOverride w:ilvl="0"/>
    <w:lvlOverride w:ilvl="1"/>
    <w:lvlOverride w:ilvl="2"/>
    <w:lvlOverride w:ilvl="3"/>
    <w:lvlOverride w:ilvl="4"/>
    <w:lvlOverride w:ilvl="5"/>
    <w:lvlOverride w:ilvl="6"/>
    <w:lvlOverride w:ilvl="7"/>
    <w:lvlOverride w:ilvl="8"/>
  </w:num>
  <w:num w:numId="25">
    <w:abstractNumId w:val="1"/>
    <w:lvlOverride w:ilvl="0"/>
    <w:lvlOverride w:ilvl="1"/>
    <w:lvlOverride w:ilvl="2"/>
    <w:lvlOverride w:ilvl="3"/>
    <w:lvlOverride w:ilvl="4"/>
    <w:lvlOverride w:ilvl="5"/>
    <w:lvlOverride w:ilvl="6"/>
    <w:lvlOverride w:ilvl="7"/>
    <w:lvlOverride w:ilvl="8"/>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5371D"/>
    <w:rsid w:val="00000320"/>
    <w:rsid w:val="00012E50"/>
    <w:rsid w:val="00040E22"/>
    <w:rsid w:val="00044283"/>
    <w:rsid w:val="00061A4E"/>
    <w:rsid w:val="00062E55"/>
    <w:rsid w:val="00091A42"/>
    <w:rsid w:val="00091A93"/>
    <w:rsid w:val="00091D34"/>
    <w:rsid w:val="000D6B88"/>
    <w:rsid w:val="001012F8"/>
    <w:rsid w:val="00105038"/>
    <w:rsid w:val="00127614"/>
    <w:rsid w:val="001573AF"/>
    <w:rsid w:val="00172BE2"/>
    <w:rsid w:val="00183FB9"/>
    <w:rsid w:val="00187C28"/>
    <w:rsid w:val="001A72BC"/>
    <w:rsid w:val="001D3723"/>
    <w:rsid w:val="002030CD"/>
    <w:rsid w:val="00204050"/>
    <w:rsid w:val="00222AE1"/>
    <w:rsid w:val="00225122"/>
    <w:rsid w:val="00225EFE"/>
    <w:rsid w:val="0024249E"/>
    <w:rsid w:val="002451EA"/>
    <w:rsid w:val="0025059C"/>
    <w:rsid w:val="002511C4"/>
    <w:rsid w:val="00255558"/>
    <w:rsid w:val="002651F2"/>
    <w:rsid w:val="00280EA6"/>
    <w:rsid w:val="00290D5A"/>
    <w:rsid w:val="002A79B2"/>
    <w:rsid w:val="002B45E1"/>
    <w:rsid w:val="002B5B8C"/>
    <w:rsid w:val="002C0E57"/>
    <w:rsid w:val="002D4164"/>
    <w:rsid w:val="002E3676"/>
    <w:rsid w:val="002E6F16"/>
    <w:rsid w:val="002F57D6"/>
    <w:rsid w:val="00313212"/>
    <w:rsid w:val="00336D81"/>
    <w:rsid w:val="00387795"/>
    <w:rsid w:val="0039306B"/>
    <w:rsid w:val="003962D5"/>
    <w:rsid w:val="003969C8"/>
    <w:rsid w:val="003B3302"/>
    <w:rsid w:val="003C369B"/>
    <w:rsid w:val="003D7EC6"/>
    <w:rsid w:val="00402CC8"/>
    <w:rsid w:val="00406B45"/>
    <w:rsid w:val="0041375F"/>
    <w:rsid w:val="00415484"/>
    <w:rsid w:val="00416C5C"/>
    <w:rsid w:val="00427943"/>
    <w:rsid w:val="00433B22"/>
    <w:rsid w:val="0046060E"/>
    <w:rsid w:val="00462A20"/>
    <w:rsid w:val="00476596"/>
    <w:rsid w:val="00476F1D"/>
    <w:rsid w:val="004809F0"/>
    <w:rsid w:val="00480D7B"/>
    <w:rsid w:val="00493100"/>
    <w:rsid w:val="004B4A08"/>
    <w:rsid w:val="004D37AE"/>
    <w:rsid w:val="004E1B13"/>
    <w:rsid w:val="004E2B1E"/>
    <w:rsid w:val="004E36F8"/>
    <w:rsid w:val="005259FD"/>
    <w:rsid w:val="0053079A"/>
    <w:rsid w:val="00540C87"/>
    <w:rsid w:val="00551FDB"/>
    <w:rsid w:val="00553AA0"/>
    <w:rsid w:val="00556BA4"/>
    <w:rsid w:val="0056002E"/>
    <w:rsid w:val="0056301F"/>
    <w:rsid w:val="00565410"/>
    <w:rsid w:val="005809D3"/>
    <w:rsid w:val="00583363"/>
    <w:rsid w:val="00587B63"/>
    <w:rsid w:val="0059407B"/>
    <w:rsid w:val="005D067B"/>
    <w:rsid w:val="00612026"/>
    <w:rsid w:val="00626FE3"/>
    <w:rsid w:val="00627FB4"/>
    <w:rsid w:val="00634762"/>
    <w:rsid w:val="00636781"/>
    <w:rsid w:val="0065302E"/>
    <w:rsid w:val="0066457F"/>
    <w:rsid w:val="00674E68"/>
    <w:rsid w:val="00675495"/>
    <w:rsid w:val="006815C9"/>
    <w:rsid w:val="0069360B"/>
    <w:rsid w:val="006A5EB5"/>
    <w:rsid w:val="006B420E"/>
    <w:rsid w:val="006C64A8"/>
    <w:rsid w:val="006D6306"/>
    <w:rsid w:val="006D6576"/>
    <w:rsid w:val="006D6B38"/>
    <w:rsid w:val="007145C8"/>
    <w:rsid w:val="00730C94"/>
    <w:rsid w:val="007337FE"/>
    <w:rsid w:val="0073684B"/>
    <w:rsid w:val="00737F6A"/>
    <w:rsid w:val="007649DB"/>
    <w:rsid w:val="00777C5C"/>
    <w:rsid w:val="007842D1"/>
    <w:rsid w:val="0079642A"/>
    <w:rsid w:val="007B01F1"/>
    <w:rsid w:val="007B2EB9"/>
    <w:rsid w:val="007D0B8F"/>
    <w:rsid w:val="007E747B"/>
    <w:rsid w:val="007E79D9"/>
    <w:rsid w:val="007F2013"/>
    <w:rsid w:val="008018AD"/>
    <w:rsid w:val="00830DDA"/>
    <w:rsid w:val="00832788"/>
    <w:rsid w:val="0083344A"/>
    <w:rsid w:val="008511EC"/>
    <w:rsid w:val="00887D46"/>
    <w:rsid w:val="008A31ED"/>
    <w:rsid w:val="008B0940"/>
    <w:rsid w:val="008E26C9"/>
    <w:rsid w:val="008E5A95"/>
    <w:rsid w:val="008E6B53"/>
    <w:rsid w:val="00905D60"/>
    <w:rsid w:val="0092235E"/>
    <w:rsid w:val="00927686"/>
    <w:rsid w:val="00935107"/>
    <w:rsid w:val="00940D84"/>
    <w:rsid w:val="00945060"/>
    <w:rsid w:val="00952DB2"/>
    <w:rsid w:val="00953947"/>
    <w:rsid w:val="0099607B"/>
    <w:rsid w:val="009A43AA"/>
    <w:rsid w:val="009B0C19"/>
    <w:rsid w:val="009B13F7"/>
    <w:rsid w:val="009B6965"/>
    <w:rsid w:val="009C70F9"/>
    <w:rsid w:val="009C7485"/>
    <w:rsid w:val="009D5972"/>
    <w:rsid w:val="00A27163"/>
    <w:rsid w:val="00A4503C"/>
    <w:rsid w:val="00A46FF1"/>
    <w:rsid w:val="00A61E73"/>
    <w:rsid w:val="00A678DD"/>
    <w:rsid w:val="00A757B4"/>
    <w:rsid w:val="00A75FBF"/>
    <w:rsid w:val="00A77835"/>
    <w:rsid w:val="00AA603A"/>
    <w:rsid w:val="00AB1B27"/>
    <w:rsid w:val="00AD33F6"/>
    <w:rsid w:val="00AE1B00"/>
    <w:rsid w:val="00AF7357"/>
    <w:rsid w:val="00B07615"/>
    <w:rsid w:val="00B11696"/>
    <w:rsid w:val="00B125E9"/>
    <w:rsid w:val="00B16CD1"/>
    <w:rsid w:val="00B20817"/>
    <w:rsid w:val="00B363A8"/>
    <w:rsid w:val="00B57FBE"/>
    <w:rsid w:val="00B65183"/>
    <w:rsid w:val="00BA6650"/>
    <w:rsid w:val="00BC0A6F"/>
    <w:rsid w:val="00BC63DF"/>
    <w:rsid w:val="00BE150C"/>
    <w:rsid w:val="00BF5C31"/>
    <w:rsid w:val="00BF68B0"/>
    <w:rsid w:val="00C1229D"/>
    <w:rsid w:val="00C1618B"/>
    <w:rsid w:val="00C173EF"/>
    <w:rsid w:val="00C5026C"/>
    <w:rsid w:val="00C655A4"/>
    <w:rsid w:val="00C745E0"/>
    <w:rsid w:val="00C94B1B"/>
    <w:rsid w:val="00CA1798"/>
    <w:rsid w:val="00CB09EB"/>
    <w:rsid w:val="00CC1D3A"/>
    <w:rsid w:val="00CC3AE0"/>
    <w:rsid w:val="00CD50A5"/>
    <w:rsid w:val="00CD510E"/>
    <w:rsid w:val="00CD62F1"/>
    <w:rsid w:val="00CE0540"/>
    <w:rsid w:val="00CE1CB7"/>
    <w:rsid w:val="00CF5D03"/>
    <w:rsid w:val="00D05F23"/>
    <w:rsid w:val="00D35A96"/>
    <w:rsid w:val="00D44ADA"/>
    <w:rsid w:val="00D45BB0"/>
    <w:rsid w:val="00D56EDC"/>
    <w:rsid w:val="00D65E14"/>
    <w:rsid w:val="00D713C5"/>
    <w:rsid w:val="00DC2BF7"/>
    <w:rsid w:val="00DD79D1"/>
    <w:rsid w:val="00E064D9"/>
    <w:rsid w:val="00E150F7"/>
    <w:rsid w:val="00E3336D"/>
    <w:rsid w:val="00E7547F"/>
    <w:rsid w:val="00E82CE2"/>
    <w:rsid w:val="00E861DE"/>
    <w:rsid w:val="00E964FB"/>
    <w:rsid w:val="00EB1852"/>
    <w:rsid w:val="00EC23DE"/>
    <w:rsid w:val="00ED0017"/>
    <w:rsid w:val="00F1527D"/>
    <w:rsid w:val="00F215BF"/>
    <w:rsid w:val="00F23498"/>
    <w:rsid w:val="00F45AF4"/>
    <w:rsid w:val="00F5371D"/>
    <w:rsid w:val="00F63D41"/>
    <w:rsid w:val="00FA20AE"/>
    <w:rsid w:val="00FA4648"/>
    <w:rsid w:val="00FA5CB0"/>
    <w:rsid w:val="00FB79CD"/>
    <w:rsid w:val="00FB7B12"/>
    <w:rsid w:val="00FC6F3E"/>
    <w:rsid w:val="00FD0984"/>
    <w:rsid w:val="00FD5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3B1AB"/>
  <w14:defaultImageDpi w14:val="0"/>
  <w15:docId w15:val="{291A0A20-035A-454C-AF91-879FFAF2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link w:val="Heading1Char"/>
    <w:uiPriority w:val="9"/>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C1618B"/>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C1618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C1618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83344A"/>
    <w:rPr>
      <w:rFonts w:ascii="Arial" w:hAnsi="Arial" w:cs="Times New Roman"/>
      <w:sz w:val="18"/>
      <w:lang w:val="x-none" w:eastAsia="en-US"/>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C1618B"/>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rPr>
      <w:rFonts w:cs="Times New Roman"/>
    </w:rPr>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C1618B"/>
    <w:rPr>
      <w:rFonts w:cs="Times New Roman"/>
    </w:rPr>
  </w:style>
  <w:style w:type="paragraph" w:customStyle="1" w:styleId="Aparabullet">
    <w:name w:val="A para bullet"/>
    <w:basedOn w:val="Normal"/>
    <w:rsid w:val="00C1618B"/>
    <w:pPr>
      <w:numPr>
        <w:numId w:val="4"/>
      </w:numPr>
    </w:pPr>
  </w:style>
  <w:style w:type="paragraph" w:styleId="TOC1">
    <w:name w:val="toc 1"/>
    <w:basedOn w:val="Normal"/>
    <w:next w:val="Normal"/>
    <w:autoRedefine/>
    <w:uiPriority w:val="39"/>
    <w:semiHidden/>
    <w:rsid w:val="00C1618B"/>
  </w:style>
  <w:style w:type="paragraph" w:styleId="TOC2">
    <w:name w:val="toc 2"/>
    <w:basedOn w:val="Normal"/>
    <w:next w:val="Normal"/>
    <w:autoRedefine/>
    <w:uiPriority w:val="39"/>
    <w:semiHidden/>
    <w:rsid w:val="00C1618B"/>
    <w:pPr>
      <w:ind w:left="240"/>
    </w:pPr>
  </w:style>
  <w:style w:type="paragraph" w:styleId="TOC3">
    <w:name w:val="toc 3"/>
    <w:basedOn w:val="Normal"/>
    <w:next w:val="Normal"/>
    <w:autoRedefine/>
    <w:uiPriority w:val="39"/>
    <w:semiHidden/>
    <w:rsid w:val="00C1618B"/>
    <w:pPr>
      <w:ind w:left="480"/>
    </w:pPr>
  </w:style>
  <w:style w:type="paragraph" w:styleId="TOC4">
    <w:name w:val="toc 4"/>
    <w:basedOn w:val="Normal"/>
    <w:next w:val="Normal"/>
    <w:autoRedefine/>
    <w:uiPriority w:val="39"/>
    <w:semiHidden/>
    <w:rsid w:val="00C1618B"/>
    <w:pPr>
      <w:ind w:left="720"/>
    </w:pPr>
  </w:style>
  <w:style w:type="paragraph" w:styleId="TOC5">
    <w:name w:val="toc 5"/>
    <w:basedOn w:val="Normal"/>
    <w:next w:val="Normal"/>
    <w:autoRedefine/>
    <w:uiPriority w:val="39"/>
    <w:semiHidden/>
    <w:rsid w:val="00C1618B"/>
    <w:pPr>
      <w:ind w:left="960"/>
    </w:pPr>
  </w:style>
  <w:style w:type="paragraph" w:styleId="TOC6">
    <w:name w:val="toc 6"/>
    <w:basedOn w:val="Normal"/>
    <w:next w:val="Normal"/>
    <w:autoRedefine/>
    <w:uiPriority w:val="39"/>
    <w:semiHidden/>
    <w:rsid w:val="00C1618B"/>
    <w:pPr>
      <w:ind w:left="1200"/>
    </w:pPr>
  </w:style>
  <w:style w:type="paragraph" w:styleId="TOC7">
    <w:name w:val="toc 7"/>
    <w:basedOn w:val="Normal"/>
    <w:next w:val="Normal"/>
    <w:autoRedefine/>
    <w:uiPriority w:val="39"/>
    <w:semiHidden/>
    <w:rsid w:val="00C1618B"/>
    <w:pPr>
      <w:ind w:left="1440"/>
    </w:pPr>
  </w:style>
  <w:style w:type="paragraph" w:styleId="TOC8">
    <w:name w:val="toc 8"/>
    <w:basedOn w:val="Normal"/>
    <w:next w:val="Normal"/>
    <w:autoRedefine/>
    <w:uiPriority w:val="39"/>
    <w:semiHidden/>
    <w:rsid w:val="00C1618B"/>
    <w:pPr>
      <w:ind w:left="1680"/>
    </w:pPr>
  </w:style>
  <w:style w:type="paragraph" w:styleId="TOC9">
    <w:name w:val="toc 9"/>
    <w:basedOn w:val="Normal"/>
    <w:next w:val="Normal"/>
    <w:autoRedefine/>
    <w:uiPriority w:val="39"/>
    <w:semiHidden/>
    <w:rsid w:val="00C1618B"/>
    <w:pPr>
      <w:ind w:left="1920"/>
    </w:pPr>
  </w:style>
  <w:style w:type="character" w:styleId="Hyperlink">
    <w:name w:val="Hyperlink"/>
    <w:basedOn w:val="DefaultParagraphFont"/>
    <w:uiPriority w:val="99"/>
    <w:semiHidden/>
    <w:rsid w:val="00C1618B"/>
    <w:rPr>
      <w:rFonts w:cs="Times New Roman"/>
      <w:color w:val="0000FF"/>
      <w:u w:val="single"/>
    </w:rPr>
  </w:style>
  <w:style w:type="paragraph" w:styleId="BodyTextIndent">
    <w:name w:val="Body Text Indent"/>
    <w:basedOn w:val="Normal"/>
    <w:link w:val="BodyTextIndentChar"/>
    <w:uiPriority w:val="99"/>
    <w:semiHidden/>
    <w:rsid w:val="00C1618B"/>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uiPriority w:val="99"/>
    <w:semiHidden/>
    <w:rsid w:val="00C1618B"/>
    <w:rPr>
      <w:rFonts w:cs="Times New Roman"/>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C1618B"/>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rPr>
      <w:rFonts w:cs="Times New Roman"/>
    </w:rPr>
  </w:style>
  <w:style w:type="paragraph" w:styleId="ListParagraph">
    <w:name w:val="List Paragraph"/>
    <w:basedOn w:val="Normal"/>
    <w:link w:val="ListParagraphChar"/>
    <w:uiPriority w:val="34"/>
    <w:qFormat/>
    <w:rsid w:val="00556BA4"/>
    <w:pPr>
      <w:ind w:left="720"/>
      <w:contextualSpacing/>
    </w:pPr>
  </w:style>
  <w:style w:type="paragraph" w:styleId="BalloonText">
    <w:name w:val="Balloon Text"/>
    <w:basedOn w:val="Normal"/>
    <w:link w:val="BalloonTextChar"/>
    <w:uiPriority w:val="99"/>
    <w:semiHidden/>
    <w:unhideWhenUsed/>
    <w:rsid w:val="00AD3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33F6"/>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000320"/>
    <w:rPr>
      <w:rFonts w:cs="Times New Roman"/>
      <w:sz w:val="16"/>
      <w:szCs w:val="16"/>
    </w:rPr>
  </w:style>
  <w:style w:type="paragraph" w:styleId="CommentText">
    <w:name w:val="annotation text"/>
    <w:basedOn w:val="Normal"/>
    <w:link w:val="CommentTextChar"/>
    <w:uiPriority w:val="99"/>
    <w:unhideWhenUsed/>
    <w:rsid w:val="00000320"/>
    <w:rPr>
      <w:sz w:val="20"/>
    </w:rPr>
  </w:style>
  <w:style w:type="character" w:customStyle="1" w:styleId="CommentTextChar">
    <w:name w:val="Comment Text Char"/>
    <w:basedOn w:val="DefaultParagraphFont"/>
    <w:link w:val="CommentText"/>
    <w:uiPriority w:val="99"/>
    <w:locked/>
    <w:rsid w:val="00000320"/>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000320"/>
    <w:rPr>
      <w:b/>
      <w:bCs/>
    </w:rPr>
  </w:style>
  <w:style w:type="character" w:customStyle="1" w:styleId="CommentSubjectChar">
    <w:name w:val="Comment Subject Char"/>
    <w:basedOn w:val="CommentTextChar"/>
    <w:link w:val="CommentSubject"/>
    <w:uiPriority w:val="99"/>
    <w:semiHidden/>
    <w:locked/>
    <w:rsid w:val="00000320"/>
    <w:rPr>
      <w:rFonts w:cs="Times New Roman"/>
      <w:b/>
      <w:bCs/>
      <w:lang w:val="x-none" w:eastAsia="en-US"/>
    </w:rPr>
  </w:style>
  <w:style w:type="character" w:customStyle="1" w:styleId="ListParagraphChar">
    <w:name w:val="List Paragraph Char"/>
    <w:basedOn w:val="DefaultParagraphFont"/>
    <w:link w:val="ListParagraph"/>
    <w:uiPriority w:val="34"/>
    <w:locked/>
    <w:rsid w:val="00D56EDC"/>
    <w:rPr>
      <w:rFonts w:cs="Times New Roman"/>
      <w:sz w:val="24"/>
      <w:lang w:val="x-none" w:eastAsia="en-US"/>
    </w:rPr>
  </w:style>
  <w:style w:type="character" w:styleId="UnresolvedMention">
    <w:name w:val="Unresolved Mention"/>
    <w:basedOn w:val="DefaultParagraphFont"/>
    <w:uiPriority w:val="99"/>
    <w:semiHidden/>
    <w:unhideWhenUsed/>
    <w:rsid w:val="00CE1CB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6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nvironment.act.gov.au/energy/smarter-use-of-energy/energy_efficiency_improvement_scheme/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115B4-8C3F-417D-B62C-593E9813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5553</Characters>
  <Application>Microsoft Office Word</Application>
  <DocSecurity>0</DocSecurity>
  <Lines>120</Lines>
  <Paragraphs>53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3</cp:revision>
  <cp:lastPrinted>2018-07-19T00:51:00Z</cp:lastPrinted>
  <dcterms:created xsi:type="dcterms:W3CDTF">2019-06-03T01:34:00Z</dcterms:created>
  <dcterms:modified xsi:type="dcterms:W3CDTF">2019-06-03T01:34:00Z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A11025312</vt:lpwstr>
  </property>
  <property fmtid="{D5CDD505-2E9C-101B-9397-08002B2CF9AE}" pid="4" name="Objective-Title">
    <vt:lpwstr>Attachment C - Draft Explanatory Statement</vt:lpwstr>
  </property>
  <property fmtid="{D5CDD505-2E9C-101B-9397-08002B2CF9AE}" pid="5" name="Objective-Comment">
    <vt:lpwstr/>
  </property>
  <property fmtid="{D5CDD505-2E9C-101B-9397-08002B2CF9AE}" pid="6" name="Objective-CreationStamp">
    <vt:filetime>2015-06-26T14:00:00Z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2015-07-09T14:00:00Z</vt:filetime>
  </property>
  <property fmtid="{D5CDD505-2E9C-101B-9397-08002B2CF9AE}" pid="10" name="Objective-ModificationStamp">
    <vt:filetime>2015-07-09T14:00:00Z</vt:filetime>
  </property>
  <property fmtid="{D5CDD505-2E9C-101B-9397-08002B2CF9AE}" pid="11" name="Objective-Owner">
    <vt:lpwstr>Marilyn Ross</vt:lpwstr>
  </property>
  <property fmtid="{D5CDD505-2E9C-101B-9397-08002B2CF9AE}" pid="12" name="Objective-Path">
    <vt:lpwstr>Whole of ACT Government:EPD - Environment and Planning Directorate:07. Ministerial, Cabinet and Government Relations:07. Executive Correspondence:Director-General:2015 - Director-General Correspondence:Planning Delivery:PD - briefs:15/18738 - Reconsiderat</vt:lpwstr>
  </property>
  <property fmtid="{D5CDD505-2E9C-101B-9397-08002B2CF9AE}" pid="13" name="Objective-Parent">
    <vt:lpwstr>15/18738 - Reconsideration of pre-acquisition declaration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