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rsidR="00C17FAB" w:rsidRDefault="008C1753">
      <w:pPr>
        <w:pStyle w:val="Billname"/>
        <w:spacing w:before="700"/>
      </w:pPr>
      <w:r>
        <w:t>Road Transport</w:t>
      </w:r>
      <w:r w:rsidR="00FD75CE">
        <w:t xml:space="preserve"> (</w:t>
      </w:r>
      <w:r>
        <w:t>General</w:t>
      </w:r>
      <w:r w:rsidR="00FD75CE">
        <w:t xml:space="preserve">) </w:t>
      </w:r>
      <w:r w:rsidR="00E6366A">
        <w:t>Vehicle Registration and Related Fees Determination 201</w:t>
      </w:r>
      <w:r w:rsidR="002C3E0E">
        <w:t>9</w:t>
      </w:r>
      <w:r w:rsidR="00E6366A">
        <w:t xml:space="preserve"> (No </w:t>
      </w:r>
      <w:r w:rsidR="002C3E0E">
        <w:t>1</w:t>
      </w:r>
      <w:r w:rsidR="00E6366A">
        <w:t>)</w:t>
      </w:r>
    </w:p>
    <w:p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201</w:t>
      </w:r>
      <w:r w:rsidR="002C3E0E">
        <w:rPr>
          <w:rFonts w:ascii="Arial" w:hAnsi="Arial" w:cs="Arial"/>
          <w:b/>
          <w:bCs/>
        </w:rPr>
        <w:t>9</w:t>
      </w:r>
      <w:r w:rsidR="00C17FAB">
        <w:rPr>
          <w:rFonts w:ascii="Arial" w:hAnsi="Arial" w:cs="Arial"/>
          <w:b/>
          <w:bCs/>
        </w:rPr>
        <w:t>–</w:t>
      </w:r>
      <w:r w:rsidR="00FD6600">
        <w:rPr>
          <w:rFonts w:ascii="Arial" w:hAnsi="Arial" w:cs="Arial"/>
          <w:b/>
          <w:bCs/>
        </w:rPr>
        <w:t>89</w:t>
      </w:r>
    </w:p>
    <w:p w:rsidR="00C17FAB" w:rsidRDefault="00C17FAB" w:rsidP="00DA3B00">
      <w:pPr>
        <w:pStyle w:val="madeunder"/>
        <w:spacing w:before="300" w:after="0"/>
      </w:pPr>
      <w:r>
        <w:t xml:space="preserve">made under the  </w:t>
      </w:r>
    </w:p>
    <w:p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rsidR="00C17FAB" w:rsidRDefault="00C17FAB">
      <w:pPr>
        <w:pStyle w:val="N-line3"/>
        <w:pBdr>
          <w:bottom w:val="none" w:sz="0" w:space="0" w:color="auto"/>
        </w:pBdr>
      </w:pPr>
    </w:p>
    <w:p w:rsidR="00C17FAB" w:rsidRDefault="00C17FAB">
      <w:pPr>
        <w:pStyle w:val="N-line3"/>
        <w:pBdr>
          <w:top w:val="single" w:sz="12" w:space="1" w:color="auto"/>
          <w:bottom w:val="none" w:sz="0" w:space="0" w:color="auto"/>
        </w:pBdr>
      </w:pPr>
    </w:p>
    <w:bookmarkEnd w:id="0"/>
    <w:p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rsidR="008E1D95" w:rsidRPr="00C410DE" w:rsidRDefault="008E1D95" w:rsidP="008E1D95">
      <w:pPr>
        <w:numPr>
          <w:ilvl w:val="12"/>
          <w:numId w:val="0"/>
        </w:numPr>
        <w:tabs>
          <w:tab w:val="left" w:pos="15168"/>
        </w:tabs>
      </w:pPr>
    </w:p>
    <w:p w:rsidR="0058243A" w:rsidRPr="00C410DE" w:rsidRDefault="0058243A" w:rsidP="0058243A">
      <w:pPr>
        <w:numPr>
          <w:ilvl w:val="12"/>
          <w:numId w:val="0"/>
        </w:numPr>
        <w:tabs>
          <w:tab w:val="left" w:pos="15168"/>
        </w:tabs>
      </w:pPr>
      <w:r w:rsidRPr="00C410DE">
        <w:t xml:space="preserve">This </w:t>
      </w:r>
      <w:r>
        <w:t xml:space="preserve">disallowable </w:t>
      </w:r>
      <w:r w:rsidRPr="00C410DE">
        <w:t xml:space="preserve">instrument has the effect of determining fees, payable in advance,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rsidR="0089460B" w:rsidRPr="00C410DE" w:rsidRDefault="0089460B" w:rsidP="0089460B">
      <w:pPr>
        <w:numPr>
          <w:ilvl w:val="12"/>
          <w:numId w:val="0"/>
        </w:numPr>
        <w:tabs>
          <w:tab w:val="left" w:pos="15168"/>
        </w:tabs>
      </w:pPr>
    </w:p>
    <w:p w:rsidR="0058243A" w:rsidRPr="00057C9B" w:rsidRDefault="0058243A" w:rsidP="0058243A">
      <w:pPr>
        <w:rPr>
          <w:color w:val="000000"/>
        </w:rPr>
      </w:pPr>
      <w:r w:rsidRPr="00057C9B">
        <w:t xml:space="preserve">Vehicle registration fees </w:t>
      </w:r>
      <w:r w:rsidR="00EC414F">
        <w:t xml:space="preserve">and other fees and charges </w:t>
      </w:r>
      <w:r w:rsidRPr="00057C9B">
        <w:t xml:space="preserve">have been increased by </w:t>
      </w:r>
      <w:r w:rsidR="00801B9A">
        <w:t>2.5</w:t>
      </w:r>
      <w:r w:rsidRPr="00057C9B">
        <w:t xml:space="preserve">%, rounded down to the nearest ten cents.  </w:t>
      </w:r>
      <w:r w:rsidRPr="004F7A8F">
        <w:rPr>
          <w:bCs/>
        </w:rPr>
        <w:t xml:space="preserve">The short term registration surcharge (payable for registration periods of less than 12 months) has not been </w:t>
      </w:r>
      <w:r>
        <w:rPr>
          <w:bCs/>
        </w:rPr>
        <w:t>chang</w:t>
      </w:r>
      <w:r w:rsidRPr="004F7A8F">
        <w:rPr>
          <w:bCs/>
        </w:rPr>
        <w:t>ed.</w:t>
      </w:r>
    </w:p>
    <w:p w:rsidR="0089460B" w:rsidRPr="00C410DE" w:rsidRDefault="0089460B" w:rsidP="0089460B">
      <w:pPr>
        <w:numPr>
          <w:ilvl w:val="12"/>
          <w:numId w:val="0"/>
        </w:numPr>
        <w:tabs>
          <w:tab w:val="left" w:pos="15168"/>
        </w:tabs>
      </w:pPr>
    </w:p>
    <w:p w:rsidR="0058243A" w:rsidRPr="00354C08" w:rsidRDefault="0058243A" w:rsidP="0058243A">
      <w:pPr>
        <w:pStyle w:val="ListParagraph"/>
        <w:ind w:left="0"/>
        <w:rPr>
          <w:bCs/>
          <w:color w:val="000000"/>
          <w:lang w:val="en-AU"/>
        </w:rPr>
      </w:pPr>
      <w:r w:rsidRPr="00354C08">
        <w:rPr>
          <w:color w:val="000000"/>
        </w:rPr>
        <w:t>Heavy vehicle fees</w:t>
      </w:r>
      <w:r w:rsidR="00EC414F">
        <w:rPr>
          <w:color w:val="000000"/>
        </w:rPr>
        <w:t xml:space="preserve"> are set nationally and </w:t>
      </w:r>
      <w:r w:rsidR="002B3A3A">
        <w:rPr>
          <w:color w:val="000000"/>
        </w:rPr>
        <w:t xml:space="preserve">have </w:t>
      </w:r>
      <w:r w:rsidR="00EC414F">
        <w:rPr>
          <w:color w:val="000000"/>
        </w:rPr>
        <w:t xml:space="preserve">not </w:t>
      </w:r>
      <w:r w:rsidR="002B3A3A">
        <w:rPr>
          <w:color w:val="000000"/>
        </w:rPr>
        <w:t xml:space="preserve">been </w:t>
      </w:r>
      <w:r w:rsidR="00EC414F">
        <w:rPr>
          <w:color w:val="000000"/>
        </w:rPr>
        <w:t>amended</w:t>
      </w:r>
      <w:r w:rsidRPr="00354C08">
        <w:rPr>
          <w:bCs/>
          <w:lang w:val="en-AU"/>
        </w:rPr>
        <w:t xml:space="preserve"> by this determination.</w:t>
      </w:r>
    </w:p>
    <w:p w:rsidR="0058243A" w:rsidRDefault="0058243A" w:rsidP="0008670C">
      <w:pPr>
        <w:numPr>
          <w:ilvl w:val="12"/>
          <w:numId w:val="0"/>
        </w:numPr>
        <w:tabs>
          <w:tab w:val="left" w:pos="15168"/>
        </w:tabs>
      </w:pPr>
    </w:p>
    <w:p w:rsidR="00EF5510" w:rsidRDefault="00EF5510" w:rsidP="0008670C">
      <w:pPr>
        <w:numPr>
          <w:ilvl w:val="12"/>
          <w:numId w:val="0"/>
        </w:numPr>
        <w:tabs>
          <w:tab w:val="left" w:pos="15168"/>
        </w:tabs>
      </w:pPr>
      <w:r>
        <w:t>The road transport authority ceased issuing heavy vehicle registration labels on 30 June 2018.  It will cease issuing replacement heavy vehicle registration labels on 30 June 2019.  As such there is no need for a fee after 1 September 2019.</w:t>
      </w:r>
    </w:p>
    <w:p w:rsidR="00EF5510" w:rsidRDefault="00EF5510" w:rsidP="0008670C">
      <w:pPr>
        <w:numPr>
          <w:ilvl w:val="12"/>
          <w:numId w:val="0"/>
        </w:numPr>
        <w:tabs>
          <w:tab w:val="left" w:pos="15168"/>
        </w:tabs>
      </w:pPr>
    </w:p>
    <w:p w:rsidR="0089460B" w:rsidRPr="00C410DE" w:rsidRDefault="0058243A" w:rsidP="0089460B">
      <w:pPr>
        <w:numPr>
          <w:ilvl w:val="12"/>
          <w:numId w:val="0"/>
        </w:numPr>
        <w:tabs>
          <w:tab w:val="left" w:pos="15168"/>
        </w:tabs>
      </w:pPr>
      <w:r w:rsidRPr="008E1D95">
        <w:rPr>
          <w:szCs w:val="24"/>
        </w:rPr>
        <w:t>Column 1 of schedule 1 lists the item number</w:t>
      </w:r>
      <w:r w:rsidR="0089460B">
        <w:rPr>
          <w:szCs w:val="24"/>
        </w:rPr>
        <w:t xml:space="preserve"> for which the fee is payable</w:t>
      </w:r>
      <w:r w:rsidRPr="008E1D95">
        <w:rPr>
          <w:szCs w:val="24"/>
        </w:rPr>
        <w:t>.  Column 2 of schedule 1 describes the service or other matter in relation to the fee payable.  Column 3 of schedule 1 lists the fee payable for a registration period commencing on or before the date listed in that column.  Column 4 of schedule 1 lists the fee payable for a registration period commencing on or after the date listed in that column</w:t>
      </w:r>
      <w:r w:rsidR="0089460B">
        <w:rPr>
          <w:szCs w:val="24"/>
        </w:rPr>
        <w:t>.</w:t>
      </w:r>
    </w:p>
    <w:p w:rsidR="0089460B" w:rsidRPr="00C410DE" w:rsidRDefault="0089460B" w:rsidP="0089460B">
      <w:pPr>
        <w:numPr>
          <w:ilvl w:val="12"/>
          <w:numId w:val="0"/>
        </w:numPr>
        <w:tabs>
          <w:tab w:val="left" w:pos="15168"/>
        </w:tabs>
      </w:pPr>
    </w:p>
    <w:p w:rsidR="0058243A" w:rsidRPr="00196D0E" w:rsidRDefault="0058243A" w:rsidP="0058243A">
      <w:r w:rsidRPr="00196D0E">
        <w:t>Schedule</w:t>
      </w:r>
      <w:r>
        <w:t>s</w:t>
      </w:r>
      <w:r w:rsidRPr="00196D0E">
        <w:t xml:space="preserve"> 2 </w:t>
      </w:r>
      <w:r>
        <w:t>and 3 provide</w:t>
      </w:r>
      <w:r w:rsidRPr="00196D0E">
        <w:t xml:space="preserve"> for fees applicable to external organisations requesting data sourced from the Road Transport Authority </w:t>
      </w:r>
      <w:r>
        <w:t>d</w:t>
      </w:r>
      <w:r w:rsidRPr="00196D0E">
        <w:t>atabase.</w:t>
      </w:r>
      <w:r>
        <w:t xml:space="preserve">  </w:t>
      </w:r>
    </w:p>
    <w:p w:rsidR="0089460B" w:rsidRPr="00C410DE" w:rsidRDefault="0089460B" w:rsidP="0089460B">
      <w:pPr>
        <w:numPr>
          <w:ilvl w:val="12"/>
          <w:numId w:val="0"/>
        </w:numPr>
        <w:tabs>
          <w:tab w:val="left" w:pos="15168"/>
        </w:tabs>
      </w:pPr>
    </w:p>
    <w:p w:rsidR="004B713D" w:rsidRDefault="004B713D" w:rsidP="0008670C">
      <w:pPr>
        <w:numPr>
          <w:ilvl w:val="12"/>
          <w:numId w:val="0"/>
        </w:numPr>
        <w:tabs>
          <w:tab w:val="left" w:pos="15168"/>
        </w:tabs>
      </w:pPr>
      <w:r>
        <w:lastRenderedPageBreak/>
        <w:t xml:space="preserve">The preference of the Standing Committee on Justice and Community Safety (Legislative Scrutiny Role) </w:t>
      </w:r>
      <w:r w:rsidR="002244A6">
        <w:t xml:space="preserve">that </w:t>
      </w:r>
      <w:r w:rsidR="001D06A4">
        <w:t>I</w:t>
      </w:r>
      <w:r w:rsidR="002244A6">
        <w:t xml:space="preserve">nstruments or Explanatory Statements identify </w:t>
      </w:r>
      <w:r>
        <w:t xml:space="preserve">the amount of the old and new fee, any percentage increase and also the reason for any increase in the Instrument or the Explanatory Statement has been taken into account in the preparation of the </w:t>
      </w:r>
      <w:r w:rsidR="001D06A4">
        <w:t>I</w:t>
      </w:r>
      <w:r>
        <w:t xml:space="preserve">nstrument and the Explanatory Statement.  </w:t>
      </w:r>
    </w:p>
    <w:p w:rsidR="00A9152A" w:rsidRDefault="00A9152A" w:rsidP="0008670C">
      <w:pPr>
        <w:numPr>
          <w:ilvl w:val="12"/>
          <w:numId w:val="0"/>
        </w:numPr>
        <w:tabs>
          <w:tab w:val="left" w:pos="15168"/>
        </w:tabs>
      </w:pPr>
    </w:p>
    <w:p w:rsidR="0089460B" w:rsidRDefault="00051D81" w:rsidP="0089460B">
      <w:pPr>
        <w:numPr>
          <w:ilvl w:val="12"/>
          <w:numId w:val="0"/>
        </w:numPr>
        <w:tabs>
          <w:tab w:val="left" w:pos="15168"/>
        </w:tabs>
      </w:pPr>
      <w:r>
        <w:rPr>
          <w:szCs w:val="24"/>
        </w:rPr>
        <w:t xml:space="preserve">There are no human rights or climate change implications arising from this </w:t>
      </w:r>
      <w:r w:rsidR="002B3A3A">
        <w:rPr>
          <w:szCs w:val="24"/>
        </w:rPr>
        <w:t>instrument</w:t>
      </w:r>
      <w:r>
        <w:rPr>
          <w:szCs w:val="24"/>
        </w:rPr>
        <w:t>.</w:t>
      </w:r>
      <w:r w:rsidR="0089460B" w:rsidRPr="0089460B">
        <w:t xml:space="preserve"> </w:t>
      </w:r>
    </w:p>
    <w:p w:rsidR="0089460B" w:rsidRPr="00C410DE" w:rsidRDefault="0089460B" w:rsidP="0089460B">
      <w:pPr>
        <w:numPr>
          <w:ilvl w:val="12"/>
          <w:numId w:val="0"/>
        </w:numPr>
        <w:tabs>
          <w:tab w:val="left" w:pos="15168"/>
        </w:tabs>
      </w:pPr>
    </w:p>
    <w:p w:rsidR="00B85D56" w:rsidRPr="00C410DE" w:rsidRDefault="008E1D95" w:rsidP="00B85D56">
      <w:pPr>
        <w:numPr>
          <w:ilvl w:val="12"/>
          <w:numId w:val="0"/>
        </w:numPr>
        <w:tabs>
          <w:tab w:val="left" w:pos="15168"/>
        </w:tabs>
      </w:pPr>
      <w:r w:rsidRPr="008E1D95">
        <w:rPr>
          <w:szCs w:val="24"/>
        </w:rPr>
        <w:t xml:space="preserve">This determination is a disallowable instrument and must be presented to the Legislative Assembly within 6 sitting days after its notification pursuant to section 64 of the </w:t>
      </w:r>
      <w:r w:rsidRPr="008E1D95">
        <w:rPr>
          <w:i/>
          <w:iCs/>
          <w:szCs w:val="24"/>
        </w:rPr>
        <w:t>Legislation Act 2001</w:t>
      </w:r>
      <w:r w:rsidRPr="008E1D95">
        <w:rPr>
          <w:szCs w:val="24"/>
        </w:rPr>
        <w:t>.</w:t>
      </w:r>
      <w:r w:rsidR="00B85D56" w:rsidRPr="00B85D56">
        <w:t xml:space="preserve"> </w:t>
      </w:r>
    </w:p>
    <w:p w:rsidR="00C17FAB" w:rsidRPr="008E1D95" w:rsidRDefault="00C17FAB" w:rsidP="00B85D56">
      <w:pPr>
        <w:pStyle w:val="BodyText"/>
        <w:tabs>
          <w:tab w:val="left" w:pos="2826"/>
          <w:tab w:val="left" w:pos="3480"/>
          <w:tab w:val="left" w:pos="7994"/>
          <w:tab w:val="left" w:pos="9837"/>
        </w:tabs>
      </w:pPr>
    </w:p>
    <w:sectPr w:rsidR="00C17FAB" w:rsidRPr="008E1D95" w:rsidSect="00F83FE7">
      <w:headerReference w:type="even" r:id="rId7"/>
      <w:headerReference w:type="default" r:id="rId8"/>
      <w:footerReference w:type="even" r:id="rId9"/>
      <w:footerReference w:type="default" r:id="rId10"/>
      <w:headerReference w:type="first" r:id="rId11"/>
      <w:footerReference w:type="first" r:id="rId12"/>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311" w:rsidRDefault="00831311" w:rsidP="00C17FAB">
      <w:r>
        <w:separator/>
      </w:r>
    </w:p>
  </w:endnote>
  <w:endnote w:type="continuationSeparator" w:id="0">
    <w:p w:rsidR="00831311" w:rsidRDefault="0083131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Pr="003E07FF" w:rsidRDefault="003E07FF" w:rsidP="003E07FF">
    <w:pPr>
      <w:pStyle w:val="Footer"/>
      <w:jc w:val="center"/>
      <w:rPr>
        <w:rFonts w:cs="Arial"/>
        <w:sz w:val="14"/>
      </w:rPr>
    </w:pPr>
    <w:r w:rsidRPr="003E07F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311" w:rsidRDefault="00831311" w:rsidP="00C17FAB">
      <w:r>
        <w:separator/>
      </w:r>
    </w:p>
  </w:footnote>
  <w:footnote w:type="continuationSeparator" w:id="0">
    <w:p w:rsidR="00831311" w:rsidRDefault="0083131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51D81"/>
    <w:rsid w:val="00057C9B"/>
    <w:rsid w:val="0008670C"/>
    <w:rsid w:val="000D2113"/>
    <w:rsid w:val="00135F35"/>
    <w:rsid w:val="00140DC0"/>
    <w:rsid w:val="00196D0E"/>
    <w:rsid w:val="001D06A4"/>
    <w:rsid w:val="001E12BF"/>
    <w:rsid w:val="00206A1F"/>
    <w:rsid w:val="002244A6"/>
    <w:rsid w:val="00266617"/>
    <w:rsid w:val="002913DB"/>
    <w:rsid w:val="002B3A3A"/>
    <w:rsid w:val="002C3E0E"/>
    <w:rsid w:val="002D7C60"/>
    <w:rsid w:val="00316456"/>
    <w:rsid w:val="0032135C"/>
    <w:rsid w:val="00330E43"/>
    <w:rsid w:val="00354C08"/>
    <w:rsid w:val="00366FDE"/>
    <w:rsid w:val="003B15C8"/>
    <w:rsid w:val="003E07FF"/>
    <w:rsid w:val="004B713D"/>
    <w:rsid w:val="004F7A8F"/>
    <w:rsid w:val="0058243A"/>
    <w:rsid w:val="006913BF"/>
    <w:rsid w:val="006C30F2"/>
    <w:rsid w:val="007346AC"/>
    <w:rsid w:val="007738D3"/>
    <w:rsid w:val="007D6D72"/>
    <w:rsid w:val="0080171E"/>
    <w:rsid w:val="00801B9A"/>
    <w:rsid w:val="00810D76"/>
    <w:rsid w:val="00831311"/>
    <w:rsid w:val="00844EC5"/>
    <w:rsid w:val="00863405"/>
    <w:rsid w:val="0089460B"/>
    <w:rsid w:val="008C1753"/>
    <w:rsid w:val="008E1D95"/>
    <w:rsid w:val="009460BB"/>
    <w:rsid w:val="009508A5"/>
    <w:rsid w:val="009B1E07"/>
    <w:rsid w:val="00A9152A"/>
    <w:rsid w:val="00B03893"/>
    <w:rsid w:val="00B05C03"/>
    <w:rsid w:val="00B258DF"/>
    <w:rsid w:val="00B32E65"/>
    <w:rsid w:val="00B85D56"/>
    <w:rsid w:val="00BC66E6"/>
    <w:rsid w:val="00BC7B33"/>
    <w:rsid w:val="00BE7D4D"/>
    <w:rsid w:val="00C11585"/>
    <w:rsid w:val="00C17FAB"/>
    <w:rsid w:val="00C22235"/>
    <w:rsid w:val="00C410DE"/>
    <w:rsid w:val="00CE599C"/>
    <w:rsid w:val="00D32145"/>
    <w:rsid w:val="00D972AA"/>
    <w:rsid w:val="00DA3B00"/>
    <w:rsid w:val="00DA4C1B"/>
    <w:rsid w:val="00E34E17"/>
    <w:rsid w:val="00E6366A"/>
    <w:rsid w:val="00EA3D10"/>
    <w:rsid w:val="00EB1E82"/>
    <w:rsid w:val="00EC414F"/>
    <w:rsid w:val="00EF5510"/>
    <w:rsid w:val="00F03985"/>
    <w:rsid w:val="00F54156"/>
    <w:rsid w:val="00F60424"/>
    <w:rsid w:val="00F83FE7"/>
    <w:rsid w:val="00FA67A2"/>
    <w:rsid w:val="00FD66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93F271-0325-43A0-BA06-749C2D0F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2061</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2018-05-02T00:01:00Z</cp:lastPrinted>
  <dcterms:created xsi:type="dcterms:W3CDTF">2019-06-17T00:10:00Z</dcterms:created>
  <dcterms:modified xsi:type="dcterms:W3CDTF">2019-06-17T00:10:00Z</dcterms:modified>
</cp:coreProperties>
</file>