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0D" w:rsidRPr="001E3BF4" w:rsidRDefault="00C95B0D" w:rsidP="001E3BF4">
      <w:pPr>
        <w:pStyle w:val="Header"/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1E3BF4">
            <w:rPr>
              <w:rFonts w:ascii="Arial" w:hAnsi="Arial" w:cs="Arial"/>
            </w:rPr>
            <w:t>Australian Capital Territory</w:t>
          </w:r>
        </w:smartTag>
      </w:smartTag>
    </w:p>
    <w:p w:rsidR="00C95B0D" w:rsidRPr="001E351E" w:rsidRDefault="00C95B0D" w:rsidP="001E3BF4">
      <w:pPr>
        <w:pStyle w:val="Billname"/>
        <w:spacing w:before="700"/>
      </w:pPr>
      <w:r w:rsidRPr="001E351E">
        <w:t>Planning and Development (Fees) Determination 201</w:t>
      </w:r>
      <w:r w:rsidR="00BB3D45">
        <w:t>9</w:t>
      </w:r>
      <w:r w:rsidRPr="001E351E">
        <w:t xml:space="preserve"> </w:t>
      </w:r>
    </w:p>
    <w:p w:rsidR="00C95B0D" w:rsidRPr="001E3BF4" w:rsidRDefault="00C95B0D" w:rsidP="001E3BF4">
      <w:pPr>
        <w:spacing w:before="340"/>
        <w:rPr>
          <w:rFonts w:ascii="Arial" w:hAnsi="Arial" w:cs="Arial"/>
          <w:b/>
          <w:bCs/>
          <w:vertAlign w:val="superscript"/>
        </w:rPr>
      </w:pPr>
      <w:r w:rsidRPr="001E3BF4">
        <w:rPr>
          <w:rFonts w:ascii="Arial" w:hAnsi="Arial" w:cs="Arial"/>
          <w:b/>
          <w:bCs/>
        </w:rPr>
        <w:t>Di</w:t>
      </w:r>
      <w:r w:rsidR="00081C7F" w:rsidRPr="001E3BF4">
        <w:rPr>
          <w:rFonts w:ascii="Arial" w:hAnsi="Arial" w:cs="Arial"/>
          <w:b/>
          <w:bCs/>
        </w:rPr>
        <w:t xml:space="preserve">sallowable </w:t>
      </w:r>
      <w:r w:rsidR="001E3BF4">
        <w:rPr>
          <w:rFonts w:ascii="Arial" w:hAnsi="Arial" w:cs="Arial"/>
          <w:b/>
          <w:bCs/>
        </w:rPr>
        <w:t>i</w:t>
      </w:r>
      <w:r w:rsidR="00081C7F" w:rsidRPr="001E3BF4">
        <w:rPr>
          <w:rFonts w:ascii="Arial" w:hAnsi="Arial" w:cs="Arial"/>
          <w:b/>
          <w:bCs/>
        </w:rPr>
        <w:t>nstrument DI201</w:t>
      </w:r>
      <w:r w:rsidR="00BB3D45">
        <w:rPr>
          <w:rFonts w:ascii="Arial" w:hAnsi="Arial" w:cs="Arial"/>
          <w:b/>
          <w:bCs/>
        </w:rPr>
        <w:t>9</w:t>
      </w:r>
      <w:r w:rsidR="00081C7F" w:rsidRPr="001E3BF4">
        <w:rPr>
          <w:rFonts w:ascii="Arial" w:hAnsi="Arial" w:cs="Arial"/>
          <w:b/>
          <w:bCs/>
        </w:rPr>
        <w:t>-</w:t>
      </w:r>
      <w:r w:rsidR="001D3A2C">
        <w:rPr>
          <w:rFonts w:ascii="Arial" w:hAnsi="Arial" w:cs="Arial"/>
          <w:b/>
          <w:bCs/>
        </w:rPr>
        <w:t>133</w:t>
      </w:r>
    </w:p>
    <w:p w:rsidR="00C95B0D" w:rsidRPr="00A10AC2" w:rsidRDefault="00C95B0D" w:rsidP="001E3BF4">
      <w:pPr>
        <w:pStyle w:val="madeunder"/>
        <w:spacing w:before="300" w:after="0"/>
      </w:pPr>
      <w:r w:rsidRPr="00A10AC2">
        <w:t>made under the</w:t>
      </w:r>
    </w:p>
    <w:p w:rsidR="00C95B0D" w:rsidRPr="001E351E" w:rsidRDefault="00C95B0D" w:rsidP="001E3BF4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1E351E">
        <w:rPr>
          <w:sz w:val="20"/>
          <w:szCs w:val="20"/>
        </w:rPr>
        <w:t>Planning and Development Act 2007, s 424 (Determination of fees)</w:t>
      </w:r>
    </w:p>
    <w:p w:rsidR="00C95B0D" w:rsidRPr="001E3BF4" w:rsidRDefault="00C95B0D" w:rsidP="001E3BF4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 w:rsidRPr="001E3BF4"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95B0D" w:rsidRPr="00A10AC2" w:rsidRDefault="00C95B0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:rsidR="00C95B0D" w:rsidRPr="00A10AC2" w:rsidRDefault="00C95B0D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1E351E" w:rsidRDefault="001E351E" w:rsidP="00A73ED1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424 of the </w:t>
      </w:r>
      <w:r w:rsidRPr="00A73ED1">
        <w:rPr>
          <w:color w:val="000000"/>
        </w:rPr>
        <w:t xml:space="preserve">Planning and Development Act 2007 </w:t>
      </w:r>
      <w:r>
        <w:rPr>
          <w:color w:val="000000"/>
        </w:rPr>
        <w:t xml:space="preserve">(the </w:t>
      </w:r>
      <w:r w:rsidRPr="00A73ED1">
        <w:rPr>
          <w:color w:val="000000"/>
        </w:rPr>
        <w:t>Act</w:t>
      </w:r>
      <w:r>
        <w:rPr>
          <w:color w:val="000000"/>
        </w:rPr>
        <w:t>)</w:t>
      </w:r>
      <w:r w:rsidRPr="00A73ED1">
        <w:rPr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:rsidR="001E351E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:rsidR="001E351E" w:rsidRDefault="001E351E" w:rsidP="00A73ED1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201</w:t>
      </w:r>
      <w:r w:rsidR="00BB3D45">
        <w:rPr>
          <w:color w:val="000000"/>
        </w:rPr>
        <w:t>9</w:t>
      </w:r>
      <w:r>
        <w:rPr>
          <w:color w:val="000000"/>
        </w:rPr>
        <w:t>-</w:t>
      </w:r>
      <w:r w:rsidR="00BB3D45">
        <w:rPr>
          <w:color w:val="000000"/>
        </w:rPr>
        <w:t>20</w:t>
      </w:r>
      <w:r>
        <w:rPr>
          <w:color w:val="000000"/>
        </w:rPr>
        <w:t xml:space="preserve"> financial year. </w:t>
      </w:r>
    </w:p>
    <w:p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:rsidR="001E351E" w:rsidRPr="00A73ED1" w:rsidRDefault="00EF7D96" w:rsidP="00A73ED1">
      <w:pPr>
        <w:pStyle w:val="LongTitle"/>
        <w:spacing w:before="0" w:after="0"/>
        <w:jc w:val="left"/>
        <w:rPr>
          <w:color w:val="000000"/>
        </w:rPr>
      </w:pPr>
      <w:r w:rsidRPr="00A73ED1">
        <w:rPr>
          <w:color w:val="000000"/>
        </w:rPr>
        <w:t xml:space="preserve">The regulatory fees in the determination </w:t>
      </w:r>
      <w:r w:rsidR="00387D67" w:rsidRPr="00A73ED1">
        <w:rPr>
          <w:color w:val="000000"/>
        </w:rPr>
        <w:t>have been increased by 2</w:t>
      </w:r>
      <w:r w:rsidR="001519BB" w:rsidRPr="00A73ED1">
        <w:rPr>
          <w:color w:val="000000"/>
        </w:rPr>
        <w:t>.5</w:t>
      </w:r>
      <w:r w:rsidR="00387D67" w:rsidRPr="00A73ED1">
        <w:rPr>
          <w:color w:val="000000"/>
        </w:rPr>
        <w:t xml:space="preserve">% </w:t>
      </w:r>
      <w:r w:rsidR="00C34244" w:rsidRPr="00A73ED1">
        <w:rPr>
          <w:color w:val="000000"/>
        </w:rPr>
        <w:t>for the 201</w:t>
      </w:r>
      <w:r w:rsidR="00BB3D45" w:rsidRPr="00A73ED1">
        <w:rPr>
          <w:color w:val="000000"/>
        </w:rPr>
        <w:t>9</w:t>
      </w:r>
      <w:r w:rsidR="00C34244" w:rsidRPr="00A73ED1">
        <w:rPr>
          <w:color w:val="000000"/>
        </w:rPr>
        <w:t>-</w:t>
      </w:r>
      <w:r w:rsidR="00BB3D45" w:rsidRPr="00A73ED1">
        <w:rPr>
          <w:color w:val="000000"/>
        </w:rPr>
        <w:t>20</w:t>
      </w:r>
      <w:r w:rsidR="00387D67" w:rsidRPr="00A73ED1">
        <w:rPr>
          <w:color w:val="000000"/>
        </w:rPr>
        <w:t xml:space="preserve"> financial year, based on the wage price index as per government’s advice</w:t>
      </w:r>
      <w:r w:rsidRPr="00A73ED1">
        <w:rPr>
          <w:color w:val="000000"/>
        </w:rPr>
        <w:t xml:space="preserve">. Administration fees relating to refunds are increased by </w:t>
      </w:r>
      <w:r w:rsidR="00387D67" w:rsidRPr="00A73ED1">
        <w:rPr>
          <w:color w:val="000000"/>
        </w:rPr>
        <w:t>2</w:t>
      </w:r>
      <w:r w:rsidR="001519BB" w:rsidRPr="00A73ED1">
        <w:rPr>
          <w:color w:val="000000"/>
        </w:rPr>
        <w:t>.5</w:t>
      </w:r>
      <w:r w:rsidRPr="00A73ED1">
        <w:rPr>
          <w:color w:val="000000"/>
        </w:rPr>
        <w:t xml:space="preserve">% (the </w:t>
      </w:r>
      <w:r w:rsidR="00A73ED1" w:rsidRPr="00A73ED1">
        <w:rPr>
          <w:color w:val="000000"/>
        </w:rPr>
        <w:t>w</w:t>
      </w:r>
      <w:r w:rsidRPr="00A73ED1">
        <w:rPr>
          <w:color w:val="000000"/>
        </w:rPr>
        <w:t xml:space="preserve">age </w:t>
      </w:r>
      <w:r w:rsidR="00A73ED1" w:rsidRPr="00A73ED1">
        <w:rPr>
          <w:color w:val="000000"/>
        </w:rPr>
        <w:t>p</w:t>
      </w:r>
      <w:r w:rsidRPr="00A73ED1">
        <w:rPr>
          <w:color w:val="000000"/>
        </w:rPr>
        <w:t xml:space="preserve">rice </w:t>
      </w:r>
      <w:r w:rsidR="00A73ED1" w:rsidRPr="00A73ED1">
        <w:rPr>
          <w:color w:val="000000"/>
        </w:rPr>
        <w:t>i</w:t>
      </w:r>
      <w:r w:rsidRPr="00A73ED1">
        <w:rPr>
          <w:color w:val="000000"/>
        </w:rPr>
        <w:t>ndex), as per the government’s Fees and Charges Policy and Guidelines. Appropriate rounding has been made in relation to increases.</w:t>
      </w:r>
    </w:p>
    <w:p w:rsidR="00675015" w:rsidRPr="00A73ED1" w:rsidRDefault="00675015" w:rsidP="00A73ED1">
      <w:pPr>
        <w:pStyle w:val="LongTitle"/>
        <w:spacing w:before="0" w:after="0"/>
        <w:jc w:val="left"/>
        <w:rPr>
          <w:color w:val="000000"/>
        </w:rPr>
      </w:pPr>
    </w:p>
    <w:p w:rsidR="00675015" w:rsidRPr="00A73ED1" w:rsidRDefault="00675015" w:rsidP="00A73ED1">
      <w:pPr>
        <w:pStyle w:val="LongTitle"/>
        <w:spacing w:before="0" w:after="0"/>
        <w:jc w:val="left"/>
        <w:rPr>
          <w:color w:val="000000"/>
        </w:rPr>
      </w:pPr>
      <w:r w:rsidRPr="00A73ED1">
        <w:rPr>
          <w:color w:val="000000"/>
        </w:rPr>
        <w:t>Development Application fees for all development</w:t>
      </w:r>
      <w:r w:rsidR="00F94D10" w:rsidRPr="00A73ED1">
        <w:rPr>
          <w:color w:val="000000"/>
        </w:rPr>
        <w:t>s</w:t>
      </w:r>
      <w:r w:rsidRPr="00A73ED1">
        <w:rPr>
          <w:color w:val="000000"/>
        </w:rPr>
        <w:t xml:space="preserve"> that have a cost of works greater than $1</w:t>
      </w:r>
      <w:r w:rsidR="00A73ED1">
        <w:rPr>
          <w:color w:val="000000"/>
        </w:rPr>
        <w:t> </w:t>
      </w:r>
      <w:r w:rsidRPr="00A73ED1">
        <w:rPr>
          <w:color w:val="000000"/>
        </w:rPr>
        <w:t>m</w:t>
      </w:r>
      <w:r w:rsidR="00A73ED1">
        <w:rPr>
          <w:color w:val="000000"/>
        </w:rPr>
        <w:t>illion</w:t>
      </w:r>
      <w:r w:rsidRPr="00A73ED1">
        <w:rPr>
          <w:color w:val="000000"/>
        </w:rPr>
        <w:t xml:space="preserve"> </w:t>
      </w:r>
      <w:r w:rsidR="00F94D10" w:rsidRPr="00A73ED1">
        <w:rPr>
          <w:color w:val="000000"/>
        </w:rPr>
        <w:t xml:space="preserve">have </w:t>
      </w:r>
      <w:r w:rsidRPr="00A73ED1">
        <w:rPr>
          <w:color w:val="000000"/>
        </w:rPr>
        <w:t>been increased by 20% and exemption declaration fees have been increased from $308 to $600</w:t>
      </w:r>
      <w:r w:rsidRPr="00F94D10">
        <w:rPr>
          <w:color w:val="000000"/>
        </w:rPr>
        <w:t>. Th</w:t>
      </w:r>
      <w:r w:rsidR="00F94D10">
        <w:rPr>
          <w:color w:val="000000"/>
        </w:rPr>
        <w:t>is</w:t>
      </w:r>
      <w:r w:rsidRPr="00F94D10">
        <w:rPr>
          <w:color w:val="000000"/>
        </w:rPr>
        <w:t xml:space="preserve"> increase in fees will allow for the expansion of the Merit Assessment Team and website management </w:t>
      </w:r>
      <w:r w:rsidR="00F94D10">
        <w:rPr>
          <w:color w:val="000000"/>
        </w:rPr>
        <w:t xml:space="preserve">to better meet </w:t>
      </w:r>
      <w:r w:rsidRPr="00F94D10">
        <w:rPr>
          <w:color w:val="000000"/>
        </w:rPr>
        <w:t>customer</w:t>
      </w:r>
      <w:r w:rsidR="00F94D10">
        <w:rPr>
          <w:color w:val="000000"/>
        </w:rPr>
        <w:t xml:space="preserve"> </w:t>
      </w:r>
      <w:r w:rsidRPr="00F94D10">
        <w:rPr>
          <w:color w:val="000000"/>
        </w:rPr>
        <w:t>expectations.</w:t>
      </w:r>
    </w:p>
    <w:p w:rsidR="00A73ED1" w:rsidRDefault="00A73ED1" w:rsidP="00A73ED1">
      <w:pPr>
        <w:pStyle w:val="LongTitle"/>
        <w:spacing w:before="0" w:after="0"/>
        <w:jc w:val="left"/>
        <w:rPr>
          <w:color w:val="000000"/>
        </w:rPr>
      </w:pPr>
    </w:p>
    <w:p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  <w:r w:rsidRPr="00A73ED1">
        <w:rPr>
          <w:color w:val="000000"/>
        </w:rPr>
        <w:t>The instrument commences on 1 July 201</w:t>
      </w:r>
      <w:r w:rsidR="00BB3D45" w:rsidRPr="00A73ED1">
        <w:rPr>
          <w:color w:val="000000"/>
        </w:rPr>
        <w:t>9</w:t>
      </w:r>
      <w:r w:rsidRPr="00A73ED1">
        <w:rPr>
          <w:color w:val="000000"/>
        </w:rPr>
        <w:t>.</w:t>
      </w:r>
    </w:p>
    <w:p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  <w:r w:rsidRPr="00A73ED1">
        <w:rPr>
          <w:color w:val="000000"/>
        </w:rPr>
        <w:t xml:space="preserve">This instrument revokes the </w:t>
      </w:r>
      <w:r w:rsidR="00B86F5B" w:rsidRPr="00A73ED1">
        <w:rPr>
          <w:color w:val="000000"/>
        </w:rPr>
        <w:t>Planning and Devel</w:t>
      </w:r>
      <w:r w:rsidR="00B13AFD" w:rsidRPr="00A73ED1">
        <w:rPr>
          <w:color w:val="000000"/>
        </w:rPr>
        <w:t>opment (Fees) Determination 2018</w:t>
      </w:r>
      <w:r w:rsidR="00C34244" w:rsidRPr="00A73ED1">
        <w:rPr>
          <w:color w:val="000000"/>
        </w:rPr>
        <w:t xml:space="preserve"> </w:t>
      </w:r>
      <w:r w:rsidR="00B86F5B" w:rsidRPr="00A73ED1">
        <w:rPr>
          <w:color w:val="000000"/>
        </w:rPr>
        <w:t>(DI201</w:t>
      </w:r>
      <w:r w:rsidR="00B13AFD" w:rsidRPr="00A73ED1">
        <w:rPr>
          <w:color w:val="000000"/>
        </w:rPr>
        <w:t>8</w:t>
      </w:r>
      <w:r w:rsidR="00B86F5B" w:rsidRPr="00A73ED1">
        <w:rPr>
          <w:color w:val="000000"/>
        </w:rPr>
        <w:noBreakHyphen/>
        <w:t>1</w:t>
      </w:r>
      <w:r w:rsidR="00B13AFD" w:rsidRPr="00A73ED1">
        <w:rPr>
          <w:color w:val="000000"/>
        </w:rPr>
        <w:t>6</w:t>
      </w:r>
      <w:r w:rsidR="00C34244" w:rsidRPr="00A73ED1">
        <w:rPr>
          <w:color w:val="000000"/>
        </w:rPr>
        <w:t>7</w:t>
      </w:r>
      <w:r w:rsidR="00B86F5B" w:rsidRPr="00A73ED1">
        <w:rPr>
          <w:color w:val="000000"/>
        </w:rPr>
        <w:t>)</w:t>
      </w:r>
      <w:r w:rsidRPr="00A73ED1">
        <w:rPr>
          <w:color w:val="000000"/>
        </w:rPr>
        <w:t>.</w:t>
      </w:r>
    </w:p>
    <w:p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:rsidR="00EF7D96" w:rsidRDefault="001E351E" w:rsidP="00A73ED1">
      <w:pPr>
        <w:pStyle w:val="LongTitle"/>
        <w:spacing w:before="0" w:after="0"/>
        <w:jc w:val="left"/>
        <w:rPr>
          <w:lang w:eastAsia="en-AU"/>
        </w:rPr>
      </w:pPr>
      <w:r w:rsidRPr="00A73ED1">
        <w:rPr>
          <w:color w:val="000000"/>
        </w:rPr>
        <w:t>The determination under section 424 of the Act is a disallowable instrument</w:t>
      </w:r>
      <w:r w:rsidR="00EF7D96" w:rsidRPr="00EF7D96">
        <w:rPr>
          <w:lang w:eastAsia="en-AU"/>
        </w:rPr>
        <w:t xml:space="preserve"> </w:t>
      </w:r>
      <w:r w:rsidR="00EF7D96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EF7D96" w:rsidRPr="008B4B31">
        <w:rPr>
          <w:i/>
          <w:iCs/>
          <w:lang w:eastAsia="en-AU"/>
        </w:rPr>
        <w:t>Legislation</w:t>
      </w:r>
      <w:r w:rsidR="00EF7D96">
        <w:rPr>
          <w:i/>
          <w:iCs/>
          <w:lang w:eastAsia="en-AU"/>
        </w:rPr>
        <w:t> </w:t>
      </w:r>
      <w:r w:rsidR="00EF7D96" w:rsidRPr="008B4B31">
        <w:rPr>
          <w:i/>
          <w:iCs/>
          <w:lang w:eastAsia="en-AU"/>
        </w:rPr>
        <w:t>Act 2001</w:t>
      </w:r>
      <w:r w:rsidR="00A73ED1">
        <w:rPr>
          <w:i/>
          <w:iCs/>
          <w:lang w:eastAsia="en-AU"/>
        </w:rPr>
        <w:t xml:space="preserve"> </w:t>
      </w:r>
      <w:r w:rsidR="00A73ED1">
        <w:rPr>
          <w:iCs/>
          <w:lang w:eastAsia="en-AU"/>
        </w:rPr>
        <w:t>(Legislation Act)</w:t>
      </w:r>
      <w:r w:rsidR="00EF7D96" w:rsidRPr="008B4B31">
        <w:rPr>
          <w:lang w:eastAsia="en-AU"/>
        </w:rPr>
        <w:t>.</w:t>
      </w:r>
    </w:p>
    <w:p w:rsidR="00EF7D96" w:rsidRDefault="00EF7D96" w:rsidP="001E351E">
      <w:pPr>
        <w:rPr>
          <w:lang w:eastAsia="en-AU"/>
        </w:rPr>
      </w:pPr>
    </w:p>
    <w:p w:rsidR="00EF7D96" w:rsidRDefault="00EF7D96" w:rsidP="00EF7D96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EF7D96" w:rsidRDefault="00EF7D96" w:rsidP="00EF7D96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1E3BF4">
        <w:rPr>
          <w:lang w:eastAsia="en-AU"/>
        </w:rPr>
        <w:t>ection</w:t>
      </w:r>
      <w:r>
        <w:rPr>
          <w:lang w:eastAsia="en-AU"/>
        </w:rPr>
        <w:t xml:space="preserve"> 36</w:t>
      </w:r>
      <w:r w:rsidR="001E3BF4">
        <w:rPr>
          <w:lang w:eastAsia="en-AU"/>
        </w:rPr>
        <w:t xml:space="preserve"> </w:t>
      </w:r>
      <w:r>
        <w:rPr>
          <w:lang w:eastAsia="en-AU"/>
        </w:rPr>
        <w:t>(1)</w:t>
      </w:r>
      <w:r w:rsidR="001E3BF4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1E3BF4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EF7D96" w:rsidRDefault="00EF7D96" w:rsidP="00EF7D96">
      <w:pPr>
        <w:autoSpaceDE w:val="0"/>
        <w:autoSpaceDN w:val="0"/>
        <w:adjustRightInd w:val="0"/>
        <w:rPr>
          <w:lang w:eastAsia="en-AU"/>
        </w:rPr>
      </w:pPr>
    </w:p>
    <w:p w:rsidR="006C665A" w:rsidRDefault="006C665A" w:rsidP="00EF7D96">
      <w:pPr>
        <w:autoSpaceDE w:val="0"/>
        <w:autoSpaceDN w:val="0"/>
        <w:adjustRightInd w:val="0"/>
        <w:rPr>
          <w:lang w:eastAsia="en-AU"/>
        </w:rPr>
      </w:pPr>
    </w:p>
    <w:p w:rsidR="00EF7D96" w:rsidRPr="00477EDE" w:rsidRDefault="00EF7D96" w:rsidP="00EF7D96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lastRenderedPageBreak/>
        <w:t>Human Rights</w:t>
      </w:r>
    </w:p>
    <w:p w:rsidR="001E351E" w:rsidRDefault="00EF7D96" w:rsidP="001519BB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1E351E" w:rsidSect="00675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135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03" w:rsidRDefault="00D61003">
      <w:r>
        <w:separator/>
      </w:r>
    </w:p>
  </w:endnote>
  <w:endnote w:type="continuationSeparator" w:id="0">
    <w:p w:rsidR="00D61003" w:rsidRDefault="00D6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BF4" w:rsidRDefault="001E3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0D" w:rsidRPr="00527FA5" w:rsidRDefault="00527FA5" w:rsidP="00527FA5">
    <w:pPr>
      <w:pStyle w:val="Footer"/>
      <w:jc w:val="center"/>
      <w:rPr>
        <w:rFonts w:ascii="Arial" w:hAnsi="Arial" w:cs="Arial"/>
        <w:sz w:val="14"/>
      </w:rPr>
    </w:pPr>
    <w:r w:rsidRPr="00527FA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BF4" w:rsidRDefault="001E3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03" w:rsidRDefault="00D61003">
      <w:r>
        <w:separator/>
      </w:r>
    </w:p>
  </w:footnote>
  <w:footnote w:type="continuationSeparator" w:id="0">
    <w:p w:rsidR="00D61003" w:rsidRDefault="00D6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BF4" w:rsidRDefault="001E3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BF4" w:rsidRDefault="001E3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BF4" w:rsidRDefault="001E3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2182018"/>
    <w:multiLevelType w:val="hybridMultilevel"/>
    <w:tmpl w:val="C52E22E0"/>
    <w:lvl w:ilvl="0" w:tplc="057E0E5E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6EEB"/>
    <w:multiLevelType w:val="hybridMultilevel"/>
    <w:tmpl w:val="08808D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51ECA"/>
    <w:multiLevelType w:val="hybridMultilevel"/>
    <w:tmpl w:val="A1408C32"/>
    <w:lvl w:ilvl="0" w:tplc="F6AA744A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B0D"/>
    <w:rsid w:val="00030743"/>
    <w:rsid w:val="000426F2"/>
    <w:rsid w:val="000469DD"/>
    <w:rsid w:val="00053EBD"/>
    <w:rsid w:val="00066CAB"/>
    <w:rsid w:val="00081C7F"/>
    <w:rsid w:val="00092F8C"/>
    <w:rsid w:val="000B2C05"/>
    <w:rsid w:val="000C31F0"/>
    <w:rsid w:val="000D0F92"/>
    <w:rsid w:val="00101B50"/>
    <w:rsid w:val="0013039E"/>
    <w:rsid w:val="00133062"/>
    <w:rsid w:val="001519BB"/>
    <w:rsid w:val="001A7A67"/>
    <w:rsid w:val="001B4CDF"/>
    <w:rsid w:val="001D3A2C"/>
    <w:rsid w:val="001D5B2A"/>
    <w:rsid w:val="001E351E"/>
    <w:rsid w:val="001E3BF4"/>
    <w:rsid w:val="002318A0"/>
    <w:rsid w:val="002404D9"/>
    <w:rsid w:val="00253C81"/>
    <w:rsid w:val="002625D1"/>
    <w:rsid w:val="00284DA8"/>
    <w:rsid w:val="003164B7"/>
    <w:rsid w:val="00321B12"/>
    <w:rsid w:val="00377A96"/>
    <w:rsid w:val="00387D67"/>
    <w:rsid w:val="003F39E1"/>
    <w:rsid w:val="00400594"/>
    <w:rsid w:val="00443802"/>
    <w:rsid w:val="00444A52"/>
    <w:rsid w:val="00462EDC"/>
    <w:rsid w:val="0046515A"/>
    <w:rsid w:val="0048462B"/>
    <w:rsid w:val="00491E42"/>
    <w:rsid w:val="004B3A63"/>
    <w:rsid w:val="004B5C97"/>
    <w:rsid w:val="004E081F"/>
    <w:rsid w:val="00502EB1"/>
    <w:rsid w:val="00527FA5"/>
    <w:rsid w:val="00530137"/>
    <w:rsid w:val="00535791"/>
    <w:rsid w:val="00554CBF"/>
    <w:rsid w:val="005B39C2"/>
    <w:rsid w:val="00611A8D"/>
    <w:rsid w:val="00675015"/>
    <w:rsid w:val="006A4884"/>
    <w:rsid w:val="006B782F"/>
    <w:rsid w:val="006C665A"/>
    <w:rsid w:val="006D2B92"/>
    <w:rsid w:val="00701742"/>
    <w:rsid w:val="007175B7"/>
    <w:rsid w:val="0076626D"/>
    <w:rsid w:val="00821203"/>
    <w:rsid w:val="0087135D"/>
    <w:rsid w:val="008975C3"/>
    <w:rsid w:val="008E6BBA"/>
    <w:rsid w:val="00957733"/>
    <w:rsid w:val="00984E88"/>
    <w:rsid w:val="009B2276"/>
    <w:rsid w:val="009C54CD"/>
    <w:rsid w:val="00A06C95"/>
    <w:rsid w:val="00A10AC2"/>
    <w:rsid w:val="00A15DC2"/>
    <w:rsid w:val="00A2286F"/>
    <w:rsid w:val="00A33DC7"/>
    <w:rsid w:val="00A41BB3"/>
    <w:rsid w:val="00A73ED1"/>
    <w:rsid w:val="00AE0DAA"/>
    <w:rsid w:val="00AF5B69"/>
    <w:rsid w:val="00B13AFD"/>
    <w:rsid w:val="00B2272F"/>
    <w:rsid w:val="00B334C1"/>
    <w:rsid w:val="00B426A7"/>
    <w:rsid w:val="00B86F5B"/>
    <w:rsid w:val="00BB3D45"/>
    <w:rsid w:val="00BB6B18"/>
    <w:rsid w:val="00BC5388"/>
    <w:rsid w:val="00BD4F88"/>
    <w:rsid w:val="00BF56E3"/>
    <w:rsid w:val="00C05558"/>
    <w:rsid w:val="00C34244"/>
    <w:rsid w:val="00C945DE"/>
    <w:rsid w:val="00C95B0D"/>
    <w:rsid w:val="00D61003"/>
    <w:rsid w:val="00D67837"/>
    <w:rsid w:val="00D70970"/>
    <w:rsid w:val="00D818AF"/>
    <w:rsid w:val="00DB0E7C"/>
    <w:rsid w:val="00DE2A57"/>
    <w:rsid w:val="00E1131F"/>
    <w:rsid w:val="00E35B96"/>
    <w:rsid w:val="00E45908"/>
    <w:rsid w:val="00E57E3A"/>
    <w:rsid w:val="00E91634"/>
    <w:rsid w:val="00EC3747"/>
    <w:rsid w:val="00EC731D"/>
    <w:rsid w:val="00EE34A9"/>
    <w:rsid w:val="00EF7D96"/>
    <w:rsid w:val="00F26762"/>
    <w:rsid w:val="00F94D10"/>
    <w:rsid w:val="00FC243E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E72EB9A-D59E-4DA4-958F-712D5EE7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ChronTableBold">
    <w:name w:val="ChronTableBold"/>
    <w:basedOn w:val="Normal"/>
    <w:uiPriority w:val="99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uiPriority w:val="99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53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76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2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2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2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2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B93C5B9-98AA-49EB-873C-9C67D578FB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1718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cp:lastModifiedBy>PCODCS</cp:lastModifiedBy>
  <cp:revision>4</cp:revision>
  <cp:lastPrinted>2018-05-21T01:12:00Z</cp:lastPrinted>
  <dcterms:created xsi:type="dcterms:W3CDTF">2019-06-25T07:07:00Z</dcterms:created>
  <dcterms:modified xsi:type="dcterms:W3CDTF">2019-06-25T07:07:00Z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A17443580</vt:lpwstr>
  </property>
  <property fmtid="{D5CDD505-2E9C-101B-9397-08002B2CF9AE}" pid="3" name="Objective-Comment">
    <vt:lpwstr/>
  </property>
  <property fmtid="{D5CDD505-2E9C-101B-9397-08002B2CF9AE}" pid="4" name="Objective-CreationStamp">
    <vt:filetime>2018-11-16T00:27:25Z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2019-05-22T05:29:23Z</vt:filetime>
  </property>
  <property fmtid="{D5CDD505-2E9C-101B-9397-08002B2CF9AE}" pid="8" name="Objective-ModificationStamp">
    <vt:filetime>2019-05-22T05:29:23Z</vt:filetime>
  </property>
  <property fmtid="{D5CDD505-2E9C-101B-9397-08002B2CF9AE}" pid="9" name="Objective-Owner">
    <vt:lpwstr>Hong Tsai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1" name="Objective-Parent">
    <vt:lpwstr>Attachment C - Planning and Land Management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05a. PD (Fees) Explanatory Statement 2019-20</vt:lpwstr>
  </property>
  <property fmtid="{D5CDD505-2E9C-101B-9397-08002B2CF9AE}" pid="14" name="Objective-Version">
    <vt:lpwstr>8.0</vt:lpwstr>
  </property>
  <property fmtid="{D5CDD505-2E9C-101B-9397-08002B2CF9AE}" pid="15" name="Objective-VersionComment">
    <vt:lpwstr/>
  </property>
  <property fmtid="{D5CDD505-2E9C-101B-9397-08002B2CF9AE}" pid="16" name="Objective-VersionNumber">
    <vt:r8>8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314bd111-b6b8-4e8d-a299-c92f78cf83dd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