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0F1" w:rsidRDefault="005D70F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FD13E7" w:rsidRDefault="00644E63" w:rsidP="00FD13E7">
      <w:pPr>
        <w:pStyle w:val="Billname"/>
        <w:spacing w:before="700"/>
      </w:pPr>
      <w:r>
        <w:t>First Home Owner Grant (Amount)</w:t>
      </w:r>
      <w:r w:rsidR="007276F9">
        <w:t xml:space="preserve"> Determination 201</w:t>
      </w:r>
      <w:r w:rsidR="00EB149E">
        <w:t>9</w:t>
      </w:r>
      <w:r w:rsidR="00FD13E7">
        <w:t xml:space="preserve"> (No 1)</w:t>
      </w:r>
    </w:p>
    <w:p w:rsidR="00FD13E7" w:rsidRDefault="005D70F1" w:rsidP="00FD13E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FD13E7">
        <w:rPr>
          <w:rFonts w:ascii="Arial" w:hAnsi="Arial" w:cs="Arial"/>
          <w:b/>
          <w:bCs/>
        </w:rPr>
        <w:t>DI</w:t>
      </w:r>
      <w:r w:rsidR="007276F9">
        <w:rPr>
          <w:rFonts w:ascii="Arial" w:hAnsi="Arial" w:cs="Arial"/>
          <w:b/>
          <w:bCs/>
          <w:iCs/>
        </w:rPr>
        <w:t>201</w:t>
      </w:r>
      <w:r w:rsidR="00EB149E">
        <w:rPr>
          <w:rFonts w:ascii="Arial" w:hAnsi="Arial" w:cs="Arial"/>
          <w:b/>
          <w:bCs/>
          <w:iCs/>
        </w:rPr>
        <w:t>9</w:t>
      </w:r>
      <w:r w:rsidR="007276F9">
        <w:rPr>
          <w:rFonts w:ascii="Arial" w:hAnsi="Arial" w:cs="Arial"/>
          <w:b/>
          <w:bCs/>
        </w:rPr>
        <w:t>–</w:t>
      </w:r>
      <w:r w:rsidR="009E6B47">
        <w:rPr>
          <w:rFonts w:ascii="Arial" w:hAnsi="Arial" w:cs="Arial"/>
          <w:b/>
          <w:bCs/>
        </w:rPr>
        <w:t>138</w:t>
      </w:r>
    </w:p>
    <w:p w:rsidR="005D70F1" w:rsidRDefault="005D70F1" w:rsidP="00FD13E7">
      <w:pPr>
        <w:spacing w:before="240" w:after="60"/>
      </w:pPr>
      <w:r>
        <w:t xml:space="preserve">made under the  </w:t>
      </w:r>
    </w:p>
    <w:p w:rsidR="005D70F1" w:rsidRDefault="00644E63" w:rsidP="00644E63">
      <w:pPr>
        <w:pStyle w:val="CoverActName"/>
        <w:rPr>
          <w:rFonts w:cs="Arial"/>
          <w:sz w:val="20"/>
        </w:rPr>
      </w:pPr>
      <w:r>
        <w:rPr>
          <w:rFonts w:cs="Arial"/>
          <w:i/>
          <w:sz w:val="20"/>
        </w:rPr>
        <w:t>First Home Owner Grant Act 2000</w:t>
      </w:r>
      <w:r w:rsidR="00FD13E7" w:rsidRPr="00FD13E7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18 </w:t>
      </w:r>
      <w:r w:rsidR="007D767A">
        <w:rPr>
          <w:rFonts w:cs="Arial"/>
          <w:sz w:val="20"/>
        </w:rPr>
        <w:t xml:space="preserve">(1) </w:t>
      </w:r>
      <w:r>
        <w:rPr>
          <w:rFonts w:cs="Arial"/>
          <w:sz w:val="20"/>
        </w:rPr>
        <w:t xml:space="preserve">(b) </w:t>
      </w:r>
      <w:r w:rsidR="00FD13E7" w:rsidRPr="00FD13E7">
        <w:rPr>
          <w:rFonts w:cs="Arial"/>
          <w:sz w:val="20"/>
        </w:rPr>
        <w:t>(</w:t>
      </w:r>
      <w:r>
        <w:rPr>
          <w:rFonts w:cs="Arial"/>
          <w:sz w:val="20"/>
        </w:rPr>
        <w:t>Amount of grant</w:t>
      </w:r>
      <w:r w:rsidR="00FD13E7" w:rsidRPr="00FD13E7">
        <w:rPr>
          <w:rFonts w:cs="Arial"/>
          <w:sz w:val="20"/>
        </w:rPr>
        <w:t>)</w:t>
      </w:r>
    </w:p>
    <w:p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5D70F1" w:rsidRDefault="005D70F1">
      <w:pPr>
        <w:pStyle w:val="N-line3"/>
        <w:pBdr>
          <w:bottom w:val="none" w:sz="0" w:space="0" w:color="auto"/>
        </w:pBdr>
      </w:pPr>
    </w:p>
    <w:p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211CD8" w:rsidRDefault="00750815" w:rsidP="00750815">
      <w:r>
        <w:t>This</w:t>
      </w:r>
      <w:r w:rsidR="00081EAB">
        <w:t xml:space="preserve"> instrument </w:t>
      </w:r>
      <w:r w:rsidR="00644E63">
        <w:t>implement</w:t>
      </w:r>
      <w:r>
        <w:t>s</w:t>
      </w:r>
      <w:r w:rsidR="00644E63">
        <w:t xml:space="preserve"> the decision in the 201</w:t>
      </w:r>
      <w:r w:rsidR="00EB149E">
        <w:t>8</w:t>
      </w:r>
      <w:r w:rsidR="00CC1F17">
        <w:noBreakHyphen/>
      </w:r>
      <w:r w:rsidR="00644E63">
        <w:t>1</w:t>
      </w:r>
      <w:r w:rsidR="00EB149E">
        <w:t>9</w:t>
      </w:r>
      <w:r w:rsidR="002D12D3">
        <w:t> </w:t>
      </w:r>
      <w:r w:rsidR="00644E63">
        <w:t xml:space="preserve">Budget to </w:t>
      </w:r>
      <w:r w:rsidR="00DA31DB">
        <w:t xml:space="preserve">end </w:t>
      </w:r>
      <w:r w:rsidR="00644E63">
        <w:t xml:space="preserve">the </w:t>
      </w:r>
      <w:r w:rsidR="00211CD8">
        <w:t>f</w:t>
      </w:r>
      <w:r w:rsidR="00644E63">
        <w:t xml:space="preserve">irst </w:t>
      </w:r>
      <w:r w:rsidR="00211CD8">
        <w:t>h</w:t>
      </w:r>
      <w:r w:rsidR="00644E63">
        <w:t xml:space="preserve">ome </w:t>
      </w:r>
      <w:r w:rsidR="00211CD8">
        <w:t>o</w:t>
      </w:r>
      <w:r w:rsidR="00644E63">
        <w:t xml:space="preserve">wner </w:t>
      </w:r>
      <w:r w:rsidR="00211CD8">
        <w:t>g</w:t>
      </w:r>
      <w:r w:rsidR="00644E63">
        <w:t xml:space="preserve">rant </w:t>
      </w:r>
      <w:r w:rsidR="00601C7D">
        <w:t xml:space="preserve">(the FHOG) </w:t>
      </w:r>
      <w:r w:rsidR="00DB2FE2">
        <w:t>from 1 July 2019</w:t>
      </w:r>
      <w:r w:rsidR="00B2680A">
        <w:t xml:space="preserve"> by </w:t>
      </w:r>
      <w:r>
        <w:t>making</w:t>
      </w:r>
      <w:r w:rsidR="00601C7D">
        <w:t xml:space="preserve"> the amount of the FHOG</w:t>
      </w:r>
      <w:r w:rsidR="00C53A52">
        <w:t xml:space="preserve"> receivable</w:t>
      </w:r>
      <w:r>
        <w:t>,</w:t>
      </w:r>
      <w:r w:rsidR="00211CD8">
        <w:t xml:space="preserve"> </w:t>
      </w:r>
      <w:r w:rsidR="00C53A52">
        <w:t>on or after 1 July 2019</w:t>
      </w:r>
      <w:r>
        <w:t>,</w:t>
      </w:r>
      <w:r w:rsidR="00C53A52">
        <w:t xml:space="preserve"> </w:t>
      </w:r>
      <w:r w:rsidR="00211CD8">
        <w:t>a nil amount</w:t>
      </w:r>
      <w:r w:rsidR="00C53A52">
        <w:t>. T</w:t>
      </w:r>
      <w:r w:rsidR="00211CD8">
        <w:t>h</w:t>
      </w:r>
      <w:r w:rsidR="00C53A52">
        <w:t xml:space="preserve">is </w:t>
      </w:r>
      <w:r w:rsidR="00B2680A">
        <w:t>enable</w:t>
      </w:r>
      <w:r>
        <w:t>s</w:t>
      </w:r>
      <w:r w:rsidR="00C53A52">
        <w:t xml:space="preserve"> the continued operation </w:t>
      </w:r>
      <w:r w:rsidR="00601C7D">
        <w:t>of the</w:t>
      </w:r>
      <w:r w:rsidR="00211CD8">
        <w:t xml:space="preserve"> </w:t>
      </w:r>
      <w:r w:rsidR="00211CD8" w:rsidRPr="0066239F">
        <w:rPr>
          <w:i/>
        </w:rPr>
        <w:t>First Home Owner Grant Act 2000</w:t>
      </w:r>
      <w:r w:rsidR="00211CD8">
        <w:t xml:space="preserve"> (the Act) </w:t>
      </w:r>
      <w:r w:rsidR="00601C7D">
        <w:t>for transactions entered into on or before 30 June 2019.</w:t>
      </w:r>
    </w:p>
    <w:p w:rsidR="00211CD8" w:rsidRDefault="00211CD8"/>
    <w:p w:rsidR="00601C7D" w:rsidRPr="00601C7D" w:rsidRDefault="00601C7D" w:rsidP="006B61FD">
      <w:pPr>
        <w:rPr>
          <w:u w:val="single"/>
        </w:rPr>
      </w:pPr>
      <w:r w:rsidRPr="00601C7D">
        <w:rPr>
          <w:u w:val="single"/>
        </w:rPr>
        <w:t>Details</w:t>
      </w:r>
      <w:r>
        <w:rPr>
          <w:u w:val="single"/>
        </w:rPr>
        <w:t xml:space="preserve"> of this Instrument</w:t>
      </w:r>
    </w:p>
    <w:p w:rsidR="00601C7D" w:rsidRDefault="00601C7D" w:rsidP="006B61FD"/>
    <w:p w:rsidR="00601C7D" w:rsidRDefault="006B082B" w:rsidP="006B61FD">
      <w:r>
        <w:t>Section 18 (1) of t</w:t>
      </w:r>
      <w:r w:rsidR="006B61FD">
        <w:t>he</w:t>
      </w:r>
      <w:r w:rsidR="00601C7D">
        <w:t xml:space="preserve"> Act states</w:t>
      </w:r>
      <w:r>
        <w:t xml:space="preserve"> that the amount of </w:t>
      </w:r>
      <w:r w:rsidR="00C17A4B">
        <w:t>the</w:t>
      </w:r>
      <w:r>
        <w:t xml:space="preserve"> </w:t>
      </w:r>
      <w:r w:rsidR="00C17A4B">
        <w:t>FHOG</w:t>
      </w:r>
      <w:r>
        <w:t xml:space="preserve"> is the lesser of</w:t>
      </w:r>
      <w:r w:rsidR="00601C7D">
        <w:t>:</w:t>
      </w:r>
    </w:p>
    <w:p w:rsidR="00601C7D" w:rsidRDefault="006B082B" w:rsidP="00601C7D">
      <w:pPr>
        <w:pStyle w:val="ListParagraph"/>
        <w:numPr>
          <w:ilvl w:val="0"/>
          <w:numId w:val="12"/>
        </w:numPr>
        <w:spacing w:before="120"/>
        <w:ind w:left="425" w:hanging="425"/>
        <w:contextualSpacing w:val="0"/>
      </w:pPr>
      <w:r>
        <w:t>the consideration for the eligible transaction</w:t>
      </w:r>
      <w:r w:rsidR="00601C7D">
        <w:t>;</w:t>
      </w:r>
    </w:p>
    <w:p w:rsidR="00081EAB" w:rsidRDefault="006B082B" w:rsidP="00601C7D">
      <w:pPr>
        <w:pStyle w:val="ListParagraph"/>
        <w:numPr>
          <w:ilvl w:val="0"/>
          <w:numId w:val="12"/>
        </w:numPr>
        <w:spacing w:before="120"/>
        <w:ind w:left="425" w:hanging="425"/>
        <w:contextualSpacing w:val="0"/>
      </w:pPr>
      <w:r>
        <w:t xml:space="preserve">an amount determined by </w:t>
      </w:r>
      <w:r w:rsidR="006B61FD">
        <w:t>the Minister</w:t>
      </w:r>
      <w:r>
        <w:t xml:space="preserve"> by</w:t>
      </w:r>
      <w:r w:rsidR="006B61FD">
        <w:t xml:space="preserve"> disallowable instrument.</w:t>
      </w:r>
    </w:p>
    <w:p w:rsidR="00FD13E7" w:rsidRDefault="00FD13E7"/>
    <w:p w:rsidR="0027594B" w:rsidRDefault="006B082B">
      <w:r>
        <w:t xml:space="preserve">To give effect to the </w:t>
      </w:r>
      <w:r w:rsidR="00B2680A">
        <w:t>decision</w:t>
      </w:r>
      <w:r w:rsidR="00601C7D">
        <w:t xml:space="preserve"> to </w:t>
      </w:r>
      <w:r w:rsidR="00341467">
        <w:t xml:space="preserve">end </w:t>
      </w:r>
      <w:r>
        <w:t>the</w:t>
      </w:r>
      <w:r w:rsidR="00601C7D">
        <w:t xml:space="preserve"> FHOG on or after 1 July 2019</w:t>
      </w:r>
      <w:r>
        <w:t xml:space="preserve">, the Minister determines </w:t>
      </w:r>
      <w:r w:rsidR="0027594B">
        <w:t xml:space="preserve">for the purposes of section 18 (1) </w:t>
      </w:r>
      <w:r w:rsidR="00211CD8">
        <w:t>(b</w:t>
      </w:r>
      <w:r w:rsidR="0027594B">
        <w:t xml:space="preserve">) </w:t>
      </w:r>
      <w:r w:rsidR="00601C7D">
        <w:t>that the amount of the FHOG will be a</w:t>
      </w:r>
      <w:r w:rsidR="0027594B">
        <w:t xml:space="preserve"> nil amount. </w:t>
      </w:r>
    </w:p>
    <w:p w:rsidR="00211CD8" w:rsidRDefault="00211CD8"/>
    <w:p w:rsidR="00211CD8" w:rsidRDefault="00B2680A">
      <w:r>
        <w:t>Accordingly</w:t>
      </w:r>
      <w:r w:rsidR="00DA31DB">
        <w:t>,</w:t>
      </w:r>
      <w:r>
        <w:t xml:space="preserve"> </w:t>
      </w:r>
      <w:r w:rsidR="0027594B">
        <w:t xml:space="preserve">from 1 July 2019 </w:t>
      </w:r>
      <w:r w:rsidR="006B61FD">
        <w:t>the</w:t>
      </w:r>
      <w:r w:rsidR="006B082B">
        <w:t xml:space="preserve"> amount of the </w:t>
      </w:r>
      <w:r w:rsidR="00C17A4B">
        <w:t>FHOG</w:t>
      </w:r>
      <w:r w:rsidR="0027594B">
        <w:t xml:space="preserve"> will be</w:t>
      </w:r>
      <w:r>
        <w:t xml:space="preserve"> nil</w:t>
      </w:r>
      <w:r w:rsidR="00762CE6">
        <w:t>,</w:t>
      </w:r>
      <w:r>
        <w:t xml:space="preserve"> being</w:t>
      </w:r>
      <w:r w:rsidR="00653D01">
        <w:t xml:space="preserve"> the lesser of the consideration for the eligible transaction </w:t>
      </w:r>
      <w:r>
        <w:t xml:space="preserve">and </w:t>
      </w:r>
      <w:r w:rsidR="00C17A4B">
        <w:t>a</w:t>
      </w:r>
      <w:r w:rsidR="00211CD8">
        <w:t xml:space="preserve"> </w:t>
      </w:r>
      <w:r w:rsidR="006B082B">
        <w:t>nil amount</w:t>
      </w:r>
      <w:r w:rsidR="00DA31DB">
        <w:t>,</w:t>
      </w:r>
      <w:r w:rsidR="00C17A4B">
        <w:t xml:space="preserve"> as determined </w:t>
      </w:r>
      <w:r>
        <w:t xml:space="preserve">in </w:t>
      </w:r>
      <w:r w:rsidR="00C17A4B">
        <w:t>this instrument</w:t>
      </w:r>
      <w:r w:rsidR="0098194C">
        <w:t>.</w:t>
      </w:r>
      <w:r w:rsidR="006B082B">
        <w:t xml:space="preserve"> </w:t>
      </w:r>
      <w:r w:rsidR="00C17A4B">
        <w:t xml:space="preserve">In effect anyone applying for the FHOG </w:t>
      </w:r>
      <w:r>
        <w:t xml:space="preserve">in respect of </w:t>
      </w:r>
      <w:r w:rsidR="00C17A4B">
        <w:t>a</w:t>
      </w:r>
      <w:r>
        <w:t>n eligible</w:t>
      </w:r>
      <w:r w:rsidR="00C17A4B">
        <w:t xml:space="preserve"> transaction entered into on or after 1 July 2019 will </w:t>
      </w:r>
      <w:r w:rsidR="00DA31DB">
        <w:t xml:space="preserve">not </w:t>
      </w:r>
      <w:r w:rsidR="00C17A4B">
        <w:t xml:space="preserve">receive </w:t>
      </w:r>
      <w:r w:rsidR="00DA31DB">
        <w:t xml:space="preserve">any </w:t>
      </w:r>
      <w:r w:rsidR="00341467">
        <w:t xml:space="preserve">FHOG </w:t>
      </w:r>
      <w:r w:rsidR="00DA31DB">
        <w:t>monies</w:t>
      </w:r>
      <w:r w:rsidR="00C17A4B">
        <w:t>.</w:t>
      </w:r>
    </w:p>
    <w:p w:rsidR="00211CD8" w:rsidRDefault="00211CD8"/>
    <w:p w:rsidR="00A05DD3" w:rsidRDefault="00990F91">
      <w:r>
        <w:t>This instrument revokes the</w:t>
      </w:r>
      <w:r w:rsidRPr="00990F91">
        <w:rPr>
          <w:i/>
        </w:rPr>
        <w:t xml:space="preserve"> First Home Owner G</w:t>
      </w:r>
      <w:r w:rsidR="0027594B">
        <w:rPr>
          <w:i/>
        </w:rPr>
        <w:t>rant (Amount) Determination 2016</w:t>
      </w:r>
      <w:r w:rsidRPr="00990F91">
        <w:rPr>
          <w:i/>
        </w:rPr>
        <w:t xml:space="preserve"> (No 1)</w:t>
      </w:r>
      <w:r>
        <w:rPr>
          <w:i/>
        </w:rPr>
        <w:t xml:space="preserve"> </w:t>
      </w:r>
      <w:r>
        <w:t>DI201</w:t>
      </w:r>
      <w:r w:rsidR="0027594B">
        <w:t>6</w:t>
      </w:r>
      <w:r>
        <w:t>-</w:t>
      </w:r>
      <w:r w:rsidR="0027594B">
        <w:t>306</w:t>
      </w:r>
      <w:r>
        <w:t xml:space="preserve"> </w:t>
      </w:r>
      <w:r w:rsidR="00C17A4B">
        <w:t>and makes provision for transitional periods as follows:</w:t>
      </w:r>
      <w:r>
        <w:t xml:space="preserve"> </w:t>
      </w:r>
    </w:p>
    <w:p w:rsidR="0027594B" w:rsidRDefault="00A91D69" w:rsidP="00C17A4B">
      <w:pPr>
        <w:pStyle w:val="ListParagraph"/>
        <w:numPr>
          <w:ilvl w:val="0"/>
          <w:numId w:val="12"/>
        </w:numPr>
        <w:spacing w:before="120"/>
        <w:ind w:left="425" w:hanging="425"/>
        <w:contextualSpacing w:val="0"/>
      </w:pPr>
      <w:r>
        <w:t xml:space="preserve">The </w:t>
      </w:r>
      <w:r w:rsidRPr="00F775A0">
        <w:rPr>
          <w:i/>
        </w:rPr>
        <w:t>First Home Owner Grant (Amount) Determination 201</w:t>
      </w:r>
      <w:r>
        <w:rPr>
          <w:i/>
        </w:rPr>
        <w:t>5</w:t>
      </w:r>
      <w:r w:rsidRPr="00F775A0">
        <w:rPr>
          <w:i/>
        </w:rPr>
        <w:t xml:space="preserve"> (No 1</w:t>
      </w:r>
      <w:r>
        <w:rPr>
          <w:i/>
        </w:rPr>
        <w:t xml:space="preserve">) </w:t>
      </w:r>
      <w:r w:rsidR="00990F91">
        <w:t xml:space="preserve">DI2015-247 </w:t>
      </w:r>
      <w:r w:rsidR="00A05DD3">
        <w:t>continues to apply to eligible transactions with a commencement date</w:t>
      </w:r>
      <w:r w:rsidR="00674852">
        <w:t xml:space="preserve"> i</w:t>
      </w:r>
      <w:r w:rsidR="00597EC2">
        <w:t>n the period 1 January 2016 to 31 December 2016, inclusive.</w:t>
      </w:r>
      <w:r w:rsidR="00674852">
        <w:t xml:space="preserve"> </w:t>
      </w:r>
      <w:r w:rsidR="0027594B">
        <w:t xml:space="preserve">This instrument determined a </w:t>
      </w:r>
      <w:r w:rsidR="00C17A4B">
        <w:t>FHOG</w:t>
      </w:r>
      <w:r w:rsidR="0027594B">
        <w:t xml:space="preserve"> amount of $10,000.</w:t>
      </w:r>
    </w:p>
    <w:p w:rsidR="0027594B" w:rsidRDefault="0027594B" w:rsidP="00C17A4B">
      <w:pPr>
        <w:pStyle w:val="ListParagraph"/>
        <w:numPr>
          <w:ilvl w:val="0"/>
          <w:numId w:val="12"/>
        </w:numPr>
        <w:spacing w:before="120"/>
        <w:ind w:left="425" w:hanging="425"/>
        <w:contextualSpacing w:val="0"/>
      </w:pPr>
      <w:r>
        <w:t>DI2016-306 continues to apply to eligible transactions with a commencement date in the period 1 January 2017 to 30 June 2019, inclusive.</w:t>
      </w:r>
      <w:r w:rsidR="00C17A4B">
        <w:t xml:space="preserve"> This instrument determined a FHOG amount of $7,000.</w:t>
      </w:r>
    </w:p>
    <w:p w:rsidR="0027594B" w:rsidRDefault="0027594B"/>
    <w:p w:rsidR="00990F91" w:rsidRPr="00C4330C" w:rsidRDefault="00C4330C" w:rsidP="00762CE6">
      <w:r>
        <w:lastRenderedPageBreak/>
        <w:t xml:space="preserve">The terms </w:t>
      </w:r>
      <w:r>
        <w:rPr>
          <w:b/>
          <w:i/>
        </w:rPr>
        <w:t>eligible transaction</w:t>
      </w:r>
      <w:r>
        <w:t xml:space="preserve"> and </w:t>
      </w:r>
      <w:r>
        <w:rPr>
          <w:b/>
          <w:i/>
        </w:rPr>
        <w:t>commencement date</w:t>
      </w:r>
      <w:r>
        <w:t xml:space="preserve"> are defined </w:t>
      </w:r>
      <w:r w:rsidR="00432A7C">
        <w:t>in</w:t>
      </w:r>
      <w:r>
        <w:t xml:space="preserve"> section 13 of the Act.</w:t>
      </w:r>
    </w:p>
    <w:p w:rsidR="002421A1" w:rsidRDefault="002421A1"/>
    <w:p w:rsidR="0066239F" w:rsidRDefault="0066239F"/>
    <w:p w:rsidR="002421A1" w:rsidRDefault="002421A1"/>
    <w:p w:rsidR="002421A1" w:rsidRDefault="002421A1">
      <w:r>
        <w:t>Authorised by the Treasurer</w:t>
      </w:r>
    </w:p>
    <w:p w:rsidR="002421A1" w:rsidRDefault="002421A1">
      <w:r>
        <w:t>Andrew Barr MLA</w:t>
      </w:r>
    </w:p>
    <w:sectPr w:rsidR="002421A1" w:rsidSect="004C4A40">
      <w:footerReference w:type="default" r:id="rId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94C" w:rsidRDefault="0098194C">
      <w:r>
        <w:separator/>
      </w:r>
    </w:p>
  </w:endnote>
  <w:endnote w:type="continuationSeparator" w:id="0">
    <w:p w:rsidR="0098194C" w:rsidRDefault="009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94C" w:rsidRPr="00D664EF" w:rsidRDefault="00015E11" w:rsidP="00D664EF">
    <w:pPr>
      <w:pStyle w:val="Footer"/>
      <w:spacing w:before="0" w:after="0" w:line="240" w:lineRule="auto"/>
      <w:jc w:val="center"/>
      <w:rPr>
        <w:rFonts w:cs="Arial"/>
        <w:sz w:val="14"/>
      </w:rPr>
    </w:pPr>
    <w:r w:rsidRPr="00D664E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4C" w:rsidRDefault="0098194C">
      <w:r>
        <w:separator/>
      </w:r>
    </w:p>
  </w:footnote>
  <w:footnote w:type="continuationSeparator" w:id="0">
    <w:p w:rsidR="0098194C" w:rsidRDefault="00981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D14CBD"/>
    <w:multiLevelType w:val="hybridMultilevel"/>
    <w:tmpl w:val="B504C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92C32"/>
    <w:multiLevelType w:val="hybridMultilevel"/>
    <w:tmpl w:val="79B8E6E8"/>
    <w:lvl w:ilvl="0" w:tplc="B0CAD4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07B67B4"/>
    <w:multiLevelType w:val="hybridMultilevel"/>
    <w:tmpl w:val="74C04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35E7"/>
    <w:multiLevelType w:val="multilevel"/>
    <w:tmpl w:val="2CB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15E11"/>
    <w:rsid w:val="00081CA7"/>
    <w:rsid w:val="00081EAB"/>
    <w:rsid w:val="00127894"/>
    <w:rsid w:val="001F3D89"/>
    <w:rsid w:val="002022D8"/>
    <w:rsid w:val="00211CD8"/>
    <w:rsid w:val="002421A1"/>
    <w:rsid w:val="0027594B"/>
    <w:rsid w:val="002D12D3"/>
    <w:rsid w:val="00307B74"/>
    <w:rsid w:val="003143D2"/>
    <w:rsid w:val="00341467"/>
    <w:rsid w:val="00432A7C"/>
    <w:rsid w:val="00471C05"/>
    <w:rsid w:val="004958BF"/>
    <w:rsid w:val="004C4A40"/>
    <w:rsid w:val="005833A1"/>
    <w:rsid w:val="00597EC2"/>
    <w:rsid w:val="005D70F1"/>
    <w:rsid w:val="00601C7D"/>
    <w:rsid w:val="00644E63"/>
    <w:rsid w:val="00653D01"/>
    <w:rsid w:val="00655FD4"/>
    <w:rsid w:val="0066239F"/>
    <w:rsid w:val="00674852"/>
    <w:rsid w:val="006B082B"/>
    <w:rsid w:val="006B61FD"/>
    <w:rsid w:val="006D261F"/>
    <w:rsid w:val="007276F9"/>
    <w:rsid w:val="0075065A"/>
    <w:rsid w:val="00750815"/>
    <w:rsid w:val="00762CE6"/>
    <w:rsid w:val="007A1F91"/>
    <w:rsid w:val="007D767A"/>
    <w:rsid w:val="00800F83"/>
    <w:rsid w:val="008977AE"/>
    <w:rsid w:val="008B7103"/>
    <w:rsid w:val="0098194C"/>
    <w:rsid w:val="00990F91"/>
    <w:rsid w:val="009D772B"/>
    <w:rsid w:val="009E6B47"/>
    <w:rsid w:val="00A05DD3"/>
    <w:rsid w:val="00A335E2"/>
    <w:rsid w:val="00A91D69"/>
    <w:rsid w:val="00AF2B52"/>
    <w:rsid w:val="00B140D8"/>
    <w:rsid w:val="00B2680A"/>
    <w:rsid w:val="00B54842"/>
    <w:rsid w:val="00BF6E16"/>
    <w:rsid w:val="00C17A4B"/>
    <w:rsid w:val="00C36C86"/>
    <w:rsid w:val="00C4252F"/>
    <w:rsid w:val="00C4330C"/>
    <w:rsid w:val="00C53A52"/>
    <w:rsid w:val="00CC1F17"/>
    <w:rsid w:val="00D664EF"/>
    <w:rsid w:val="00DA31DB"/>
    <w:rsid w:val="00DB2FE2"/>
    <w:rsid w:val="00E909BF"/>
    <w:rsid w:val="00EB149E"/>
    <w:rsid w:val="00EB2D2F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2197B6-72B3-4270-9984-81B5CDA6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7B7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07B7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307B7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307B7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307B7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7B7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307B7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07B7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07B7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07B7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07B74"/>
    <w:pPr>
      <w:spacing w:before="180" w:after="60"/>
      <w:jc w:val="both"/>
    </w:pPr>
  </w:style>
  <w:style w:type="paragraph" w:customStyle="1" w:styleId="CoverActName">
    <w:name w:val="CoverActNam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07B74"/>
    <w:pPr>
      <w:tabs>
        <w:tab w:val="left" w:pos="2880"/>
      </w:tabs>
    </w:pPr>
  </w:style>
  <w:style w:type="paragraph" w:customStyle="1" w:styleId="Apara">
    <w:name w:val="A para"/>
    <w:basedOn w:val="Normal"/>
    <w:rsid w:val="00307B74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07B74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07B74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07B7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307B7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307B7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07B74"/>
  </w:style>
  <w:style w:type="paragraph" w:customStyle="1" w:styleId="CoverInForce">
    <w:name w:val="CoverInForce"/>
    <w:basedOn w:val="Normal"/>
    <w:rsid w:val="00307B7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07B7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07B7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307B74"/>
  </w:style>
  <w:style w:type="paragraph" w:customStyle="1" w:styleId="Aparabullet">
    <w:name w:val="A para bullet"/>
    <w:basedOn w:val="Normal"/>
    <w:rsid w:val="00307B7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307B74"/>
  </w:style>
  <w:style w:type="paragraph" w:styleId="TOC2">
    <w:name w:val="toc 2"/>
    <w:basedOn w:val="Normal"/>
    <w:next w:val="Normal"/>
    <w:autoRedefine/>
    <w:semiHidden/>
    <w:rsid w:val="00307B74"/>
    <w:pPr>
      <w:ind w:left="240"/>
    </w:pPr>
  </w:style>
  <w:style w:type="paragraph" w:styleId="TOC3">
    <w:name w:val="toc 3"/>
    <w:basedOn w:val="Normal"/>
    <w:next w:val="Normal"/>
    <w:autoRedefine/>
    <w:semiHidden/>
    <w:rsid w:val="00307B74"/>
    <w:pPr>
      <w:ind w:left="480"/>
    </w:pPr>
  </w:style>
  <w:style w:type="paragraph" w:styleId="TOC4">
    <w:name w:val="toc 4"/>
    <w:basedOn w:val="Normal"/>
    <w:next w:val="Normal"/>
    <w:autoRedefine/>
    <w:semiHidden/>
    <w:rsid w:val="00307B74"/>
    <w:pPr>
      <w:ind w:left="720"/>
    </w:pPr>
  </w:style>
  <w:style w:type="paragraph" w:styleId="TOC5">
    <w:name w:val="toc 5"/>
    <w:basedOn w:val="Normal"/>
    <w:next w:val="Normal"/>
    <w:autoRedefine/>
    <w:semiHidden/>
    <w:rsid w:val="00307B74"/>
    <w:pPr>
      <w:ind w:left="960"/>
    </w:pPr>
  </w:style>
  <w:style w:type="paragraph" w:styleId="TOC6">
    <w:name w:val="toc 6"/>
    <w:basedOn w:val="Normal"/>
    <w:next w:val="Normal"/>
    <w:autoRedefine/>
    <w:semiHidden/>
    <w:rsid w:val="00307B74"/>
    <w:pPr>
      <w:ind w:left="1200"/>
    </w:pPr>
  </w:style>
  <w:style w:type="paragraph" w:styleId="TOC7">
    <w:name w:val="toc 7"/>
    <w:basedOn w:val="Normal"/>
    <w:next w:val="Normal"/>
    <w:autoRedefine/>
    <w:semiHidden/>
    <w:rsid w:val="00307B74"/>
    <w:pPr>
      <w:ind w:left="1440"/>
    </w:pPr>
  </w:style>
  <w:style w:type="paragraph" w:styleId="TOC8">
    <w:name w:val="toc 8"/>
    <w:basedOn w:val="Normal"/>
    <w:next w:val="Normal"/>
    <w:autoRedefine/>
    <w:semiHidden/>
    <w:rsid w:val="00307B74"/>
    <w:pPr>
      <w:ind w:left="1680"/>
    </w:pPr>
  </w:style>
  <w:style w:type="paragraph" w:styleId="TOC9">
    <w:name w:val="toc 9"/>
    <w:basedOn w:val="Normal"/>
    <w:next w:val="Normal"/>
    <w:autoRedefine/>
    <w:semiHidden/>
    <w:rsid w:val="00307B74"/>
    <w:pPr>
      <w:ind w:left="1920"/>
    </w:pPr>
  </w:style>
  <w:style w:type="character" w:styleId="Hyperlink">
    <w:name w:val="Hyperlink"/>
    <w:basedOn w:val="DefaultParagraphFont"/>
    <w:rsid w:val="00307B74"/>
    <w:rPr>
      <w:color w:val="0000FF"/>
      <w:u w:val="single"/>
    </w:rPr>
  </w:style>
  <w:style w:type="paragraph" w:styleId="BodyTextIndent">
    <w:name w:val="Body Text Indent"/>
    <w:basedOn w:val="Normal"/>
    <w:rsid w:val="00307B74"/>
    <w:pPr>
      <w:spacing w:before="120" w:after="60"/>
      <w:ind w:left="709"/>
    </w:pPr>
  </w:style>
  <w:style w:type="paragraph" w:customStyle="1" w:styleId="Minister">
    <w:name w:val="Minister"/>
    <w:basedOn w:val="Normal"/>
    <w:rsid w:val="00307B7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07B7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07B7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307B7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307B7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307B7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307B7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07B74"/>
  </w:style>
  <w:style w:type="paragraph" w:styleId="ListParagraph">
    <w:name w:val="List Paragraph"/>
    <w:basedOn w:val="Normal"/>
    <w:uiPriority w:val="34"/>
    <w:qFormat/>
    <w:rsid w:val="00601C7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F3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3D8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1721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2006-03-31T03:28:00Z</cp:lastPrinted>
  <dcterms:created xsi:type="dcterms:W3CDTF">2019-06-26T04:39:00Z</dcterms:created>
  <dcterms:modified xsi:type="dcterms:W3CDTF">2019-06-27T02:13:00Z</dcterms:modified>
</cp:coreProperties>
</file>