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93F44" w14:textId="77777777" w:rsidR="00020AA2" w:rsidRDefault="00020AA2">
      <w:pPr>
        <w:pStyle w:val="Title"/>
        <w:rPr>
          <w:rFonts w:ascii="Times New Roman" w:hAnsi="Times New Roman" w:cs="Times New Roman"/>
        </w:rPr>
      </w:pPr>
      <w:bookmarkStart w:id="0" w:name="_GoBack"/>
      <w:bookmarkEnd w:id="0"/>
    </w:p>
    <w:p w14:paraId="0C4D0479" w14:textId="77777777" w:rsidR="005D1766" w:rsidRDefault="005D1766" w:rsidP="005D1766">
      <w:pPr>
        <w:spacing w:before="120"/>
      </w:pPr>
      <w:r>
        <w:t>Australian Capital Territory</w:t>
      </w:r>
    </w:p>
    <w:p w14:paraId="01B15799" w14:textId="05BE7730" w:rsidR="00964388" w:rsidRPr="00A449AE" w:rsidRDefault="0098252E" w:rsidP="00964388">
      <w:pPr>
        <w:pStyle w:val="Billname"/>
        <w:spacing w:before="700"/>
      </w:pPr>
      <w:r>
        <w:t>Land Titles</w:t>
      </w:r>
      <w:r w:rsidR="0031310C">
        <w:t xml:space="preserve"> (Fees) Determination </w:t>
      </w:r>
      <w:r w:rsidR="00123822">
        <w:t>2019</w:t>
      </w:r>
      <w:r w:rsidR="00A449AE">
        <w:t xml:space="preserve"> (No 2)</w:t>
      </w:r>
      <w:r w:rsidR="00964388" w:rsidRPr="00D033A3">
        <w:rPr>
          <w:rFonts w:eastAsia="SimSun"/>
          <w:b w:val="0"/>
          <w:bCs w:val="0"/>
          <w:i/>
          <w:iCs/>
          <w:color w:val="000080"/>
          <w:sz w:val="28"/>
          <w:szCs w:val="28"/>
          <w:lang w:val="en-US" w:eastAsia="zh-CN"/>
        </w:rPr>
        <w:t xml:space="preserve"> </w:t>
      </w:r>
    </w:p>
    <w:p w14:paraId="0B7A408F" w14:textId="4AEAC090" w:rsidR="00964388" w:rsidRDefault="006A23F2" w:rsidP="00964388">
      <w:pPr>
        <w:spacing w:before="240" w:after="60"/>
        <w:rPr>
          <w:b/>
          <w:bCs/>
        </w:rPr>
      </w:pPr>
      <w:r>
        <w:rPr>
          <w:b/>
          <w:bCs/>
        </w:rPr>
        <w:t>Disallowable instrument DI</w:t>
      </w:r>
      <w:r w:rsidR="00A449AE">
        <w:rPr>
          <w:b/>
          <w:bCs/>
        </w:rPr>
        <w:t>2019-</w:t>
      </w:r>
      <w:r w:rsidR="00AE1E00">
        <w:rPr>
          <w:b/>
          <w:bCs/>
        </w:rPr>
        <w:t>156</w:t>
      </w:r>
    </w:p>
    <w:p w14:paraId="6C0B555D" w14:textId="77777777" w:rsidR="00964388" w:rsidRDefault="00964388" w:rsidP="00085DA8">
      <w:pPr>
        <w:pStyle w:val="madeunder"/>
        <w:rPr>
          <w:rFonts w:ascii="Times New Roman" w:hAnsi="Times New Roman" w:cs="Times New Roman"/>
        </w:rPr>
      </w:pPr>
      <w:r w:rsidRPr="00D033A3">
        <w:rPr>
          <w:rFonts w:ascii="Times New Roman" w:hAnsi="Times New Roman" w:cs="Times New Roman"/>
        </w:rPr>
        <w:t xml:space="preserve">made under the </w:t>
      </w:r>
    </w:p>
    <w:p w14:paraId="09D6B017" w14:textId="77777777" w:rsidR="004441C0" w:rsidRPr="0037646A" w:rsidRDefault="004441C0" w:rsidP="008A68E6">
      <w:pPr>
        <w:pStyle w:val="CoverActName"/>
        <w:spacing w:before="180" w:after="0"/>
        <w:rPr>
          <w:sz w:val="20"/>
          <w:szCs w:val="20"/>
        </w:rPr>
      </w:pPr>
      <w:r w:rsidRPr="0037646A">
        <w:rPr>
          <w:snapToGrid w:val="0"/>
          <w:color w:val="000000"/>
          <w:sz w:val="20"/>
          <w:szCs w:val="20"/>
        </w:rPr>
        <w:t>Land Titles Act 1925, s 139 (</w:t>
      </w:r>
      <w:r w:rsidRPr="0037646A">
        <w:rPr>
          <w:sz w:val="20"/>
          <w:szCs w:val="20"/>
        </w:rPr>
        <w:t>Determination of fees, charges and other amounts)</w:t>
      </w:r>
    </w:p>
    <w:p w14:paraId="0C2E087F" w14:textId="77777777" w:rsidR="008A68E6" w:rsidRDefault="008A68E6" w:rsidP="008A68E6">
      <w:pPr>
        <w:pStyle w:val="CoverActName"/>
        <w:spacing w:before="0" w:after="0"/>
        <w:rPr>
          <w:sz w:val="20"/>
          <w:szCs w:val="20"/>
        </w:rPr>
      </w:pPr>
    </w:p>
    <w:p w14:paraId="5D08B512" w14:textId="77777777" w:rsidR="008A68E6" w:rsidRDefault="008A68E6" w:rsidP="008A68E6">
      <w:pPr>
        <w:pStyle w:val="CoverActName"/>
        <w:spacing w:before="0" w:after="0"/>
        <w:rPr>
          <w:sz w:val="20"/>
          <w:szCs w:val="20"/>
        </w:rPr>
      </w:pPr>
    </w:p>
    <w:p w14:paraId="32175193" w14:textId="77777777" w:rsidR="00964388" w:rsidRDefault="00964388" w:rsidP="008A68E6">
      <w:pPr>
        <w:pStyle w:val="Header"/>
        <w:tabs>
          <w:tab w:val="clear" w:pos="4153"/>
          <w:tab w:val="clear" w:pos="8306"/>
        </w:tabs>
        <w:rPr>
          <w:b/>
          <w:bCs/>
          <w:sz w:val="28"/>
          <w:szCs w:val="28"/>
        </w:rPr>
      </w:pPr>
      <w:r>
        <w:rPr>
          <w:b/>
          <w:bCs/>
          <w:sz w:val="28"/>
          <w:szCs w:val="28"/>
        </w:rPr>
        <w:t>EXPLANATORY STATEMENT</w:t>
      </w:r>
    </w:p>
    <w:p w14:paraId="43A14CAB" w14:textId="77777777" w:rsidR="00964388" w:rsidRDefault="00964388" w:rsidP="00964388">
      <w:pPr>
        <w:pStyle w:val="Header"/>
        <w:pBdr>
          <w:bottom w:val="single" w:sz="12" w:space="1" w:color="auto"/>
        </w:pBdr>
        <w:tabs>
          <w:tab w:val="clear" w:pos="4153"/>
          <w:tab w:val="clear" w:pos="8306"/>
        </w:tabs>
        <w:rPr>
          <w:b/>
          <w:bCs/>
        </w:rPr>
      </w:pPr>
    </w:p>
    <w:p w14:paraId="1E0714EA" w14:textId="77777777" w:rsidR="00964388" w:rsidRDefault="00964388" w:rsidP="00964388">
      <w:pPr>
        <w:pStyle w:val="Header"/>
        <w:tabs>
          <w:tab w:val="clear" w:pos="4153"/>
          <w:tab w:val="clear" w:pos="8306"/>
        </w:tabs>
        <w:rPr>
          <w:b/>
          <w:bCs/>
        </w:rPr>
      </w:pPr>
    </w:p>
    <w:p w14:paraId="10BA11DA" w14:textId="77777777" w:rsidR="00964388" w:rsidRDefault="00020B38" w:rsidP="00CC3A21">
      <w:pPr>
        <w:pStyle w:val="LongTitle"/>
        <w:spacing w:before="0" w:after="0"/>
        <w:rPr>
          <w:color w:val="000000"/>
        </w:rPr>
      </w:pPr>
      <w:r w:rsidRPr="00C7232A">
        <w:rPr>
          <w:color w:val="000000"/>
        </w:rPr>
        <w:t xml:space="preserve">Section 139 of the </w:t>
      </w:r>
      <w:r w:rsidRPr="00C7232A">
        <w:rPr>
          <w:i/>
          <w:color w:val="000000"/>
        </w:rPr>
        <w:t>Land Titles Act 1925</w:t>
      </w:r>
      <w:r w:rsidRPr="00C7232A">
        <w:rPr>
          <w:color w:val="000000"/>
        </w:rPr>
        <w:t xml:space="preserve"> (the Act) provides that the Minister may determine fees under the Act (and certain other legislation) that relate to the Registrar-General exercising a function in connection with the register of land.</w:t>
      </w:r>
    </w:p>
    <w:p w14:paraId="2732B7B1" w14:textId="77777777" w:rsidR="003F1D45" w:rsidRDefault="003F1D45" w:rsidP="00964388">
      <w:pPr>
        <w:pStyle w:val="LongTitle"/>
        <w:spacing w:before="0" w:after="0"/>
        <w:rPr>
          <w:color w:val="000000"/>
        </w:rPr>
      </w:pPr>
    </w:p>
    <w:p w14:paraId="5FBDD8BE" w14:textId="17BDF3A4" w:rsidR="003F1D45" w:rsidRPr="00C7232A" w:rsidRDefault="003F1D45" w:rsidP="00964388">
      <w:pPr>
        <w:pStyle w:val="LongTitle"/>
        <w:spacing w:before="0" w:after="0"/>
        <w:rPr>
          <w:color w:val="000000"/>
        </w:rPr>
      </w:pPr>
      <w:r>
        <w:rPr>
          <w:color w:val="000000"/>
        </w:rPr>
        <w:t>This instrument revokes the previous determination of fees under section 139 of the Act and sets fees that will apply from 1 July 2019. The instrument provides that those fees are payable to the Territory by the person requesting the particular service.</w:t>
      </w:r>
    </w:p>
    <w:p w14:paraId="4D4B9E8D" w14:textId="77777777" w:rsidR="00020B38" w:rsidRPr="00C7232A" w:rsidRDefault="00020B38" w:rsidP="00964388">
      <w:pPr>
        <w:pStyle w:val="LongTitle"/>
        <w:spacing w:before="0" w:after="0"/>
        <w:rPr>
          <w:color w:val="000000"/>
        </w:rPr>
      </w:pPr>
    </w:p>
    <w:p w14:paraId="7B61E81D" w14:textId="1BF85951" w:rsidR="00D62392" w:rsidRDefault="00543C47" w:rsidP="00451138">
      <w:pPr>
        <w:pStyle w:val="LongTitle"/>
        <w:spacing w:before="0" w:after="0"/>
        <w:rPr>
          <w:color w:val="000000"/>
        </w:rPr>
      </w:pPr>
      <w:r w:rsidRPr="003F1D45">
        <w:rPr>
          <w:color w:val="000000"/>
        </w:rPr>
        <w:t>Fees</w:t>
      </w:r>
      <w:r w:rsidRPr="00C7232A">
        <w:rPr>
          <w:color w:val="000000"/>
        </w:rPr>
        <w:t xml:space="preserve"> </w:t>
      </w:r>
      <w:r w:rsidR="00AB5EE2">
        <w:rPr>
          <w:color w:val="000000"/>
        </w:rPr>
        <w:t xml:space="preserve">(apart from Items 130, 131, 132 and 132.1) </w:t>
      </w:r>
      <w:r w:rsidRPr="00C7232A">
        <w:rPr>
          <w:color w:val="000000"/>
        </w:rPr>
        <w:t>in the 20</w:t>
      </w:r>
      <w:r w:rsidR="00123822" w:rsidRPr="00C7232A">
        <w:rPr>
          <w:color w:val="000000"/>
        </w:rPr>
        <w:t>19-20</w:t>
      </w:r>
      <w:r w:rsidRPr="00C7232A">
        <w:rPr>
          <w:color w:val="000000"/>
        </w:rPr>
        <w:t xml:space="preserve"> financial year have been increased from fees in the previous financial year by </w:t>
      </w:r>
      <w:r w:rsidR="00920745" w:rsidRPr="00C7232A">
        <w:rPr>
          <w:color w:val="000000"/>
        </w:rPr>
        <w:t>3.5</w:t>
      </w:r>
      <w:r w:rsidR="00E22580">
        <w:rPr>
          <w:color w:val="000000"/>
        </w:rPr>
        <w:t> per cent</w:t>
      </w:r>
      <w:r w:rsidR="00E22580" w:rsidRPr="00C7232A">
        <w:rPr>
          <w:color w:val="000000"/>
        </w:rPr>
        <w:t xml:space="preserve"> </w:t>
      </w:r>
      <w:r w:rsidR="00920745" w:rsidRPr="00C7232A">
        <w:rPr>
          <w:color w:val="000000"/>
        </w:rPr>
        <w:t>on top of the</w:t>
      </w:r>
      <w:r w:rsidR="0048699E" w:rsidRPr="00C7232A">
        <w:rPr>
          <w:color w:val="000000"/>
        </w:rPr>
        <w:t xml:space="preserve"> Wage Price Index (WPI) forecast</w:t>
      </w:r>
      <w:r w:rsidR="0002076B">
        <w:rPr>
          <w:color w:val="000000"/>
        </w:rPr>
        <w:t xml:space="preserve"> of 2.5 per cent</w:t>
      </w:r>
      <w:r w:rsidR="00507D87">
        <w:rPr>
          <w:color w:val="000000"/>
        </w:rPr>
        <w:t>. T</w:t>
      </w:r>
      <w:r w:rsidR="00D62392">
        <w:rPr>
          <w:color w:val="000000"/>
        </w:rPr>
        <w:t>he additional 3.5</w:t>
      </w:r>
      <w:r w:rsidR="00E22580">
        <w:rPr>
          <w:color w:val="000000"/>
        </w:rPr>
        <w:t> per cent</w:t>
      </w:r>
      <w:r w:rsidR="00D62392">
        <w:rPr>
          <w:color w:val="000000"/>
        </w:rPr>
        <w:t xml:space="preserve"> increase</w:t>
      </w:r>
      <w:r w:rsidR="00507D87">
        <w:rPr>
          <w:color w:val="000000"/>
        </w:rPr>
        <w:t xml:space="preserve"> is in order</w:t>
      </w:r>
      <w:r w:rsidR="0002076B">
        <w:rPr>
          <w:color w:val="000000"/>
        </w:rPr>
        <w:t xml:space="preserve"> </w:t>
      </w:r>
      <w:r w:rsidR="005E326D">
        <w:rPr>
          <w:color w:val="000000"/>
        </w:rPr>
        <w:t xml:space="preserve">to support </w:t>
      </w:r>
      <w:r w:rsidR="00507D87">
        <w:rPr>
          <w:color w:val="000000"/>
        </w:rPr>
        <w:t xml:space="preserve">cost recovery for </w:t>
      </w:r>
      <w:r w:rsidR="005E326D">
        <w:rPr>
          <w:color w:val="000000"/>
        </w:rPr>
        <w:t>reforms under the Land Titles Modernisation Program</w:t>
      </w:r>
      <w:r w:rsidR="002436C1">
        <w:rPr>
          <w:color w:val="000000"/>
        </w:rPr>
        <w:t xml:space="preserve">, which will make </w:t>
      </w:r>
      <w:r w:rsidR="002436C1">
        <w:rPr>
          <w:rFonts w:cs="Arial"/>
        </w:rPr>
        <w:t>buying a property simpler and more efficient</w:t>
      </w:r>
      <w:r w:rsidRPr="00C7232A">
        <w:rPr>
          <w:color w:val="000000"/>
        </w:rPr>
        <w:t>.</w:t>
      </w:r>
      <w:r w:rsidRPr="00C7232A">
        <w:t xml:space="preserve"> Calculations are rounded down to the nearest dollar, with the exception of fees that have remained static for over three years, in </w:t>
      </w:r>
      <w:r w:rsidRPr="00C7232A">
        <w:rPr>
          <w:color w:val="000000"/>
        </w:rPr>
        <w:t>which case calculations are rounded up to the nearest dollar.</w:t>
      </w:r>
    </w:p>
    <w:p w14:paraId="21872DC7" w14:textId="77777777" w:rsidR="00AB5EE2" w:rsidRDefault="00AB5EE2" w:rsidP="00451138">
      <w:pPr>
        <w:pStyle w:val="LongTitle"/>
        <w:spacing w:before="0" w:after="0"/>
        <w:rPr>
          <w:color w:val="000000"/>
        </w:rPr>
      </w:pPr>
    </w:p>
    <w:p w14:paraId="59F3EB5B" w14:textId="65B93CA9" w:rsidR="00AB5EE2" w:rsidRDefault="00703BBA" w:rsidP="00451138">
      <w:pPr>
        <w:pStyle w:val="LongTitle"/>
        <w:spacing w:before="0" w:after="0"/>
        <w:rPr>
          <w:color w:val="000000"/>
        </w:rPr>
      </w:pPr>
      <w:r>
        <w:rPr>
          <w:color w:val="000000"/>
        </w:rPr>
        <w:t xml:space="preserve">Fees for Items 130, 131, 132 and 132.1 in the 2019-20 financial year have been increased by the WPI forecast of 2.5 per cent. </w:t>
      </w:r>
      <w:r>
        <w:t>Calculations are rounded down to the nearest dollar. This gives effect to the Government’s policy decision to limit growth in government fees and charges for households to no more than the Wage Price Index in 2019-20 as was announced in the 2019-20 ACT Budget. This approach also aligns with the 2018 Treasury Guidelines for Fees and Charges.</w:t>
      </w:r>
    </w:p>
    <w:p w14:paraId="6EF49839" w14:textId="77777777" w:rsidR="003F1D45" w:rsidRDefault="003F1D45" w:rsidP="00451138">
      <w:pPr>
        <w:pStyle w:val="LongTitle"/>
        <w:spacing w:before="0" w:after="0"/>
        <w:rPr>
          <w:color w:val="000000"/>
        </w:rPr>
      </w:pPr>
    </w:p>
    <w:p w14:paraId="5F9D1B55" w14:textId="292E66EB" w:rsidR="003F1D45" w:rsidRPr="00C7232A" w:rsidRDefault="003F1D45" w:rsidP="003F1D45">
      <w:pPr>
        <w:pStyle w:val="LongTitle"/>
        <w:spacing w:before="0" w:after="0"/>
        <w:rPr>
          <w:color w:val="000000"/>
        </w:rPr>
      </w:pPr>
      <w:r w:rsidRPr="00C7232A">
        <w:rPr>
          <w:color w:val="000000"/>
        </w:rPr>
        <w:t xml:space="preserve">Column 2 </w:t>
      </w:r>
      <w:r>
        <w:rPr>
          <w:color w:val="000000"/>
        </w:rPr>
        <w:t xml:space="preserve">of the Schedule </w:t>
      </w:r>
      <w:r w:rsidRPr="00C7232A">
        <w:rPr>
          <w:color w:val="000000"/>
        </w:rPr>
        <w:t xml:space="preserve">includes information about the fee in the 2018-19 financial year to enable a comparison of </w:t>
      </w:r>
      <w:r>
        <w:rPr>
          <w:color w:val="000000"/>
        </w:rPr>
        <w:t xml:space="preserve">previous fees </w:t>
      </w:r>
      <w:r w:rsidRPr="00C7232A">
        <w:rPr>
          <w:color w:val="000000"/>
        </w:rPr>
        <w:t>with those set by this instrument.</w:t>
      </w:r>
    </w:p>
    <w:p w14:paraId="3BD11846" w14:textId="77777777" w:rsidR="003F1D45" w:rsidRDefault="003F1D45" w:rsidP="00451138">
      <w:pPr>
        <w:pStyle w:val="LongTitle"/>
        <w:spacing w:before="0" w:after="0"/>
        <w:rPr>
          <w:color w:val="000000"/>
        </w:rPr>
      </w:pPr>
    </w:p>
    <w:p w14:paraId="742F1372" w14:textId="6F2B6B38" w:rsidR="003F1D45" w:rsidRDefault="003F1D45" w:rsidP="00451138">
      <w:pPr>
        <w:pStyle w:val="LongTitle"/>
        <w:spacing w:before="0" w:after="0"/>
        <w:rPr>
          <w:color w:val="000000"/>
        </w:rPr>
      </w:pPr>
      <w:r>
        <w:rPr>
          <w:color w:val="000000"/>
        </w:rPr>
        <w:t>Explanatory notes on certain items</w:t>
      </w:r>
      <w:r w:rsidR="00CC3A21">
        <w:rPr>
          <w:color w:val="000000"/>
        </w:rPr>
        <w:t xml:space="preserve"> in the</w:t>
      </w:r>
      <w:r w:rsidR="00D62392">
        <w:rPr>
          <w:color w:val="000000"/>
        </w:rPr>
        <w:t xml:space="preserve"> instrument and the</w:t>
      </w:r>
      <w:r w:rsidR="00CC3A21">
        <w:rPr>
          <w:color w:val="000000"/>
        </w:rPr>
        <w:t xml:space="preserve"> Schedule</w:t>
      </w:r>
      <w:r>
        <w:rPr>
          <w:color w:val="000000"/>
        </w:rPr>
        <w:t xml:space="preserve"> </w:t>
      </w:r>
      <w:r w:rsidR="00CC3A21">
        <w:rPr>
          <w:color w:val="000000"/>
        </w:rPr>
        <w:t xml:space="preserve">involving particular changes from the previous instrument </w:t>
      </w:r>
      <w:r>
        <w:rPr>
          <w:color w:val="000000"/>
        </w:rPr>
        <w:t>follow.</w:t>
      </w:r>
    </w:p>
    <w:p w14:paraId="5B16FDBC" w14:textId="77777777" w:rsidR="00D62392" w:rsidRDefault="00D62392" w:rsidP="00451138">
      <w:pPr>
        <w:pStyle w:val="LongTitle"/>
        <w:spacing w:before="0" w:after="0"/>
        <w:rPr>
          <w:color w:val="000000"/>
        </w:rPr>
      </w:pPr>
    </w:p>
    <w:p w14:paraId="346F05FB" w14:textId="585A756D" w:rsidR="00CC3A21" w:rsidRDefault="00CC3A21" w:rsidP="00451138">
      <w:pPr>
        <w:pStyle w:val="LongTitle"/>
        <w:spacing w:before="0" w:after="0"/>
        <w:rPr>
          <w:color w:val="000000"/>
        </w:rPr>
      </w:pPr>
    </w:p>
    <w:p w14:paraId="7E8792F3" w14:textId="77777777" w:rsidR="00CC3A21" w:rsidRDefault="00CC3A21" w:rsidP="00F72613">
      <w:pPr>
        <w:pStyle w:val="LongTitle"/>
        <w:spacing w:before="0" w:after="200"/>
        <w:rPr>
          <w:color w:val="000000"/>
          <w:u w:val="single"/>
        </w:rPr>
      </w:pPr>
      <w:r>
        <w:rPr>
          <w:color w:val="000000"/>
          <w:u w:val="single"/>
        </w:rPr>
        <w:lastRenderedPageBreak/>
        <w:t>Item 126.1</w:t>
      </w:r>
    </w:p>
    <w:p w14:paraId="583AAC14" w14:textId="2157AD11" w:rsidR="00CC3A21" w:rsidRPr="00C7232A" w:rsidRDefault="00CC3A21" w:rsidP="00451138">
      <w:pPr>
        <w:pStyle w:val="LongTitle"/>
        <w:spacing w:before="0" w:after="0"/>
        <w:rPr>
          <w:color w:val="000000"/>
        </w:rPr>
      </w:pPr>
      <w:r w:rsidRPr="00CC3A21">
        <w:rPr>
          <w:color w:val="000000"/>
        </w:rPr>
        <w:t>Item 126.1 is a new line item providing for the fee payable for an application to register a notice of death by a surviving proprietor under section 55 of the Act.</w:t>
      </w:r>
      <w:r>
        <w:rPr>
          <w:color w:val="000000"/>
        </w:rPr>
        <w:t xml:space="preserve"> This fee is currently charged at $145</w:t>
      </w:r>
      <w:r w:rsidR="003D4698">
        <w:rPr>
          <w:color w:val="000000"/>
        </w:rPr>
        <w:t>. It is currently charged</w:t>
      </w:r>
      <w:r w:rsidR="00D62392">
        <w:rPr>
          <w:color w:val="000000"/>
        </w:rPr>
        <w:t xml:space="preserve"> under </w:t>
      </w:r>
      <w:r w:rsidR="00D62392">
        <w:rPr>
          <w:color w:val="000000"/>
          <w:lang w:val="en-US"/>
        </w:rPr>
        <w:t>Item 161 (s</w:t>
      </w:r>
      <w:r w:rsidR="00D62392" w:rsidRPr="00D62392">
        <w:rPr>
          <w:color w:val="000000"/>
          <w:lang w:val="en-US"/>
        </w:rPr>
        <w:t>ection 139</w:t>
      </w:r>
      <w:r w:rsidR="00D62392">
        <w:rPr>
          <w:color w:val="000000"/>
          <w:lang w:val="en-US"/>
        </w:rPr>
        <w:t>, a</w:t>
      </w:r>
      <w:r w:rsidR="00D62392" w:rsidRPr="00D62392">
        <w:rPr>
          <w:color w:val="000000"/>
          <w:lang w:val="en-US"/>
        </w:rPr>
        <w:t>pplication to register any document affecting land, or any other document, whether or not expressly provided for in any Act</w:t>
      </w:r>
      <w:r w:rsidR="00D62392">
        <w:rPr>
          <w:color w:val="000000"/>
          <w:lang w:val="en-US"/>
        </w:rPr>
        <w:t>)</w:t>
      </w:r>
      <w:r w:rsidR="00D62392" w:rsidRPr="00D62392">
        <w:rPr>
          <w:color w:val="000000"/>
          <w:lang w:val="en-US"/>
        </w:rPr>
        <w:t>.</w:t>
      </w:r>
      <w:r w:rsidR="00EB5939">
        <w:rPr>
          <w:color w:val="000000"/>
        </w:rPr>
        <w:t xml:space="preserve"> </w:t>
      </w:r>
      <w:r w:rsidR="00D62392">
        <w:rPr>
          <w:color w:val="000000"/>
        </w:rPr>
        <w:t xml:space="preserve">It </w:t>
      </w:r>
      <w:r>
        <w:rPr>
          <w:color w:val="000000"/>
        </w:rPr>
        <w:t>is</w:t>
      </w:r>
      <w:r w:rsidR="00D62392">
        <w:rPr>
          <w:color w:val="000000"/>
        </w:rPr>
        <w:t xml:space="preserve"> now</w:t>
      </w:r>
      <w:r>
        <w:rPr>
          <w:color w:val="000000"/>
        </w:rPr>
        <w:t xml:space="preserve"> included </w:t>
      </w:r>
      <w:r w:rsidR="00D62392">
        <w:rPr>
          <w:color w:val="000000"/>
        </w:rPr>
        <w:t xml:space="preserve">as a separate line item </w:t>
      </w:r>
      <w:r>
        <w:rPr>
          <w:color w:val="000000"/>
        </w:rPr>
        <w:t>for clarity. The fee is set for the 2019-20 financial year at $153 in line with the increase to other items in the Schedule</w:t>
      </w:r>
      <w:r w:rsidR="00413D8F">
        <w:rPr>
          <w:color w:val="000000"/>
        </w:rPr>
        <w:t xml:space="preserve"> generally</w:t>
      </w:r>
      <w:r>
        <w:rPr>
          <w:color w:val="000000"/>
        </w:rPr>
        <w:t>.</w:t>
      </w:r>
    </w:p>
    <w:p w14:paraId="560295D2" w14:textId="77777777" w:rsidR="00F72613" w:rsidRDefault="00F72613" w:rsidP="00451138">
      <w:pPr>
        <w:pStyle w:val="LongTitle"/>
        <w:spacing w:before="0" w:after="0"/>
        <w:rPr>
          <w:color w:val="000000"/>
          <w:u w:val="single"/>
        </w:rPr>
      </w:pPr>
    </w:p>
    <w:p w14:paraId="3BE11588" w14:textId="3E92C0AA" w:rsidR="00CC3A21" w:rsidRPr="00CC3A21" w:rsidRDefault="00CC3A21" w:rsidP="00F72613">
      <w:pPr>
        <w:pStyle w:val="LongTitle"/>
        <w:spacing w:before="0" w:after="200"/>
        <w:rPr>
          <w:color w:val="000000"/>
          <w:u w:val="single"/>
        </w:rPr>
      </w:pPr>
      <w:r w:rsidRPr="00CC3A21">
        <w:rPr>
          <w:color w:val="000000"/>
          <w:u w:val="single"/>
        </w:rPr>
        <w:t>Item 132</w:t>
      </w:r>
    </w:p>
    <w:p w14:paraId="46706FA9" w14:textId="01AAD60A" w:rsidR="009721E6" w:rsidRPr="00C7232A" w:rsidRDefault="00CC3A21" w:rsidP="006F4BF1">
      <w:pPr>
        <w:pStyle w:val="LongTitle"/>
        <w:spacing w:before="0" w:after="0"/>
        <w:rPr>
          <w:color w:val="000000"/>
        </w:rPr>
      </w:pPr>
      <w:r>
        <w:rPr>
          <w:color w:val="000000"/>
        </w:rPr>
        <w:t xml:space="preserve">Item 132 </w:t>
      </w:r>
      <w:r w:rsidR="009721E6" w:rsidRPr="00C7232A">
        <w:rPr>
          <w:color w:val="000000"/>
        </w:rPr>
        <w:t>includes copyright fees payable to Copyright Agency Limited for plan searches. In</w:t>
      </w:r>
      <w:r>
        <w:rPr>
          <w:color w:val="000000"/>
        </w:rPr>
        <w:t> </w:t>
      </w:r>
      <w:r w:rsidR="009721E6" w:rsidRPr="00C7232A">
        <w:rPr>
          <w:color w:val="000000"/>
        </w:rPr>
        <w:t>2008, following litigation between The Copyright Agency (formerly Copyright Agency Limited) and the NSW Government about Government use of survey plans, the High Court of Australia ruled that Governments ha</w:t>
      </w:r>
      <w:r w:rsidR="00507D87">
        <w:rPr>
          <w:color w:val="000000"/>
        </w:rPr>
        <w:t>ve</w:t>
      </w:r>
      <w:r w:rsidR="009721E6" w:rsidRPr="00C7232A">
        <w:rPr>
          <w:color w:val="000000"/>
        </w:rPr>
        <w:t xml:space="preserve"> to remunerate rights holders (Surveyors) for the use of their plans</w:t>
      </w:r>
      <w:r w:rsidR="006F4BF1" w:rsidRPr="00C7232A">
        <w:rPr>
          <w:color w:val="000000"/>
        </w:rPr>
        <w:t xml:space="preserve">. The </w:t>
      </w:r>
      <w:r w:rsidR="009721E6" w:rsidRPr="00C7232A">
        <w:rPr>
          <w:color w:val="000000"/>
        </w:rPr>
        <w:t>Copyright Agency</w:t>
      </w:r>
      <w:r w:rsidR="006F4BF1" w:rsidRPr="00C7232A">
        <w:rPr>
          <w:color w:val="000000"/>
        </w:rPr>
        <w:t xml:space="preserve"> </w:t>
      </w:r>
      <w:r w:rsidR="009721E6" w:rsidRPr="00C7232A">
        <w:rPr>
          <w:color w:val="000000"/>
        </w:rPr>
        <w:t xml:space="preserve">is the declared collecting society for owners of copyright in survey plans in respect of government copies under section 183A of the </w:t>
      </w:r>
      <w:r w:rsidR="009721E6" w:rsidRPr="00507D87">
        <w:rPr>
          <w:i/>
          <w:color w:val="000000"/>
        </w:rPr>
        <w:t xml:space="preserve">Copyright Act 1968 </w:t>
      </w:r>
      <w:r w:rsidR="009721E6" w:rsidRPr="00C7232A">
        <w:rPr>
          <w:color w:val="000000"/>
        </w:rPr>
        <w:t xml:space="preserve">(Cth). </w:t>
      </w:r>
    </w:p>
    <w:p w14:paraId="627892F7" w14:textId="77777777" w:rsidR="009721E6" w:rsidRPr="00C7232A" w:rsidRDefault="009721E6" w:rsidP="00451138">
      <w:pPr>
        <w:pStyle w:val="LongTitle"/>
        <w:spacing w:before="0" w:after="0"/>
        <w:rPr>
          <w:color w:val="000000"/>
        </w:rPr>
      </w:pPr>
    </w:p>
    <w:p w14:paraId="46AAEF23" w14:textId="77777777" w:rsidR="00543C47" w:rsidRPr="00C7232A" w:rsidRDefault="006F4BF1" w:rsidP="00543C47">
      <w:pPr>
        <w:pStyle w:val="LongTitle"/>
        <w:spacing w:before="0" w:after="0"/>
        <w:rPr>
          <w:color w:val="000000"/>
        </w:rPr>
      </w:pPr>
      <w:r w:rsidRPr="00C7232A">
        <w:rPr>
          <w:color w:val="000000"/>
        </w:rPr>
        <w:t>Commencing 1 July 2019, the Territory must pay to Copyright Agency the amount of $1.50 per supply (including electronic production and communication) of a Plan under this item.</w:t>
      </w:r>
      <w:r w:rsidR="0002076B">
        <w:rPr>
          <w:color w:val="000000"/>
        </w:rPr>
        <w:t xml:space="preserve"> </w:t>
      </w:r>
    </w:p>
    <w:p w14:paraId="26A4F0A7" w14:textId="77777777" w:rsidR="006F4BF1" w:rsidRPr="00C7232A" w:rsidRDefault="006F4BF1" w:rsidP="00543C47">
      <w:pPr>
        <w:pStyle w:val="LongTitle"/>
        <w:spacing w:before="0" w:after="0"/>
        <w:rPr>
          <w:color w:val="000000"/>
        </w:rPr>
      </w:pPr>
    </w:p>
    <w:p w14:paraId="72064501" w14:textId="01FAEF00" w:rsidR="00F4493E" w:rsidRDefault="00F4493E" w:rsidP="00F72613">
      <w:pPr>
        <w:pStyle w:val="LongTitle"/>
        <w:spacing w:before="0" w:after="200"/>
        <w:rPr>
          <w:color w:val="000000"/>
          <w:u w:val="single"/>
        </w:rPr>
      </w:pPr>
      <w:r>
        <w:rPr>
          <w:color w:val="000000"/>
          <w:u w:val="single"/>
        </w:rPr>
        <w:t>Item 132.1</w:t>
      </w:r>
    </w:p>
    <w:p w14:paraId="759220A2" w14:textId="2ECBCC33" w:rsidR="00F4493E" w:rsidRPr="00F72613" w:rsidRDefault="00F4493E" w:rsidP="00543C47">
      <w:pPr>
        <w:pStyle w:val="LongTitle"/>
        <w:spacing w:before="0" w:after="0"/>
        <w:rPr>
          <w:color w:val="000000"/>
        </w:rPr>
      </w:pPr>
      <w:r w:rsidRPr="00F72613">
        <w:rPr>
          <w:color w:val="000000"/>
        </w:rPr>
        <w:t xml:space="preserve">Item 132.1 provides a fee for applications under section 67 of the Act for a copy of information contained in the register for all searches other than plan searches. It has been separated out as a separate line item because the fee for Item 132 (applications under section 67 of the Act for a copy of information contained in the register – plan searches) is being increased by an additional $1.50 due to the High Court decision concerning copyright for the use of survey plans. Previously, all applications under section 67 of the Act were subject to the same fee. The new line item 132.1 sets the fee for applications for a copy of information contained in the register for all searches other than plan searches </w:t>
      </w:r>
      <w:r w:rsidR="00413D8F" w:rsidRPr="00F72613">
        <w:rPr>
          <w:color w:val="000000"/>
        </w:rPr>
        <w:t>at $23, in line with the increase to other items in the Schedule generally.</w:t>
      </w:r>
    </w:p>
    <w:p w14:paraId="12AF8821" w14:textId="77777777" w:rsidR="00F4493E" w:rsidRDefault="00F4493E" w:rsidP="00543C47">
      <w:pPr>
        <w:pStyle w:val="LongTitle"/>
        <w:spacing w:before="0" w:after="0"/>
        <w:rPr>
          <w:color w:val="000000"/>
          <w:u w:val="single"/>
        </w:rPr>
      </w:pPr>
    </w:p>
    <w:p w14:paraId="773D46AC" w14:textId="5B659040" w:rsidR="00CC3A21" w:rsidRPr="00CC3A21" w:rsidRDefault="00CC3A21" w:rsidP="00F72613">
      <w:pPr>
        <w:pStyle w:val="LongTitle"/>
        <w:spacing w:before="0" w:after="200"/>
        <w:rPr>
          <w:color w:val="000000"/>
          <w:u w:val="single"/>
        </w:rPr>
      </w:pPr>
      <w:r w:rsidRPr="00CC3A21">
        <w:rPr>
          <w:color w:val="000000"/>
          <w:u w:val="single"/>
        </w:rPr>
        <w:t>Item 1</w:t>
      </w:r>
      <w:r w:rsidR="00E22580">
        <w:rPr>
          <w:color w:val="000000"/>
          <w:u w:val="single"/>
        </w:rPr>
        <w:t>33.1</w:t>
      </w:r>
    </w:p>
    <w:p w14:paraId="40DD6F8E" w14:textId="20E91A18" w:rsidR="00CC3A21" w:rsidRPr="00CC3A21" w:rsidRDefault="00CC3A21" w:rsidP="00CC3A21">
      <w:pPr>
        <w:pStyle w:val="Header"/>
        <w:tabs>
          <w:tab w:val="clear" w:pos="4153"/>
          <w:tab w:val="clear" w:pos="8306"/>
        </w:tabs>
        <w:rPr>
          <w:rFonts w:ascii="Times New Roman" w:hAnsi="Times New Roman" w:cs="Times New Roman"/>
        </w:rPr>
      </w:pPr>
      <w:r>
        <w:rPr>
          <w:rFonts w:ascii="Times New Roman" w:hAnsi="Times New Roman" w:cs="Times New Roman"/>
          <w:lang w:val="en-US"/>
        </w:rPr>
        <w:t>Item 1</w:t>
      </w:r>
      <w:r w:rsidR="00E22580">
        <w:rPr>
          <w:rFonts w:ascii="Times New Roman" w:hAnsi="Times New Roman" w:cs="Times New Roman"/>
          <w:lang w:val="en-US"/>
        </w:rPr>
        <w:t>33.1</w:t>
      </w:r>
      <w:r>
        <w:rPr>
          <w:rFonts w:ascii="Times New Roman" w:hAnsi="Times New Roman" w:cs="Times New Roman"/>
          <w:lang w:val="en-US"/>
        </w:rPr>
        <w:t xml:space="preserve"> provides a fee for an</w:t>
      </w:r>
      <w:r w:rsidRPr="005A6ADE">
        <w:rPr>
          <w:rFonts w:ascii="Times New Roman" w:eastAsia="SimSun" w:hAnsi="Times New Roman" w:cs="Times New Roman"/>
          <w:iCs/>
          <w:color w:val="000000"/>
          <w:sz w:val="16"/>
          <w:szCs w:val="16"/>
          <w:lang w:val="en-US" w:eastAsia="zh-CN"/>
        </w:rPr>
        <w:t xml:space="preserve"> </w:t>
      </w:r>
      <w:r>
        <w:rPr>
          <w:rFonts w:ascii="Times New Roman" w:hAnsi="Times New Roman" w:cs="Times New Roman"/>
          <w:iCs/>
          <w:lang w:val="en-US"/>
        </w:rPr>
        <w:t>a</w:t>
      </w:r>
      <w:r w:rsidRPr="005A6ADE">
        <w:rPr>
          <w:rFonts w:ascii="Times New Roman" w:hAnsi="Times New Roman" w:cs="Times New Roman"/>
          <w:iCs/>
          <w:lang w:val="en-US"/>
        </w:rPr>
        <w:t xml:space="preserve">pplication to register a memorandum of transfer by </w:t>
      </w:r>
      <w:r>
        <w:rPr>
          <w:rFonts w:ascii="Times New Roman" w:hAnsi="Times New Roman" w:cs="Times New Roman"/>
          <w:iCs/>
          <w:lang w:val="en-US"/>
        </w:rPr>
        <w:t xml:space="preserve">a </w:t>
      </w:r>
      <w:r w:rsidRPr="005A6ADE">
        <w:rPr>
          <w:rFonts w:ascii="Times New Roman" w:hAnsi="Times New Roman" w:cs="Times New Roman"/>
          <w:iCs/>
          <w:lang w:val="en-US"/>
        </w:rPr>
        <w:t>mortgagee</w:t>
      </w:r>
      <w:r>
        <w:rPr>
          <w:rFonts w:ascii="Times New Roman" w:hAnsi="Times New Roman" w:cs="Times New Roman"/>
          <w:iCs/>
          <w:lang w:val="en-US"/>
        </w:rPr>
        <w:t xml:space="preserve"> or encumbrancee under s</w:t>
      </w:r>
      <w:r w:rsidRPr="005A6ADE">
        <w:rPr>
          <w:rFonts w:ascii="Times New Roman" w:hAnsi="Times New Roman" w:cs="Times New Roman"/>
          <w:iCs/>
          <w:lang w:val="en-US"/>
        </w:rPr>
        <w:t>ection 95 of the</w:t>
      </w:r>
      <w:r>
        <w:rPr>
          <w:rFonts w:ascii="Times New Roman" w:hAnsi="Times New Roman" w:cs="Times New Roman"/>
          <w:i/>
          <w:iCs/>
          <w:lang w:val="en-US"/>
        </w:rPr>
        <w:t xml:space="preserve"> </w:t>
      </w:r>
      <w:r>
        <w:rPr>
          <w:rFonts w:ascii="Times New Roman" w:hAnsi="Times New Roman" w:cs="Times New Roman"/>
          <w:iCs/>
          <w:lang w:val="en-US"/>
        </w:rPr>
        <w:t xml:space="preserve">Act. This is a new line item. </w:t>
      </w:r>
      <w:r w:rsidR="00F4493E" w:rsidRPr="00F4493E">
        <w:rPr>
          <w:rFonts w:ascii="Times New Roman" w:hAnsi="Times New Roman" w:cs="Times New Roman"/>
          <w:iCs/>
        </w:rPr>
        <w:t xml:space="preserve">This fee is currently charged at </w:t>
      </w:r>
      <w:r w:rsidR="00F4493E">
        <w:rPr>
          <w:rFonts w:ascii="Times New Roman" w:hAnsi="Times New Roman" w:cs="Times New Roman"/>
          <w:iCs/>
        </w:rPr>
        <w:t xml:space="preserve">$386 and is charged under item 133 (section 73, application </w:t>
      </w:r>
      <w:r w:rsidR="00F4493E">
        <w:rPr>
          <w:rFonts w:ascii="Times New Roman" w:hAnsi="Times New Roman" w:cs="Times New Roman"/>
          <w:iCs/>
          <w:lang w:val="en-US"/>
        </w:rPr>
        <w:t xml:space="preserve">to register a memorandum of transfer). This is because applications under section 95 of the Act are essentially a subset of applications under section 73 of the Act. Section 95 applications are now included as a separate line item at item </w:t>
      </w:r>
      <w:r w:rsidR="00E22580">
        <w:rPr>
          <w:rFonts w:ascii="Times New Roman" w:hAnsi="Times New Roman" w:cs="Times New Roman"/>
          <w:iCs/>
          <w:lang w:val="en-US"/>
        </w:rPr>
        <w:t>133.1</w:t>
      </w:r>
      <w:r w:rsidR="00F4493E">
        <w:rPr>
          <w:rFonts w:ascii="Times New Roman" w:hAnsi="Times New Roman" w:cs="Times New Roman"/>
          <w:iCs/>
          <w:lang w:val="en-US"/>
        </w:rPr>
        <w:t xml:space="preserve"> for clarity. </w:t>
      </w:r>
      <w:r w:rsidR="00F4493E" w:rsidRPr="00F4493E">
        <w:rPr>
          <w:rFonts w:ascii="Times New Roman" w:hAnsi="Times New Roman" w:cs="Times New Roman"/>
          <w:iCs/>
        </w:rPr>
        <w:t>The fee is set for the 2019-20 financial year</w:t>
      </w:r>
      <w:r w:rsidR="00F4493E">
        <w:rPr>
          <w:rFonts w:ascii="Times New Roman" w:hAnsi="Times New Roman" w:cs="Times New Roman"/>
          <w:iCs/>
        </w:rPr>
        <w:t xml:space="preserve"> at $409,</w:t>
      </w:r>
      <w:r w:rsidR="00F4493E" w:rsidRPr="00F4493E">
        <w:rPr>
          <w:rFonts w:ascii="Times New Roman" w:hAnsi="Times New Roman" w:cs="Times New Roman"/>
          <w:iCs/>
        </w:rPr>
        <w:t xml:space="preserve"> in line with the increase to other items in the Schedule</w:t>
      </w:r>
      <w:r w:rsidR="00413D8F">
        <w:rPr>
          <w:rFonts w:ascii="Times New Roman" w:hAnsi="Times New Roman" w:cs="Times New Roman"/>
          <w:iCs/>
        </w:rPr>
        <w:t xml:space="preserve"> generally</w:t>
      </w:r>
      <w:r w:rsidR="00F4493E">
        <w:rPr>
          <w:rFonts w:ascii="Times New Roman" w:hAnsi="Times New Roman" w:cs="Times New Roman"/>
          <w:iCs/>
        </w:rPr>
        <w:t xml:space="preserve">, including item </w:t>
      </w:r>
      <w:r w:rsidR="00B1790D">
        <w:rPr>
          <w:rFonts w:ascii="Times New Roman" w:hAnsi="Times New Roman" w:cs="Times New Roman"/>
          <w:iCs/>
        </w:rPr>
        <w:t>1</w:t>
      </w:r>
      <w:r w:rsidR="00F4493E">
        <w:rPr>
          <w:rFonts w:ascii="Times New Roman" w:hAnsi="Times New Roman" w:cs="Times New Roman"/>
          <w:iCs/>
        </w:rPr>
        <w:t>33</w:t>
      </w:r>
      <w:r w:rsidR="00F4493E" w:rsidRPr="00F4493E">
        <w:rPr>
          <w:rFonts w:ascii="Times New Roman" w:hAnsi="Times New Roman" w:cs="Times New Roman"/>
          <w:iCs/>
        </w:rPr>
        <w:t>.</w:t>
      </w:r>
    </w:p>
    <w:p w14:paraId="79212B74" w14:textId="77777777" w:rsidR="00CC3A21" w:rsidRDefault="00CC3A21" w:rsidP="00C62D57">
      <w:pPr>
        <w:pStyle w:val="LongTitle"/>
        <w:spacing w:before="0" w:after="0"/>
        <w:rPr>
          <w:u w:val="single"/>
        </w:rPr>
      </w:pPr>
    </w:p>
    <w:p w14:paraId="733C4531" w14:textId="28E90147" w:rsidR="00507D87" w:rsidRDefault="00507D87" w:rsidP="00964388">
      <w:pPr>
        <w:pStyle w:val="Header"/>
        <w:tabs>
          <w:tab w:val="clear" w:pos="4153"/>
          <w:tab w:val="clear" w:pos="8306"/>
        </w:tabs>
        <w:rPr>
          <w:rFonts w:ascii="Times New Roman" w:hAnsi="Times New Roman" w:cs="Times New Roman"/>
          <w:lang w:val="en-US"/>
        </w:rPr>
      </w:pPr>
    </w:p>
    <w:p w14:paraId="181AC6EB" w14:textId="77777777" w:rsidR="005A6ADE" w:rsidRDefault="005A6ADE" w:rsidP="00964388">
      <w:pPr>
        <w:pStyle w:val="Header"/>
        <w:tabs>
          <w:tab w:val="clear" w:pos="4153"/>
          <w:tab w:val="clear" w:pos="8306"/>
        </w:tabs>
        <w:rPr>
          <w:rFonts w:ascii="Times New Roman" w:hAnsi="Times New Roman" w:cs="Times New Roman"/>
          <w:lang w:val="en-US"/>
        </w:rPr>
      </w:pPr>
    </w:p>
    <w:p w14:paraId="564DD699" w14:textId="6A704E42" w:rsidR="005A6ADE" w:rsidRPr="005A6ADE" w:rsidRDefault="005A6ADE" w:rsidP="00964388">
      <w:pPr>
        <w:pStyle w:val="Header"/>
        <w:tabs>
          <w:tab w:val="clear" w:pos="4153"/>
          <w:tab w:val="clear" w:pos="8306"/>
        </w:tabs>
        <w:rPr>
          <w:rFonts w:ascii="Times New Roman" w:hAnsi="Times New Roman" w:cs="Times New Roman"/>
        </w:rPr>
      </w:pPr>
    </w:p>
    <w:sectPr w:rsidR="005A6ADE" w:rsidRPr="005A6ADE"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AD1F" w14:textId="77777777" w:rsidR="008A5ABD" w:rsidRDefault="008A5ABD">
      <w:r>
        <w:separator/>
      </w:r>
    </w:p>
  </w:endnote>
  <w:endnote w:type="continuationSeparator" w:id="0">
    <w:p w14:paraId="4324CB1C" w14:textId="77777777" w:rsidR="008A5ABD" w:rsidRDefault="008A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36B1" w14:textId="77777777" w:rsidR="00E860E2" w:rsidRDefault="00E8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E8D8" w14:textId="77777777" w:rsidR="00200638" w:rsidRPr="00382E12" w:rsidRDefault="00382E12" w:rsidP="00382E12">
    <w:pPr>
      <w:pStyle w:val="Footer"/>
      <w:jc w:val="center"/>
      <w:rPr>
        <w:sz w:val="14"/>
      </w:rPr>
    </w:pPr>
    <w:r w:rsidRPr="00382E12">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E4E7" w14:textId="77777777" w:rsidR="00E860E2" w:rsidRDefault="00E8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06328" w14:textId="77777777" w:rsidR="008A5ABD" w:rsidRDefault="008A5ABD">
      <w:r>
        <w:separator/>
      </w:r>
    </w:p>
  </w:footnote>
  <w:footnote w:type="continuationSeparator" w:id="0">
    <w:p w14:paraId="763137D0" w14:textId="77777777" w:rsidR="008A5ABD" w:rsidRDefault="008A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7668" w14:textId="77777777" w:rsidR="00E860E2" w:rsidRDefault="00E8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48C9" w14:textId="77777777" w:rsidR="00BA42F6" w:rsidRDefault="00BA42F6">
    <w:pPr>
      <w:tabs>
        <w:tab w:val="left" w:pos="2280"/>
        <w:tab w:val="left" w:pos="3860"/>
      </w:tabs>
      <w:ind w:right="-308"/>
      <w:rPr>
        <w:sz w:val="2"/>
        <w:szCs w:val="2"/>
      </w:rPr>
    </w:pPr>
  </w:p>
  <w:p w14:paraId="1A9B47AD" w14:textId="77777777" w:rsidR="00BA42F6" w:rsidRDefault="00BA42F6">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AF81" w14:textId="77777777" w:rsidR="00E860E2" w:rsidRDefault="00E8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upperLetter"/>
      <w:pStyle w:val="Background"/>
      <w:lvlText w:val="%1."/>
      <w:lvlJc w:val="left"/>
      <w:pPr>
        <w:tabs>
          <w:tab w:val="num" w:pos="992"/>
        </w:tabs>
        <w:ind w:left="992" w:hanging="992"/>
      </w:pPr>
      <w:rPr>
        <w:rFonts w:ascii="Arial" w:hAnsi="Arial" w:cs="Times New Roman" w:hint="default"/>
        <w:b/>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1"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4"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4"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9"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3"/>
  </w:num>
  <w:num w:numId="2">
    <w:abstractNumId w:val="1"/>
  </w:num>
  <w:num w:numId="3">
    <w:abstractNumId w:val="9"/>
  </w:num>
  <w:num w:numId="4">
    <w:abstractNumId w:val="45"/>
  </w:num>
  <w:num w:numId="5">
    <w:abstractNumId w:val="24"/>
  </w:num>
  <w:num w:numId="6">
    <w:abstractNumId w:val="39"/>
  </w:num>
  <w:num w:numId="7">
    <w:abstractNumId w:val="6"/>
  </w:num>
  <w:num w:numId="8">
    <w:abstractNumId w:val="43"/>
  </w:num>
  <w:num w:numId="9">
    <w:abstractNumId w:val="3"/>
  </w:num>
  <w:num w:numId="10">
    <w:abstractNumId w:val="5"/>
  </w:num>
  <w:num w:numId="11">
    <w:abstractNumId w:val="40"/>
  </w:num>
  <w:num w:numId="12">
    <w:abstractNumId w:val="2"/>
  </w:num>
  <w:num w:numId="13">
    <w:abstractNumId w:val="41"/>
  </w:num>
  <w:num w:numId="14">
    <w:abstractNumId w:val="46"/>
  </w:num>
  <w:num w:numId="15">
    <w:abstractNumId w:val="11"/>
  </w:num>
  <w:num w:numId="16">
    <w:abstractNumId w:val="12"/>
  </w:num>
  <w:num w:numId="17">
    <w:abstractNumId w:val="15"/>
  </w:num>
  <w:num w:numId="18">
    <w:abstractNumId w:val="42"/>
  </w:num>
  <w:num w:numId="19">
    <w:abstractNumId w:val="33"/>
  </w:num>
  <w:num w:numId="20">
    <w:abstractNumId w:val="21"/>
  </w:num>
  <w:num w:numId="21">
    <w:abstractNumId w:val="44"/>
  </w:num>
  <w:num w:numId="22">
    <w:abstractNumId w:val="8"/>
  </w:num>
  <w:num w:numId="23">
    <w:abstractNumId w:val="4"/>
  </w:num>
  <w:num w:numId="24">
    <w:abstractNumId w:val="34"/>
  </w:num>
  <w:num w:numId="25">
    <w:abstractNumId w:val="47"/>
  </w:num>
  <w:num w:numId="26">
    <w:abstractNumId w:val="31"/>
  </w:num>
  <w:num w:numId="27">
    <w:abstractNumId w:val="17"/>
  </w:num>
  <w:num w:numId="28">
    <w:abstractNumId w:val="49"/>
  </w:num>
  <w:num w:numId="29">
    <w:abstractNumId w:val="16"/>
  </w:num>
  <w:num w:numId="30">
    <w:abstractNumId w:val="25"/>
  </w:num>
  <w:num w:numId="31">
    <w:abstractNumId w:val="13"/>
  </w:num>
  <w:num w:numId="32">
    <w:abstractNumId w:val="35"/>
  </w:num>
  <w:num w:numId="33">
    <w:abstractNumId w:val="27"/>
  </w:num>
  <w:num w:numId="34">
    <w:abstractNumId w:val="29"/>
  </w:num>
  <w:num w:numId="35">
    <w:abstractNumId w:val="36"/>
  </w:num>
  <w:num w:numId="36">
    <w:abstractNumId w:val="37"/>
  </w:num>
  <w:num w:numId="37">
    <w:abstractNumId w:val="38"/>
  </w:num>
  <w:num w:numId="38">
    <w:abstractNumId w:val="20"/>
  </w:num>
  <w:num w:numId="39">
    <w:abstractNumId w:val="18"/>
  </w:num>
  <w:num w:numId="40">
    <w:abstractNumId w:val="22"/>
  </w:num>
  <w:num w:numId="41">
    <w:abstractNumId w:val="32"/>
  </w:num>
  <w:num w:numId="42">
    <w:abstractNumId w:val="28"/>
  </w:num>
  <w:num w:numId="43">
    <w:abstractNumId w:val="19"/>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7"/>
  </w:num>
  <w:num w:numId="48">
    <w:abstractNumId w:val="14"/>
  </w:num>
  <w:num w:numId="49">
    <w:abstractNumId w:val="26"/>
  </w:num>
  <w:num w:numId="50">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C"/>
    <w:rsid w:val="00004B80"/>
    <w:rsid w:val="000055E6"/>
    <w:rsid w:val="000056F7"/>
    <w:rsid w:val="00007E8E"/>
    <w:rsid w:val="00011A69"/>
    <w:rsid w:val="00013653"/>
    <w:rsid w:val="000202F0"/>
    <w:rsid w:val="00020651"/>
    <w:rsid w:val="0002076B"/>
    <w:rsid w:val="00020AA2"/>
    <w:rsid w:val="00020B38"/>
    <w:rsid w:val="00025FCD"/>
    <w:rsid w:val="00027DD8"/>
    <w:rsid w:val="00034237"/>
    <w:rsid w:val="00034E0E"/>
    <w:rsid w:val="00036624"/>
    <w:rsid w:val="00041876"/>
    <w:rsid w:val="00043EC5"/>
    <w:rsid w:val="0005173B"/>
    <w:rsid w:val="00051DE3"/>
    <w:rsid w:val="000610E8"/>
    <w:rsid w:val="00062706"/>
    <w:rsid w:val="00070E94"/>
    <w:rsid w:val="00071BD4"/>
    <w:rsid w:val="00072C33"/>
    <w:rsid w:val="0007350E"/>
    <w:rsid w:val="000735DC"/>
    <w:rsid w:val="00073CBA"/>
    <w:rsid w:val="00074BB4"/>
    <w:rsid w:val="00081110"/>
    <w:rsid w:val="000820B3"/>
    <w:rsid w:val="00085DA8"/>
    <w:rsid w:val="0009054E"/>
    <w:rsid w:val="00090DB4"/>
    <w:rsid w:val="00092434"/>
    <w:rsid w:val="0009352C"/>
    <w:rsid w:val="00094D53"/>
    <w:rsid w:val="00095B9F"/>
    <w:rsid w:val="0009797F"/>
    <w:rsid w:val="00097A81"/>
    <w:rsid w:val="000A24E2"/>
    <w:rsid w:val="000A39BF"/>
    <w:rsid w:val="000A53BD"/>
    <w:rsid w:val="000C0DE6"/>
    <w:rsid w:val="000C2F11"/>
    <w:rsid w:val="000C35DE"/>
    <w:rsid w:val="000C3EB9"/>
    <w:rsid w:val="000C6379"/>
    <w:rsid w:val="000D1194"/>
    <w:rsid w:val="000D1427"/>
    <w:rsid w:val="000D15DE"/>
    <w:rsid w:val="000D1EAF"/>
    <w:rsid w:val="000D3008"/>
    <w:rsid w:val="000E1337"/>
    <w:rsid w:val="000E236B"/>
    <w:rsid w:val="000E246F"/>
    <w:rsid w:val="000E4DD1"/>
    <w:rsid w:val="000F07E0"/>
    <w:rsid w:val="000F1EE2"/>
    <w:rsid w:val="000F2035"/>
    <w:rsid w:val="000F5A40"/>
    <w:rsid w:val="000F65F5"/>
    <w:rsid w:val="00100B65"/>
    <w:rsid w:val="00104752"/>
    <w:rsid w:val="00105442"/>
    <w:rsid w:val="00107E48"/>
    <w:rsid w:val="00113511"/>
    <w:rsid w:val="001138EA"/>
    <w:rsid w:val="00114D0C"/>
    <w:rsid w:val="00117BD5"/>
    <w:rsid w:val="00121A21"/>
    <w:rsid w:val="00122D8A"/>
    <w:rsid w:val="00123822"/>
    <w:rsid w:val="00127C7B"/>
    <w:rsid w:val="001426D2"/>
    <w:rsid w:val="001464BE"/>
    <w:rsid w:val="00147037"/>
    <w:rsid w:val="00150023"/>
    <w:rsid w:val="001523EB"/>
    <w:rsid w:val="0015309B"/>
    <w:rsid w:val="001536C4"/>
    <w:rsid w:val="00157380"/>
    <w:rsid w:val="0015759A"/>
    <w:rsid w:val="0016087C"/>
    <w:rsid w:val="00161BDF"/>
    <w:rsid w:val="00166C5D"/>
    <w:rsid w:val="00172D4D"/>
    <w:rsid w:val="00173A2A"/>
    <w:rsid w:val="00175CD7"/>
    <w:rsid w:val="00176FFA"/>
    <w:rsid w:val="00177765"/>
    <w:rsid w:val="00181C58"/>
    <w:rsid w:val="00185950"/>
    <w:rsid w:val="00185AB2"/>
    <w:rsid w:val="00185E74"/>
    <w:rsid w:val="00190D36"/>
    <w:rsid w:val="00193C03"/>
    <w:rsid w:val="001971C4"/>
    <w:rsid w:val="001B0752"/>
    <w:rsid w:val="001B0C90"/>
    <w:rsid w:val="001B0F94"/>
    <w:rsid w:val="001B23F6"/>
    <w:rsid w:val="001B3A32"/>
    <w:rsid w:val="001B4DA6"/>
    <w:rsid w:val="001B666F"/>
    <w:rsid w:val="001C3A43"/>
    <w:rsid w:val="001D03CC"/>
    <w:rsid w:val="001D3C5D"/>
    <w:rsid w:val="001E0674"/>
    <w:rsid w:val="001E3CA7"/>
    <w:rsid w:val="001E64B3"/>
    <w:rsid w:val="001E6BF8"/>
    <w:rsid w:val="001F291C"/>
    <w:rsid w:val="001F469A"/>
    <w:rsid w:val="001F5677"/>
    <w:rsid w:val="00200638"/>
    <w:rsid w:val="00203533"/>
    <w:rsid w:val="00204314"/>
    <w:rsid w:val="00207FF6"/>
    <w:rsid w:val="00211673"/>
    <w:rsid w:val="0021226D"/>
    <w:rsid w:val="00212A56"/>
    <w:rsid w:val="00212BE1"/>
    <w:rsid w:val="00215AD4"/>
    <w:rsid w:val="00217525"/>
    <w:rsid w:val="00220A55"/>
    <w:rsid w:val="00220F23"/>
    <w:rsid w:val="00232B32"/>
    <w:rsid w:val="002335BD"/>
    <w:rsid w:val="002340C8"/>
    <w:rsid w:val="002346D9"/>
    <w:rsid w:val="0024230E"/>
    <w:rsid w:val="002436C1"/>
    <w:rsid w:val="00244A98"/>
    <w:rsid w:val="00252340"/>
    <w:rsid w:val="00252FA2"/>
    <w:rsid w:val="00253EE6"/>
    <w:rsid w:val="00254834"/>
    <w:rsid w:val="00262FEE"/>
    <w:rsid w:val="00265085"/>
    <w:rsid w:val="00266B59"/>
    <w:rsid w:val="00270C03"/>
    <w:rsid w:val="00270FD5"/>
    <w:rsid w:val="00273760"/>
    <w:rsid w:val="00274710"/>
    <w:rsid w:val="00276AFF"/>
    <w:rsid w:val="00277378"/>
    <w:rsid w:val="00277C5A"/>
    <w:rsid w:val="00282576"/>
    <w:rsid w:val="00282BDD"/>
    <w:rsid w:val="00285594"/>
    <w:rsid w:val="00286B2B"/>
    <w:rsid w:val="00290348"/>
    <w:rsid w:val="00293A86"/>
    <w:rsid w:val="002A16B2"/>
    <w:rsid w:val="002A6B73"/>
    <w:rsid w:val="002A796A"/>
    <w:rsid w:val="002C0299"/>
    <w:rsid w:val="002C1598"/>
    <w:rsid w:val="002C1AD4"/>
    <w:rsid w:val="002C33F8"/>
    <w:rsid w:val="002C4BF2"/>
    <w:rsid w:val="002C5610"/>
    <w:rsid w:val="002C6460"/>
    <w:rsid w:val="002C7FB1"/>
    <w:rsid w:val="002C7FB5"/>
    <w:rsid w:val="002D1D09"/>
    <w:rsid w:val="002D2F93"/>
    <w:rsid w:val="002D3B0A"/>
    <w:rsid w:val="002E207B"/>
    <w:rsid w:val="002E2C30"/>
    <w:rsid w:val="002F041B"/>
    <w:rsid w:val="002F787C"/>
    <w:rsid w:val="003004DC"/>
    <w:rsid w:val="00307F8D"/>
    <w:rsid w:val="00307FDD"/>
    <w:rsid w:val="0031291E"/>
    <w:rsid w:val="0031310C"/>
    <w:rsid w:val="00315C01"/>
    <w:rsid w:val="00320C13"/>
    <w:rsid w:val="0032256F"/>
    <w:rsid w:val="00324033"/>
    <w:rsid w:val="0032684C"/>
    <w:rsid w:val="00330B4C"/>
    <w:rsid w:val="00335B23"/>
    <w:rsid w:val="00337DA3"/>
    <w:rsid w:val="003459DC"/>
    <w:rsid w:val="00350032"/>
    <w:rsid w:val="00350C58"/>
    <w:rsid w:val="0035145F"/>
    <w:rsid w:val="00357403"/>
    <w:rsid w:val="00361399"/>
    <w:rsid w:val="0036223D"/>
    <w:rsid w:val="00363481"/>
    <w:rsid w:val="00365605"/>
    <w:rsid w:val="0037000A"/>
    <w:rsid w:val="00374095"/>
    <w:rsid w:val="0037589C"/>
    <w:rsid w:val="00375927"/>
    <w:rsid w:val="0037646A"/>
    <w:rsid w:val="00376BFC"/>
    <w:rsid w:val="00380695"/>
    <w:rsid w:val="003817FB"/>
    <w:rsid w:val="00382E12"/>
    <w:rsid w:val="0038315F"/>
    <w:rsid w:val="0038380C"/>
    <w:rsid w:val="00384DFB"/>
    <w:rsid w:val="003851CC"/>
    <w:rsid w:val="0039084E"/>
    <w:rsid w:val="00390D87"/>
    <w:rsid w:val="00394344"/>
    <w:rsid w:val="0039443D"/>
    <w:rsid w:val="00396913"/>
    <w:rsid w:val="003A0113"/>
    <w:rsid w:val="003A62A9"/>
    <w:rsid w:val="003B3232"/>
    <w:rsid w:val="003B3670"/>
    <w:rsid w:val="003B6EEA"/>
    <w:rsid w:val="003B71C7"/>
    <w:rsid w:val="003C2F51"/>
    <w:rsid w:val="003C5009"/>
    <w:rsid w:val="003D3654"/>
    <w:rsid w:val="003D3F54"/>
    <w:rsid w:val="003D4698"/>
    <w:rsid w:val="003D63DD"/>
    <w:rsid w:val="003D79EF"/>
    <w:rsid w:val="003D7DF7"/>
    <w:rsid w:val="003E15AB"/>
    <w:rsid w:val="003E316B"/>
    <w:rsid w:val="003E3F6E"/>
    <w:rsid w:val="003E47B0"/>
    <w:rsid w:val="003E4B45"/>
    <w:rsid w:val="003F1D45"/>
    <w:rsid w:val="003F4876"/>
    <w:rsid w:val="003F66A2"/>
    <w:rsid w:val="003F77A3"/>
    <w:rsid w:val="00400C02"/>
    <w:rsid w:val="004020D0"/>
    <w:rsid w:val="00405A52"/>
    <w:rsid w:val="00406E6C"/>
    <w:rsid w:val="0041141C"/>
    <w:rsid w:val="0041171B"/>
    <w:rsid w:val="00411E9F"/>
    <w:rsid w:val="0041261F"/>
    <w:rsid w:val="004135B2"/>
    <w:rsid w:val="00413D8F"/>
    <w:rsid w:val="00416078"/>
    <w:rsid w:val="00420320"/>
    <w:rsid w:val="00421BF9"/>
    <w:rsid w:val="00430225"/>
    <w:rsid w:val="00433370"/>
    <w:rsid w:val="004336D2"/>
    <w:rsid w:val="004415CA"/>
    <w:rsid w:val="00441F02"/>
    <w:rsid w:val="004427E9"/>
    <w:rsid w:val="00442CE9"/>
    <w:rsid w:val="0044339F"/>
    <w:rsid w:val="00443D48"/>
    <w:rsid w:val="004441C0"/>
    <w:rsid w:val="004443A7"/>
    <w:rsid w:val="00444F21"/>
    <w:rsid w:val="004455C9"/>
    <w:rsid w:val="00451138"/>
    <w:rsid w:val="00477978"/>
    <w:rsid w:val="004823C5"/>
    <w:rsid w:val="00486788"/>
    <w:rsid w:val="0048699E"/>
    <w:rsid w:val="00487DC4"/>
    <w:rsid w:val="00494BAB"/>
    <w:rsid w:val="00495B6E"/>
    <w:rsid w:val="00495EAE"/>
    <w:rsid w:val="00497033"/>
    <w:rsid w:val="004A1180"/>
    <w:rsid w:val="004A27B8"/>
    <w:rsid w:val="004A5A7F"/>
    <w:rsid w:val="004B66AE"/>
    <w:rsid w:val="004C0320"/>
    <w:rsid w:val="004C1FBD"/>
    <w:rsid w:val="004C2DDA"/>
    <w:rsid w:val="004C42FA"/>
    <w:rsid w:val="004C49DE"/>
    <w:rsid w:val="004C5AAA"/>
    <w:rsid w:val="004C6EF6"/>
    <w:rsid w:val="004D02DA"/>
    <w:rsid w:val="004D0FD4"/>
    <w:rsid w:val="004D2A83"/>
    <w:rsid w:val="004D3F36"/>
    <w:rsid w:val="004E2005"/>
    <w:rsid w:val="004E6B0F"/>
    <w:rsid w:val="004E77CF"/>
    <w:rsid w:val="004F0EE3"/>
    <w:rsid w:val="004F3022"/>
    <w:rsid w:val="00500F9D"/>
    <w:rsid w:val="00502593"/>
    <w:rsid w:val="00502A5D"/>
    <w:rsid w:val="00504825"/>
    <w:rsid w:val="00507D87"/>
    <w:rsid w:val="00512DDA"/>
    <w:rsid w:val="00521BFE"/>
    <w:rsid w:val="005332DE"/>
    <w:rsid w:val="005335C1"/>
    <w:rsid w:val="00534EAF"/>
    <w:rsid w:val="00535AED"/>
    <w:rsid w:val="00541482"/>
    <w:rsid w:val="00541E70"/>
    <w:rsid w:val="00543C47"/>
    <w:rsid w:val="00545502"/>
    <w:rsid w:val="005479D6"/>
    <w:rsid w:val="005506E4"/>
    <w:rsid w:val="0055140F"/>
    <w:rsid w:val="0055324E"/>
    <w:rsid w:val="0055473B"/>
    <w:rsid w:val="005602B5"/>
    <w:rsid w:val="00561481"/>
    <w:rsid w:val="00565797"/>
    <w:rsid w:val="00566240"/>
    <w:rsid w:val="005669A1"/>
    <w:rsid w:val="00567A0D"/>
    <w:rsid w:val="0057489C"/>
    <w:rsid w:val="0057564F"/>
    <w:rsid w:val="005758A5"/>
    <w:rsid w:val="00581B26"/>
    <w:rsid w:val="0058702A"/>
    <w:rsid w:val="005912D1"/>
    <w:rsid w:val="00591E8B"/>
    <w:rsid w:val="00594233"/>
    <w:rsid w:val="005945F0"/>
    <w:rsid w:val="0059567B"/>
    <w:rsid w:val="00596021"/>
    <w:rsid w:val="00597B02"/>
    <w:rsid w:val="005A18DE"/>
    <w:rsid w:val="005A23BE"/>
    <w:rsid w:val="005A2E64"/>
    <w:rsid w:val="005A57F2"/>
    <w:rsid w:val="005A6186"/>
    <w:rsid w:val="005A699F"/>
    <w:rsid w:val="005A69A8"/>
    <w:rsid w:val="005A6ADE"/>
    <w:rsid w:val="005B04BC"/>
    <w:rsid w:val="005B0805"/>
    <w:rsid w:val="005B2DBA"/>
    <w:rsid w:val="005B5C7F"/>
    <w:rsid w:val="005C0A75"/>
    <w:rsid w:val="005C281E"/>
    <w:rsid w:val="005C2A14"/>
    <w:rsid w:val="005C35AE"/>
    <w:rsid w:val="005C4C3D"/>
    <w:rsid w:val="005C656A"/>
    <w:rsid w:val="005C780B"/>
    <w:rsid w:val="005D1766"/>
    <w:rsid w:val="005D4CBE"/>
    <w:rsid w:val="005D55A5"/>
    <w:rsid w:val="005D5A60"/>
    <w:rsid w:val="005D7F0C"/>
    <w:rsid w:val="005E12C8"/>
    <w:rsid w:val="005E1E26"/>
    <w:rsid w:val="005E326D"/>
    <w:rsid w:val="005E470A"/>
    <w:rsid w:val="005E6A3C"/>
    <w:rsid w:val="005F121D"/>
    <w:rsid w:val="005F29D2"/>
    <w:rsid w:val="005F3736"/>
    <w:rsid w:val="005F70DD"/>
    <w:rsid w:val="005F7FA8"/>
    <w:rsid w:val="00603D6F"/>
    <w:rsid w:val="0061013A"/>
    <w:rsid w:val="0061166B"/>
    <w:rsid w:val="00616005"/>
    <w:rsid w:val="00616AF0"/>
    <w:rsid w:val="00616FBF"/>
    <w:rsid w:val="006220A1"/>
    <w:rsid w:val="0062294C"/>
    <w:rsid w:val="00622C02"/>
    <w:rsid w:val="0062496B"/>
    <w:rsid w:val="0062783C"/>
    <w:rsid w:val="00627F8C"/>
    <w:rsid w:val="0063152E"/>
    <w:rsid w:val="0063251C"/>
    <w:rsid w:val="00633993"/>
    <w:rsid w:val="00634931"/>
    <w:rsid w:val="0064212A"/>
    <w:rsid w:val="00642944"/>
    <w:rsid w:val="00644C3A"/>
    <w:rsid w:val="0065688A"/>
    <w:rsid w:val="006568F8"/>
    <w:rsid w:val="0065756C"/>
    <w:rsid w:val="00657CEF"/>
    <w:rsid w:val="00660A7E"/>
    <w:rsid w:val="006630FA"/>
    <w:rsid w:val="006640AD"/>
    <w:rsid w:val="00666389"/>
    <w:rsid w:val="006707A6"/>
    <w:rsid w:val="00672189"/>
    <w:rsid w:val="00681F9D"/>
    <w:rsid w:val="00682049"/>
    <w:rsid w:val="00684A38"/>
    <w:rsid w:val="0068739F"/>
    <w:rsid w:val="00687618"/>
    <w:rsid w:val="00693709"/>
    <w:rsid w:val="0069491E"/>
    <w:rsid w:val="006971C1"/>
    <w:rsid w:val="006A0279"/>
    <w:rsid w:val="006A23F2"/>
    <w:rsid w:val="006A3028"/>
    <w:rsid w:val="006A3ECC"/>
    <w:rsid w:val="006A609C"/>
    <w:rsid w:val="006A61AB"/>
    <w:rsid w:val="006B1068"/>
    <w:rsid w:val="006B18D7"/>
    <w:rsid w:val="006B2FC4"/>
    <w:rsid w:val="006B6498"/>
    <w:rsid w:val="006C353D"/>
    <w:rsid w:val="006C3645"/>
    <w:rsid w:val="006C5A40"/>
    <w:rsid w:val="006D16A2"/>
    <w:rsid w:val="006D1DAE"/>
    <w:rsid w:val="006D74F4"/>
    <w:rsid w:val="006E1759"/>
    <w:rsid w:val="006E1F9D"/>
    <w:rsid w:val="006E2792"/>
    <w:rsid w:val="006E5D82"/>
    <w:rsid w:val="006E7BAF"/>
    <w:rsid w:val="006F013C"/>
    <w:rsid w:val="006F0721"/>
    <w:rsid w:val="006F1AFE"/>
    <w:rsid w:val="006F4BF1"/>
    <w:rsid w:val="006F7BB0"/>
    <w:rsid w:val="00701B0F"/>
    <w:rsid w:val="007034EC"/>
    <w:rsid w:val="00703BBA"/>
    <w:rsid w:val="007059C2"/>
    <w:rsid w:val="00714718"/>
    <w:rsid w:val="00715848"/>
    <w:rsid w:val="00717DBF"/>
    <w:rsid w:val="0072286D"/>
    <w:rsid w:val="007261FA"/>
    <w:rsid w:val="00727E0F"/>
    <w:rsid w:val="00733234"/>
    <w:rsid w:val="00735FDA"/>
    <w:rsid w:val="00745B3A"/>
    <w:rsid w:val="00747174"/>
    <w:rsid w:val="00753986"/>
    <w:rsid w:val="0075450D"/>
    <w:rsid w:val="007611E7"/>
    <w:rsid w:val="00762225"/>
    <w:rsid w:val="00764902"/>
    <w:rsid w:val="0076637E"/>
    <w:rsid w:val="007707FD"/>
    <w:rsid w:val="0077087E"/>
    <w:rsid w:val="007737D1"/>
    <w:rsid w:val="007740FC"/>
    <w:rsid w:val="0077678D"/>
    <w:rsid w:val="00790653"/>
    <w:rsid w:val="007910A1"/>
    <w:rsid w:val="00792422"/>
    <w:rsid w:val="0079260D"/>
    <w:rsid w:val="007937EC"/>
    <w:rsid w:val="0079384C"/>
    <w:rsid w:val="00797277"/>
    <w:rsid w:val="007A4068"/>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46AE"/>
    <w:rsid w:val="007E3DC4"/>
    <w:rsid w:val="007E3F89"/>
    <w:rsid w:val="007E459C"/>
    <w:rsid w:val="007F1737"/>
    <w:rsid w:val="007F2101"/>
    <w:rsid w:val="007F25D0"/>
    <w:rsid w:val="007F27B8"/>
    <w:rsid w:val="007F341D"/>
    <w:rsid w:val="007F4EAA"/>
    <w:rsid w:val="007F5DDE"/>
    <w:rsid w:val="007F6928"/>
    <w:rsid w:val="00800512"/>
    <w:rsid w:val="00800D98"/>
    <w:rsid w:val="00813A12"/>
    <w:rsid w:val="0081483E"/>
    <w:rsid w:val="00822CA6"/>
    <w:rsid w:val="0082490C"/>
    <w:rsid w:val="0082515A"/>
    <w:rsid w:val="0082540F"/>
    <w:rsid w:val="00830C6A"/>
    <w:rsid w:val="00831B2E"/>
    <w:rsid w:val="008323C5"/>
    <w:rsid w:val="00846198"/>
    <w:rsid w:val="008467E9"/>
    <w:rsid w:val="00846E4E"/>
    <w:rsid w:val="008524E5"/>
    <w:rsid w:val="00853DF1"/>
    <w:rsid w:val="00853E83"/>
    <w:rsid w:val="00856241"/>
    <w:rsid w:val="008631C0"/>
    <w:rsid w:val="008637EF"/>
    <w:rsid w:val="00864A73"/>
    <w:rsid w:val="00870BFC"/>
    <w:rsid w:val="008741A6"/>
    <w:rsid w:val="0087616B"/>
    <w:rsid w:val="008769FD"/>
    <w:rsid w:val="00877601"/>
    <w:rsid w:val="00877B4C"/>
    <w:rsid w:val="00877F4B"/>
    <w:rsid w:val="008859CD"/>
    <w:rsid w:val="0089019E"/>
    <w:rsid w:val="0089091C"/>
    <w:rsid w:val="00891B84"/>
    <w:rsid w:val="00892DB4"/>
    <w:rsid w:val="00894690"/>
    <w:rsid w:val="008A05DE"/>
    <w:rsid w:val="008A0FD9"/>
    <w:rsid w:val="008A5ABD"/>
    <w:rsid w:val="008A68E6"/>
    <w:rsid w:val="008B0C24"/>
    <w:rsid w:val="008B0D9B"/>
    <w:rsid w:val="008B32E4"/>
    <w:rsid w:val="008B6F3C"/>
    <w:rsid w:val="008C127B"/>
    <w:rsid w:val="008C19A2"/>
    <w:rsid w:val="008C1B2C"/>
    <w:rsid w:val="008C1D4B"/>
    <w:rsid w:val="008C4B06"/>
    <w:rsid w:val="008C6532"/>
    <w:rsid w:val="008C655B"/>
    <w:rsid w:val="008D11BB"/>
    <w:rsid w:val="008E1110"/>
    <w:rsid w:val="008E4368"/>
    <w:rsid w:val="008E53E0"/>
    <w:rsid w:val="008E6CC2"/>
    <w:rsid w:val="008F1149"/>
    <w:rsid w:val="008F24B0"/>
    <w:rsid w:val="008F36C7"/>
    <w:rsid w:val="008F3D22"/>
    <w:rsid w:val="008F40FB"/>
    <w:rsid w:val="008F5888"/>
    <w:rsid w:val="008F63B9"/>
    <w:rsid w:val="009020F7"/>
    <w:rsid w:val="00902858"/>
    <w:rsid w:val="00905602"/>
    <w:rsid w:val="009066D6"/>
    <w:rsid w:val="00910A55"/>
    <w:rsid w:val="00912190"/>
    <w:rsid w:val="00917E23"/>
    <w:rsid w:val="00920745"/>
    <w:rsid w:val="009212D6"/>
    <w:rsid w:val="00921EF4"/>
    <w:rsid w:val="00933909"/>
    <w:rsid w:val="00934334"/>
    <w:rsid w:val="00935665"/>
    <w:rsid w:val="00935CC8"/>
    <w:rsid w:val="00937083"/>
    <w:rsid w:val="0094269C"/>
    <w:rsid w:val="00946983"/>
    <w:rsid w:val="00951542"/>
    <w:rsid w:val="00957838"/>
    <w:rsid w:val="00960900"/>
    <w:rsid w:val="00960A98"/>
    <w:rsid w:val="00964388"/>
    <w:rsid w:val="00965BE6"/>
    <w:rsid w:val="00967324"/>
    <w:rsid w:val="00971644"/>
    <w:rsid w:val="00971AC4"/>
    <w:rsid w:val="009721E6"/>
    <w:rsid w:val="0098023A"/>
    <w:rsid w:val="009808BC"/>
    <w:rsid w:val="009810D8"/>
    <w:rsid w:val="0098252E"/>
    <w:rsid w:val="00987035"/>
    <w:rsid w:val="009942D1"/>
    <w:rsid w:val="0099466F"/>
    <w:rsid w:val="00995BBE"/>
    <w:rsid w:val="00997F96"/>
    <w:rsid w:val="009A0568"/>
    <w:rsid w:val="009A4360"/>
    <w:rsid w:val="009A5235"/>
    <w:rsid w:val="009A5DA3"/>
    <w:rsid w:val="009A6F8A"/>
    <w:rsid w:val="009B51F0"/>
    <w:rsid w:val="009B64A3"/>
    <w:rsid w:val="009B746C"/>
    <w:rsid w:val="009C056B"/>
    <w:rsid w:val="009C1283"/>
    <w:rsid w:val="009C2923"/>
    <w:rsid w:val="009C6368"/>
    <w:rsid w:val="009D0E3A"/>
    <w:rsid w:val="009D1695"/>
    <w:rsid w:val="009D24B2"/>
    <w:rsid w:val="009D44BA"/>
    <w:rsid w:val="009D7537"/>
    <w:rsid w:val="009E091B"/>
    <w:rsid w:val="009E17F3"/>
    <w:rsid w:val="009E3315"/>
    <w:rsid w:val="009E3376"/>
    <w:rsid w:val="009F1892"/>
    <w:rsid w:val="009F2927"/>
    <w:rsid w:val="009F36B7"/>
    <w:rsid w:val="009F433F"/>
    <w:rsid w:val="00A01890"/>
    <w:rsid w:val="00A022A7"/>
    <w:rsid w:val="00A046B6"/>
    <w:rsid w:val="00A046BA"/>
    <w:rsid w:val="00A118DB"/>
    <w:rsid w:val="00A123BB"/>
    <w:rsid w:val="00A15010"/>
    <w:rsid w:val="00A17017"/>
    <w:rsid w:val="00A20807"/>
    <w:rsid w:val="00A21C75"/>
    <w:rsid w:val="00A2347A"/>
    <w:rsid w:val="00A23B1D"/>
    <w:rsid w:val="00A31D43"/>
    <w:rsid w:val="00A32494"/>
    <w:rsid w:val="00A330ED"/>
    <w:rsid w:val="00A337A2"/>
    <w:rsid w:val="00A449AE"/>
    <w:rsid w:val="00A45A90"/>
    <w:rsid w:val="00A46B25"/>
    <w:rsid w:val="00A5221E"/>
    <w:rsid w:val="00A52BA9"/>
    <w:rsid w:val="00A55605"/>
    <w:rsid w:val="00A60B01"/>
    <w:rsid w:val="00A6118D"/>
    <w:rsid w:val="00A62592"/>
    <w:rsid w:val="00A67156"/>
    <w:rsid w:val="00A6798D"/>
    <w:rsid w:val="00A701F7"/>
    <w:rsid w:val="00A74A91"/>
    <w:rsid w:val="00A77A05"/>
    <w:rsid w:val="00A871DF"/>
    <w:rsid w:val="00A917A6"/>
    <w:rsid w:val="00A91853"/>
    <w:rsid w:val="00A918AF"/>
    <w:rsid w:val="00A92667"/>
    <w:rsid w:val="00A92E89"/>
    <w:rsid w:val="00A96A8C"/>
    <w:rsid w:val="00AA0225"/>
    <w:rsid w:val="00AA1C61"/>
    <w:rsid w:val="00AA5494"/>
    <w:rsid w:val="00AB4F53"/>
    <w:rsid w:val="00AB5EE2"/>
    <w:rsid w:val="00AB732F"/>
    <w:rsid w:val="00AC60E1"/>
    <w:rsid w:val="00AC692D"/>
    <w:rsid w:val="00AD06C2"/>
    <w:rsid w:val="00AD32F1"/>
    <w:rsid w:val="00AD46A7"/>
    <w:rsid w:val="00AD669C"/>
    <w:rsid w:val="00AD7DE4"/>
    <w:rsid w:val="00AE1E00"/>
    <w:rsid w:val="00AE2200"/>
    <w:rsid w:val="00AE45CF"/>
    <w:rsid w:val="00AE7DAE"/>
    <w:rsid w:val="00AF1018"/>
    <w:rsid w:val="00AF5286"/>
    <w:rsid w:val="00AF52D9"/>
    <w:rsid w:val="00B01D77"/>
    <w:rsid w:val="00B0208A"/>
    <w:rsid w:val="00B0232B"/>
    <w:rsid w:val="00B02DAE"/>
    <w:rsid w:val="00B064B1"/>
    <w:rsid w:val="00B10417"/>
    <w:rsid w:val="00B114E8"/>
    <w:rsid w:val="00B15F52"/>
    <w:rsid w:val="00B1790D"/>
    <w:rsid w:val="00B202AC"/>
    <w:rsid w:val="00B2073B"/>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98B"/>
    <w:rsid w:val="00B51A77"/>
    <w:rsid w:val="00B603AF"/>
    <w:rsid w:val="00B61141"/>
    <w:rsid w:val="00B61272"/>
    <w:rsid w:val="00B62A39"/>
    <w:rsid w:val="00B7059B"/>
    <w:rsid w:val="00B72A25"/>
    <w:rsid w:val="00B74E1A"/>
    <w:rsid w:val="00B75D36"/>
    <w:rsid w:val="00B75D97"/>
    <w:rsid w:val="00B82C08"/>
    <w:rsid w:val="00B83E3E"/>
    <w:rsid w:val="00B8509F"/>
    <w:rsid w:val="00B90799"/>
    <w:rsid w:val="00B93863"/>
    <w:rsid w:val="00B94FAE"/>
    <w:rsid w:val="00B952D1"/>
    <w:rsid w:val="00B958E3"/>
    <w:rsid w:val="00B95B71"/>
    <w:rsid w:val="00B96104"/>
    <w:rsid w:val="00B97FD4"/>
    <w:rsid w:val="00BA2C95"/>
    <w:rsid w:val="00BA340E"/>
    <w:rsid w:val="00BA42F6"/>
    <w:rsid w:val="00BA6E70"/>
    <w:rsid w:val="00BB26B1"/>
    <w:rsid w:val="00BB42FC"/>
    <w:rsid w:val="00BB68C4"/>
    <w:rsid w:val="00BB7F26"/>
    <w:rsid w:val="00BC27E8"/>
    <w:rsid w:val="00BC2D7B"/>
    <w:rsid w:val="00BC5284"/>
    <w:rsid w:val="00BC7EBD"/>
    <w:rsid w:val="00BD0B8F"/>
    <w:rsid w:val="00BD2F66"/>
    <w:rsid w:val="00BD4A08"/>
    <w:rsid w:val="00BD4FF9"/>
    <w:rsid w:val="00BD580A"/>
    <w:rsid w:val="00BD5F50"/>
    <w:rsid w:val="00BE091C"/>
    <w:rsid w:val="00BE17B2"/>
    <w:rsid w:val="00BE25A3"/>
    <w:rsid w:val="00BE5C50"/>
    <w:rsid w:val="00BF4480"/>
    <w:rsid w:val="00C06AE4"/>
    <w:rsid w:val="00C07C33"/>
    <w:rsid w:val="00C15FC9"/>
    <w:rsid w:val="00C16AC2"/>
    <w:rsid w:val="00C213CC"/>
    <w:rsid w:val="00C22C7C"/>
    <w:rsid w:val="00C23B15"/>
    <w:rsid w:val="00C245FD"/>
    <w:rsid w:val="00C24C1F"/>
    <w:rsid w:val="00C24F5D"/>
    <w:rsid w:val="00C30007"/>
    <w:rsid w:val="00C40050"/>
    <w:rsid w:val="00C40563"/>
    <w:rsid w:val="00C422E0"/>
    <w:rsid w:val="00C42756"/>
    <w:rsid w:val="00C46BB4"/>
    <w:rsid w:val="00C47D71"/>
    <w:rsid w:val="00C5077E"/>
    <w:rsid w:val="00C51B92"/>
    <w:rsid w:val="00C521F5"/>
    <w:rsid w:val="00C60909"/>
    <w:rsid w:val="00C62D57"/>
    <w:rsid w:val="00C7007E"/>
    <w:rsid w:val="00C7232A"/>
    <w:rsid w:val="00C72759"/>
    <w:rsid w:val="00C73861"/>
    <w:rsid w:val="00C73F2A"/>
    <w:rsid w:val="00C74186"/>
    <w:rsid w:val="00C7756B"/>
    <w:rsid w:val="00C80CCF"/>
    <w:rsid w:val="00C8107A"/>
    <w:rsid w:val="00C85D86"/>
    <w:rsid w:val="00C86E6E"/>
    <w:rsid w:val="00C87758"/>
    <w:rsid w:val="00C9097A"/>
    <w:rsid w:val="00C92177"/>
    <w:rsid w:val="00C943A5"/>
    <w:rsid w:val="00C9565F"/>
    <w:rsid w:val="00C9649E"/>
    <w:rsid w:val="00CA10EC"/>
    <w:rsid w:val="00CA12BD"/>
    <w:rsid w:val="00CA53B3"/>
    <w:rsid w:val="00CA5A76"/>
    <w:rsid w:val="00CA6E64"/>
    <w:rsid w:val="00CA7986"/>
    <w:rsid w:val="00CB05D7"/>
    <w:rsid w:val="00CB1156"/>
    <w:rsid w:val="00CB6F01"/>
    <w:rsid w:val="00CB7728"/>
    <w:rsid w:val="00CC2E51"/>
    <w:rsid w:val="00CC3A21"/>
    <w:rsid w:val="00CC520D"/>
    <w:rsid w:val="00CC6AFE"/>
    <w:rsid w:val="00CC7844"/>
    <w:rsid w:val="00CC78A3"/>
    <w:rsid w:val="00CD25CE"/>
    <w:rsid w:val="00CD5461"/>
    <w:rsid w:val="00CD783C"/>
    <w:rsid w:val="00CE186F"/>
    <w:rsid w:val="00CE2C2F"/>
    <w:rsid w:val="00CE5DAE"/>
    <w:rsid w:val="00CF2381"/>
    <w:rsid w:val="00CF27D3"/>
    <w:rsid w:val="00CF738D"/>
    <w:rsid w:val="00D016C7"/>
    <w:rsid w:val="00D0277A"/>
    <w:rsid w:val="00D033A3"/>
    <w:rsid w:val="00D04784"/>
    <w:rsid w:val="00D04BD1"/>
    <w:rsid w:val="00D05CFE"/>
    <w:rsid w:val="00D12A1B"/>
    <w:rsid w:val="00D12F07"/>
    <w:rsid w:val="00D142AF"/>
    <w:rsid w:val="00D225B7"/>
    <w:rsid w:val="00D22A12"/>
    <w:rsid w:val="00D24CE0"/>
    <w:rsid w:val="00D30850"/>
    <w:rsid w:val="00D35D17"/>
    <w:rsid w:val="00D36584"/>
    <w:rsid w:val="00D36A50"/>
    <w:rsid w:val="00D400EC"/>
    <w:rsid w:val="00D41698"/>
    <w:rsid w:val="00D419FB"/>
    <w:rsid w:val="00D43EC8"/>
    <w:rsid w:val="00D451F2"/>
    <w:rsid w:val="00D508F5"/>
    <w:rsid w:val="00D54E49"/>
    <w:rsid w:val="00D56A0C"/>
    <w:rsid w:val="00D56B34"/>
    <w:rsid w:val="00D62392"/>
    <w:rsid w:val="00D62A84"/>
    <w:rsid w:val="00D700EA"/>
    <w:rsid w:val="00D71AFB"/>
    <w:rsid w:val="00D73890"/>
    <w:rsid w:val="00D742CE"/>
    <w:rsid w:val="00D74AB7"/>
    <w:rsid w:val="00D82A6D"/>
    <w:rsid w:val="00D84180"/>
    <w:rsid w:val="00D84F10"/>
    <w:rsid w:val="00D85CE4"/>
    <w:rsid w:val="00D956F7"/>
    <w:rsid w:val="00DA1F0C"/>
    <w:rsid w:val="00DA2195"/>
    <w:rsid w:val="00DA26CF"/>
    <w:rsid w:val="00DA5F47"/>
    <w:rsid w:val="00DA7882"/>
    <w:rsid w:val="00DA7F51"/>
    <w:rsid w:val="00DB0BDA"/>
    <w:rsid w:val="00DB294A"/>
    <w:rsid w:val="00DB38BE"/>
    <w:rsid w:val="00DB430B"/>
    <w:rsid w:val="00DB4823"/>
    <w:rsid w:val="00DB4B29"/>
    <w:rsid w:val="00DB754E"/>
    <w:rsid w:val="00DC1844"/>
    <w:rsid w:val="00DC1F41"/>
    <w:rsid w:val="00DC2527"/>
    <w:rsid w:val="00DC2C2D"/>
    <w:rsid w:val="00DD127A"/>
    <w:rsid w:val="00DE08D5"/>
    <w:rsid w:val="00DE157C"/>
    <w:rsid w:val="00DE25F8"/>
    <w:rsid w:val="00DE2A8C"/>
    <w:rsid w:val="00DE3875"/>
    <w:rsid w:val="00DE5016"/>
    <w:rsid w:val="00DF47B0"/>
    <w:rsid w:val="00DF4F72"/>
    <w:rsid w:val="00DF6129"/>
    <w:rsid w:val="00E0052C"/>
    <w:rsid w:val="00E037CE"/>
    <w:rsid w:val="00E03E17"/>
    <w:rsid w:val="00E050F3"/>
    <w:rsid w:val="00E061CA"/>
    <w:rsid w:val="00E06816"/>
    <w:rsid w:val="00E1089A"/>
    <w:rsid w:val="00E117A5"/>
    <w:rsid w:val="00E129CD"/>
    <w:rsid w:val="00E160D8"/>
    <w:rsid w:val="00E169D8"/>
    <w:rsid w:val="00E16A48"/>
    <w:rsid w:val="00E16C80"/>
    <w:rsid w:val="00E22580"/>
    <w:rsid w:val="00E24175"/>
    <w:rsid w:val="00E27687"/>
    <w:rsid w:val="00E27C14"/>
    <w:rsid w:val="00E31CF4"/>
    <w:rsid w:val="00E362C3"/>
    <w:rsid w:val="00E371CC"/>
    <w:rsid w:val="00E40A34"/>
    <w:rsid w:val="00E43425"/>
    <w:rsid w:val="00E479A3"/>
    <w:rsid w:val="00E51942"/>
    <w:rsid w:val="00E53438"/>
    <w:rsid w:val="00E53780"/>
    <w:rsid w:val="00E569C9"/>
    <w:rsid w:val="00E56E0F"/>
    <w:rsid w:val="00E648B6"/>
    <w:rsid w:val="00E65BB6"/>
    <w:rsid w:val="00E65EC4"/>
    <w:rsid w:val="00E66D74"/>
    <w:rsid w:val="00E66E48"/>
    <w:rsid w:val="00E71014"/>
    <w:rsid w:val="00E71133"/>
    <w:rsid w:val="00E71889"/>
    <w:rsid w:val="00E731D7"/>
    <w:rsid w:val="00E73497"/>
    <w:rsid w:val="00E7604C"/>
    <w:rsid w:val="00E860E2"/>
    <w:rsid w:val="00E8792C"/>
    <w:rsid w:val="00E94964"/>
    <w:rsid w:val="00E9711C"/>
    <w:rsid w:val="00EA5DEF"/>
    <w:rsid w:val="00EA6BB1"/>
    <w:rsid w:val="00EA70D7"/>
    <w:rsid w:val="00EB05BB"/>
    <w:rsid w:val="00EB0E9B"/>
    <w:rsid w:val="00EB22AF"/>
    <w:rsid w:val="00EB23CE"/>
    <w:rsid w:val="00EB4082"/>
    <w:rsid w:val="00EB5939"/>
    <w:rsid w:val="00EC16EB"/>
    <w:rsid w:val="00EC2E7D"/>
    <w:rsid w:val="00EC3ECC"/>
    <w:rsid w:val="00ED022C"/>
    <w:rsid w:val="00ED2CD6"/>
    <w:rsid w:val="00ED5FA4"/>
    <w:rsid w:val="00ED6C70"/>
    <w:rsid w:val="00ED6F50"/>
    <w:rsid w:val="00ED7B71"/>
    <w:rsid w:val="00EE0B18"/>
    <w:rsid w:val="00EE1422"/>
    <w:rsid w:val="00EE1E15"/>
    <w:rsid w:val="00EE5D8D"/>
    <w:rsid w:val="00EE6C89"/>
    <w:rsid w:val="00EF0B25"/>
    <w:rsid w:val="00EF5896"/>
    <w:rsid w:val="00F00ADE"/>
    <w:rsid w:val="00F02621"/>
    <w:rsid w:val="00F11124"/>
    <w:rsid w:val="00F122C9"/>
    <w:rsid w:val="00F127FD"/>
    <w:rsid w:val="00F12CBE"/>
    <w:rsid w:val="00F16856"/>
    <w:rsid w:val="00F20B0E"/>
    <w:rsid w:val="00F20C8F"/>
    <w:rsid w:val="00F2209D"/>
    <w:rsid w:val="00F234E2"/>
    <w:rsid w:val="00F303F0"/>
    <w:rsid w:val="00F30939"/>
    <w:rsid w:val="00F3393A"/>
    <w:rsid w:val="00F3475E"/>
    <w:rsid w:val="00F366ED"/>
    <w:rsid w:val="00F36F86"/>
    <w:rsid w:val="00F37ADC"/>
    <w:rsid w:val="00F401D2"/>
    <w:rsid w:val="00F402B4"/>
    <w:rsid w:val="00F42608"/>
    <w:rsid w:val="00F440D5"/>
    <w:rsid w:val="00F44552"/>
    <w:rsid w:val="00F4493E"/>
    <w:rsid w:val="00F475AA"/>
    <w:rsid w:val="00F55F08"/>
    <w:rsid w:val="00F5724C"/>
    <w:rsid w:val="00F60629"/>
    <w:rsid w:val="00F649C0"/>
    <w:rsid w:val="00F65CA2"/>
    <w:rsid w:val="00F66EC0"/>
    <w:rsid w:val="00F67B48"/>
    <w:rsid w:val="00F70732"/>
    <w:rsid w:val="00F711F3"/>
    <w:rsid w:val="00F71DFF"/>
    <w:rsid w:val="00F7207C"/>
    <w:rsid w:val="00F72613"/>
    <w:rsid w:val="00F72716"/>
    <w:rsid w:val="00F75BDB"/>
    <w:rsid w:val="00F81F7E"/>
    <w:rsid w:val="00F81F99"/>
    <w:rsid w:val="00F855A3"/>
    <w:rsid w:val="00F860DE"/>
    <w:rsid w:val="00F90F0D"/>
    <w:rsid w:val="00F91FB3"/>
    <w:rsid w:val="00F978B3"/>
    <w:rsid w:val="00FA2D80"/>
    <w:rsid w:val="00FA4946"/>
    <w:rsid w:val="00FB3DF0"/>
    <w:rsid w:val="00FB5A80"/>
    <w:rsid w:val="00FB625A"/>
    <w:rsid w:val="00FC031A"/>
    <w:rsid w:val="00FC739B"/>
    <w:rsid w:val="00FD18A7"/>
    <w:rsid w:val="00FD3619"/>
    <w:rsid w:val="00FD50DA"/>
    <w:rsid w:val="00FE0903"/>
    <w:rsid w:val="00FE13A4"/>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B10A6"/>
  <w14:defaultImageDpi w14:val="0"/>
  <w15:docId w15:val="{F3002984-C5F9-4ED6-9155-F29F9795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customStyle="1" w:styleId="Background">
    <w:name w:val="Background"/>
    <w:basedOn w:val="Normal"/>
    <w:rsid w:val="009721E6"/>
    <w:pPr>
      <w:numPr>
        <w:numId w:val="50"/>
      </w:numPr>
      <w:tabs>
        <w:tab w:val="right" w:pos="992"/>
        <w:tab w:val="left" w:pos="1701"/>
        <w:tab w:val="left" w:pos="2381"/>
      </w:tabs>
      <w:spacing w:after="240"/>
      <w:jc w:val="both"/>
    </w:pPr>
    <w:rPr>
      <w:rFonts w:ascii="Times New Roman" w:hAnsi="Times New Roman" w:cs="Times New Roman"/>
      <w:sz w:val="23"/>
      <w:szCs w:val="20"/>
      <w:lang w:eastAsia="en-AU"/>
    </w:rPr>
  </w:style>
  <w:style w:type="paragraph" w:styleId="FootnoteText">
    <w:name w:val="footnote text"/>
    <w:basedOn w:val="Normal"/>
    <w:link w:val="FootnoteTextChar"/>
    <w:uiPriority w:val="99"/>
    <w:unhideWhenUsed/>
    <w:rsid w:val="009721E6"/>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9721E6"/>
    <w:rPr>
      <w:rFonts w:ascii="Calibri" w:hAnsi="Calibri" w:cs="Times New Roman"/>
      <w:sz w:val="20"/>
      <w:szCs w:val="20"/>
      <w:lang w:val="x-none" w:eastAsia="en-US"/>
    </w:rPr>
  </w:style>
  <w:style w:type="character" w:styleId="FootnoteReference">
    <w:name w:val="footnote reference"/>
    <w:basedOn w:val="DefaultParagraphFont"/>
    <w:uiPriority w:val="99"/>
    <w:unhideWhenUsed/>
    <w:rsid w:val="009721E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812744">
      <w:marLeft w:val="0"/>
      <w:marRight w:val="0"/>
      <w:marTop w:val="0"/>
      <w:marBottom w:val="0"/>
      <w:divBdr>
        <w:top w:val="none" w:sz="0" w:space="0" w:color="auto"/>
        <w:left w:val="none" w:sz="0" w:space="0" w:color="auto"/>
        <w:bottom w:val="none" w:sz="0" w:space="0" w:color="auto"/>
        <w:right w:val="none" w:sz="0" w:space="0" w:color="auto"/>
      </w:divBdr>
    </w:div>
    <w:div w:id="965812745">
      <w:marLeft w:val="0"/>
      <w:marRight w:val="0"/>
      <w:marTop w:val="0"/>
      <w:marBottom w:val="0"/>
      <w:divBdr>
        <w:top w:val="none" w:sz="0" w:space="0" w:color="auto"/>
        <w:left w:val="none" w:sz="0" w:space="0" w:color="auto"/>
        <w:bottom w:val="none" w:sz="0" w:space="0" w:color="auto"/>
        <w:right w:val="none" w:sz="0" w:space="0" w:color="auto"/>
      </w:divBdr>
    </w:div>
    <w:div w:id="965812746">
      <w:marLeft w:val="0"/>
      <w:marRight w:val="0"/>
      <w:marTop w:val="0"/>
      <w:marBottom w:val="0"/>
      <w:divBdr>
        <w:top w:val="none" w:sz="0" w:space="0" w:color="auto"/>
        <w:left w:val="none" w:sz="0" w:space="0" w:color="auto"/>
        <w:bottom w:val="none" w:sz="0" w:space="0" w:color="auto"/>
        <w:right w:val="none" w:sz="0" w:space="0" w:color="auto"/>
      </w:divBdr>
    </w:div>
    <w:div w:id="965812747">
      <w:marLeft w:val="0"/>
      <w:marRight w:val="0"/>
      <w:marTop w:val="0"/>
      <w:marBottom w:val="0"/>
      <w:divBdr>
        <w:top w:val="none" w:sz="0" w:space="0" w:color="auto"/>
        <w:left w:val="none" w:sz="0" w:space="0" w:color="auto"/>
        <w:bottom w:val="none" w:sz="0" w:space="0" w:color="auto"/>
        <w:right w:val="none" w:sz="0" w:space="0" w:color="auto"/>
      </w:divBdr>
    </w:div>
    <w:div w:id="965812748">
      <w:marLeft w:val="0"/>
      <w:marRight w:val="0"/>
      <w:marTop w:val="0"/>
      <w:marBottom w:val="0"/>
      <w:divBdr>
        <w:top w:val="none" w:sz="0" w:space="0" w:color="auto"/>
        <w:left w:val="none" w:sz="0" w:space="0" w:color="auto"/>
        <w:bottom w:val="none" w:sz="0" w:space="0" w:color="auto"/>
        <w:right w:val="none" w:sz="0" w:space="0" w:color="auto"/>
      </w:divBdr>
    </w:div>
    <w:div w:id="965812749">
      <w:marLeft w:val="0"/>
      <w:marRight w:val="0"/>
      <w:marTop w:val="0"/>
      <w:marBottom w:val="0"/>
      <w:divBdr>
        <w:top w:val="none" w:sz="0" w:space="0" w:color="auto"/>
        <w:left w:val="none" w:sz="0" w:space="0" w:color="auto"/>
        <w:bottom w:val="none" w:sz="0" w:space="0" w:color="auto"/>
        <w:right w:val="none" w:sz="0" w:space="0" w:color="auto"/>
      </w:divBdr>
    </w:div>
    <w:div w:id="965812750">
      <w:marLeft w:val="0"/>
      <w:marRight w:val="0"/>
      <w:marTop w:val="0"/>
      <w:marBottom w:val="0"/>
      <w:divBdr>
        <w:top w:val="none" w:sz="0" w:space="0" w:color="auto"/>
        <w:left w:val="none" w:sz="0" w:space="0" w:color="auto"/>
        <w:bottom w:val="none" w:sz="0" w:space="0" w:color="auto"/>
        <w:right w:val="none" w:sz="0" w:space="0" w:color="auto"/>
      </w:divBdr>
    </w:div>
    <w:div w:id="965812751">
      <w:marLeft w:val="0"/>
      <w:marRight w:val="0"/>
      <w:marTop w:val="0"/>
      <w:marBottom w:val="0"/>
      <w:divBdr>
        <w:top w:val="none" w:sz="0" w:space="0" w:color="auto"/>
        <w:left w:val="none" w:sz="0" w:space="0" w:color="auto"/>
        <w:bottom w:val="none" w:sz="0" w:space="0" w:color="auto"/>
        <w:right w:val="none" w:sz="0" w:space="0" w:color="auto"/>
      </w:divBdr>
    </w:div>
    <w:div w:id="965812752">
      <w:marLeft w:val="0"/>
      <w:marRight w:val="0"/>
      <w:marTop w:val="0"/>
      <w:marBottom w:val="0"/>
      <w:divBdr>
        <w:top w:val="none" w:sz="0" w:space="0" w:color="auto"/>
        <w:left w:val="none" w:sz="0" w:space="0" w:color="auto"/>
        <w:bottom w:val="none" w:sz="0" w:space="0" w:color="auto"/>
        <w:right w:val="none" w:sz="0" w:space="0" w:color="auto"/>
      </w:divBdr>
    </w:div>
    <w:div w:id="965812753">
      <w:marLeft w:val="0"/>
      <w:marRight w:val="0"/>
      <w:marTop w:val="0"/>
      <w:marBottom w:val="0"/>
      <w:divBdr>
        <w:top w:val="none" w:sz="0" w:space="0" w:color="auto"/>
        <w:left w:val="none" w:sz="0" w:space="0" w:color="auto"/>
        <w:bottom w:val="none" w:sz="0" w:space="0" w:color="auto"/>
        <w:right w:val="none" w:sz="0" w:space="0" w:color="auto"/>
      </w:divBdr>
    </w:div>
    <w:div w:id="965812754">
      <w:marLeft w:val="0"/>
      <w:marRight w:val="0"/>
      <w:marTop w:val="0"/>
      <w:marBottom w:val="0"/>
      <w:divBdr>
        <w:top w:val="none" w:sz="0" w:space="0" w:color="auto"/>
        <w:left w:val="none" w:sz="0" w:space="0" w:color="auto"/>
        <w:bottom w:val="none" w:sz="0" w:space="0" w:color="auto"/>
        <w:right w:val="none" w:sz="0" w:space="0" w:color="auto"/>
      </w:divBdr>
    </w:div>
    <w:div w:id="965812755">
      <w:marLeft w:val="0"/>
      <w:marRight w:val="0"/>
      <w:marTop w:val="0"/>
      <w:marBottom w:val="0"/>
      <w:divBdr>
        <w:top w:val="none" w:sz="0" w:space="0" w:color="auto"/>
        <w:left w:val="none" w:sz="0" w:space="0" w:color="auto"/>
        <w:bottom w:val="none" w:sz="0" w:space="0" w:color="auto"/>
        <w:right w:val="none" w:sz="0" w:space="0" w:color="auto"/>
      </w:divBdr>
    </w:div>
    <w:div w:id="965812756">
      <w:marLeft w:val="0"/>
      <w:marRight w:val="0"/>
      <w:marTop w:val="0"/>
      <w:marBottom w:val="0"/>
      <w:divBdr>
        <w:top w:val="none" w:sz="0" w:space="0" w:color="auto"/>
        <w:left w:val="none" w:sz="0" w:space="0" w:color="auto"/>
        <w:bottom w:val="none" w:sz="0" w:space="0" w:color="auto"/>
        <w:right w:val="none" w:sz="0" w:space="0" w:color="auto"/>
      </w:divBdr>
    </w:div>
    <w:div w:id="965812757">
      <w:marLeft w:val="0"/>
      <w:marRight w:val="0"/>
      <w:marTop w:val="0"/>
      <w:marBottom w:val="0"/>
      <w:divBdr>
        <w:top w:val="none" w:sz="0" w:space="0" w:color="auto"/>
        <w:left w:val="none" w:sz="0" w:space="0" w:color="auto"/>
        <w:bottom w:val="none" w:sz="0" w:space="0" w:color="auto"/>
        <w:right w:val="none" w:sz="0" w:space="0" w:color="auto"/>
      </w:divBdr>
    </w:div>
    <w:div w:id="965812758">
      <w:marLeft w:val="0"/>
      <w:marRight w:val="0"/>
      <w:marTop w:val="0"/>
      <w:marBottom w:val="0"/>
      <w:divBdr>
        <w:top w:val="none" w:sz="0" w:space="0" w:color="auto"/>
        <w:left w:val="none" w:sz="0" w:space="0" w:color="auto"/>
        <w:bottom w:val="none" w:sz="0" w:space="0" w:color="auto"/>
        <w:right w:val="none" w:sz="0" w:space="0" w:color="auto"/>
      </w:divBdr>
    </w:div>
    <w:div w:id="965812759">
      <w:marLeft w:val="0"/>
      <w:marRight w:val="0"/>
      <w:marTop w:val="0"/>
      <w:marBottom w:val="0"/>
      <w:divBdr>
        <w:top w:val="none" w:sz="0" w:space="0" w:color="auto"/>
        <w:left w:val="none" w:sz="0" w:space="0" w:color="auto"/>
        <w:bottom w:val="none" w:sz="0" w:space="0" w:color="auto"/>
        <w:right w:val="none" w:sz="0" w:space="0" w:color="auto"/>
      </w:divBdr>
    </w:div>
    <w:div w:id="965812760">
      <w:marLeft w:val="0"/>
      <w:marRight w:val="0"/>
      <w:marTop w:val="0"/>
      <w:marBottom w:val="0"/>
      <w:divBdr>
        <w:top w:val="none" w:sz="0" w:space="0" w:color="auto"/>
        <w:left w:val="none" w:sz="0" w:space="0" w:color="auto"/>
        <w:bottom w:val="none" w:sz="0" w:space="0" w:color="auto"/>
        <w:right w:val="none" w:sz="0" w:space="0" w:color="auto"/>
      </w:divBdr>
    </w:div>
    <w:div w:id="965812761">
      <w:marLeft w:val="0"/>
      <w:marRight w:val="0"/>
      <w:marTop w:val="0"/>
      <w:marBottom w:val="0"/>
      <w:divBdr>
        <w:top w:val="none" w:sz="0" w:space="0" w:color="auto"/>
        <w:left w:val="none" w:sz="0" w:space="0" w:color="auto"/>
        <w:bottom w:val="none" w:sz="0" w:space="0" w:color="auto"/>
        <w:right w:val="none" w:sz="0" w:space="0" w:color="auto"/>
      </w:divBdr>
    </w:div>
    <w:div w:id="965812762">
      <w:marLeft w:val="0"/>
      <w:marRight w:val="0"/>
      <w:marTop w:val="0"/>
      <w:marBottom w:val="0"/>
      <w:divBdr>
        <w:top w:val="none" w:sz="0" w:space="0" w:color="auto"/>
        <w:left w:val="none" w:sz="0" w:space="0" w:color="auto"/>
        <w:bottom w:val="none" w:sz="0" w:space="0" w:color="auto"/>
        <w:right w:val="none" w:sz="0" w:space="0" w:color="auto"/>
      </w:divBdr>
    </w:div>
    <w:div w:id="965812763">
      <w:marLeft w:val="0"/>
      <w:marRight w:val="0"/>
      <w:marTop w:val="0"/>
      <w:marBottom w:val="0"/>
      <w:divBdr>
        <w:top w:val="none" w:sz="0" w:space="0" w:color="auto"/>
        <w:left w:val="none" w:sz="0" w:space="0" w:color="auto"/>
        <w:bottom w:val="none" w:sz="0" w:space="0" w:color="auto"/>
        <w:right w:val="none" w:sz="0" w:space="0" w:color="auto"/>
      </w:divBdr>
    </w:div>
    <w:div w:id="965812764">
      <w:marLeft w:val="0"/>
      <w:marRight w:val="0"/>
      <w:marTop w:val="0"/>
      <w:marBottom w:val="0"/>
      <w:divBdr>
        <w:top w:val="none" w:sz="0" w:space="0" w:color="auto"/>
        <w:left w:val="none" w:sz="0" w:space="0" w:color="auto"/>
        <w:bottom w:val="none" w:sz="0" w:space="0" w:color="auto"/>
        <w:right w:val="none" w:sz="0" w:space="0" w:color="auto"/>
      </w:divBdr>
    </w:div>
    <w:div w:id="965812765">
      <w:marLeft w:val="0"/>
      <w:marRight w:val="0"/>
      <w:marTop w:val="0"/>
      <w:marBottom w:val="0"/>
      <w:divBdr>
        <w:top w:val="none" w:sz="0" w:space="0" w:color="auto"/>
        <w:left w:val="none" w:sz="0" w:space="0" w:color="auto"/>
        <w:bottom w:val="none" w:sz="0" w:space="0" w:color="auto"/>
        <w:right w:val="none" w:sz="0" w:space="0" w:color="auto"/>
      </w:divBdr>
    </w:div>
    <w:div w:id="965812766">
      <w:marLeft w:val="0"/>
      <w:marRight w:val="0"/>
      <w:marTop w:val="0"/>
      <w:marBottom w:val="0"/>
      <w:divBdr>
        <w:top w:val="none" w:sz="0" w:space="0" w:color="auto"/>
        <w:left w:val="none" w:sz="0" w:space="0" w:color="auto"/>
        <w:bottom w:val="none" w:sz="0" w:space="0" w:color="auto"/>
        <w:right w:val="none" w:sz="0" w:space="0" w:color="auto"/>
      </w:divBdr>
    </w:div>
    <w:div w:id="965812767">
      <w:marLeft w:val="0"/>
      <w:marRight w:val="0"/>
      <w:marTop w:val="0"/>
      <w:marBottom w:val="0"/>
      <w:divBdr>
        <w:top w:val="none" w:sz="0" w:space="0" w:color="auto"/>
        <w:left w:val="none" w:sz="0" w:space="0" w:color="auto"/>
        <w:bottom w:val="none" w:sz="0" w:space="0" w:color="auto"/>
        <w:right w:val="none" w:sz="0" w:space="0" w:color="auto"/>
      </w:divBdr>
    </w:div>
    <w:div w:id="965812768">
      <w:marLeft w:val="0"/>
      <w:marRight w:val="0"/>
      <w:marTop w:val="0"/>
      <w:marBottom w:val="0"/>
      <w:divBdr>
        <w:top w:val="none" w:sz="0" w:space="0" w:color="auto"/>
        <w:left w:val="none" w:sz="0" w:space="0" w:color="auto"/>
        <w:bottom w:val="none" w:sz="0" w:space="0" w:color="auto"/>
        <w:right w:val="none" w:sz="0" w:space="0" w:color="auto"/>
      </w:divBdr>
    </w:div>
    <w:div w:id="965812769">
      <w:marLeft w:val="0"/>
      <w:marRight w:val="0"/>
      <w:marTop w:val="0"/>
      <w:marBottom w:val="0"/>
      <w:divBdr>
        <w:top w:val="none" w:sz="0" w:space="0" w:color="auto"/>
        <w:left w:val="none" w:sz="0" w:space="0" w:color="auto"/>
        <w:bottom w:val="none" w:sz="0" w:space="0" w:color="auto"/>
        <w:right w:val="none" w:sz="0" w:space="0" w:color="auto"/>
      </w:divBdr>
    </w:div>
    <w:div w:id="965812770">
      <w:marLeft w:val="0"/>
      <w:marRight w:val="0"/>
      <w:marTop w:val="0"/>
      <w:marBottom w:val="0"/>
      <w:divBdr>
        <w:top w:val="none" w:sz="0" w:space="0" w:color="auto"/>
        <w:left w:val="none" w:sz="0" w:space="0" w:color="auto"/>
        <w:bottom w:val="none" w:sz="0" w:space="0" w:color="auto"/>
        <w:right w:val="none" w:sz="0" w:space="0" w:color="auto"/>
      </w:divBdr>
    </w:div>
    <w:div w:id="965812771">
      <w:marLeft w:val="0"/>
      <w:marRight w:val="0"/>
      <w:marTop w:val="0"/>
      <w:marBottom w:val="0"/>
      <w:divBdr>
        <w:top w:val="none" w:sz="0" w:space="0" w:color="auto"/>
        <w:left w:val="none" w:sz="0" w:space="0" w:color="auto"/>
        <w:bottom w:val="none" w:sz="0" w:space="0" w:color="auto"/>
        <w:right w:val="none" w:sz="0" w:space="0" w:color="auto"/>
      </w:divBdr>
    </w:div>
    <w:div w:id="965812772">
      <w:marLeft w:val="0"/>
      <w:marRight w:val="0"/>
      <w:marTop w:val="0"/>
      <w:marBottom w:val="0"/>
      <w:divBdr>
        <w:top w:val="none" w:sz="0" w:space="0" w:color="auto"/>
        <w:left w:val="none" w:sz="0" w:space="0" w:color="auto"/>
        <w:bottom w:val="none" w:sz="0" w:space="0" w:color="auto"/>
        <w:right w:val="none" w:sz="0" w:space="0" w:color="auto"/>
      </w:divBdr>
    </w:div>
    <w:div w:id="965812773">
      <w:marLeft w:val="0"/>
      <w:marRight w:val="0"/>
      <w:marTop w:val="0"/>
      <w:marBottom w:val="0"/>
      <w:divBdr>
        <w:top w:val="none" w:sz="0" w:space="0" w:color="auto"/>
        <w:left w:val="none" w:sz="0" w:space="0" w:color="auto"/>
        <w:bottom w:val="none" w:sz="0" w:space="0" w:color="auto"/>
        <w:right w:val="none" w:sz="0" w:space="0" w:color="auto"/>
      </w:divBdr>
    </w:div>
    <w:div w:id="965812774">
      <w:marLeft w:val="0"/>
      <w:marRight w:val="0"/>
      <w:marTop w:val="0"/>
      <w:marBottom w:val="0"/>
      <w:divBdr>
        <w:top w:val="none" w:sz="0" w:space="0" w:color="auto"/>
        <w:left w:val="none" w:sz="0" w:space="0" w:color="auto"/>
        <w:bottom w:val="none" w:sz="0" w:space="0" w:color="auto"/>
        <w:right w:val="none" w:sz="0" w:space="0" w:color="auto"/>
      </w:divBdr>
    </w:div>
    <w:div w:id="965812775">
      <w:marLeft w:val="0"/>
      <w:marRight w:val="0"/>
      <w:marTop w:val="0"/>
      <w:marBottom w:val="0"/>
      <w:divBdr>
        <w:top w:val="none" w:sz="0" w:space="0" w:color="auto"/>
        <w:left w:val="none" w:sz="0" w:space="0" w:color="auto"/>
        <w:bottom w:val="none" w:sz="0" w:space="0" w:color="auto"/>
        <w:right w:val="none" w:sz="0" w:space="0" w:color="auto"/>
      </w:divBdr>
    </w:div>
    <w:div w:id="965812776">
      <w:marLeft w:val="0"/>
      <w:marRight w:val="0"/>
      <w:marTop w:val="0"/>
      <w:marBottom w:val="0"/>
      <w:divBdr>
        <w:top w:val="none" w:sz="0" w:space="0" w:color="auto"/>
        <w:left w:val="none" w:sz="0" w:space="0" w:color="auto"/>
        <w:bottom w:val="none" w:sz="0" w:space="0" w:color="auto"/>
        <w:right w:val="none" w:sz="0" w:space="0" w:color="auto"/>
      </w:divBdr>
    </w:div>
    <w:div w:id="965812777">
      <w:marLeft w:val="0"/>
      <w:marRight w:val="0"/>
      <w:marTop w:val="0"/>
      <w:marBottom w:val="0"/>
      <w:divBdr>
        <w:top w:val="none" w:sz="0" w:space="0" w:color="auto"/>
        <w:left w:val="none" w:sz="0" w:space="0" w:color="auto"/>
        <w:bottom w:val="none" w:sz="0" w:space="0" w:color="auto"/>
        <w:right w:val="none" w:sz="0" w:space="0" w:color="auto"/>
      </w:divBdr>
    </w:div>
    <w:div w:id="965812778">
      <w:marLeft w:val="0"/>
      <w:marRight w:val="0"/>
      <w:marTop w:val="0"/>
      <w:marBottom w:val="0"/>
      <w:divBdr>
        <w:top w:val="none" w:sz="0" w:space="0" w:color="auto"/>
        <w:left w:val="none" w:sz="0" w:space="0" w:color="auto"/>
        <w:bottom w:val="none" w:sz="0" w:space="0" w:color="auto"/>
        <w:right w:val="none" w:sz="0" w:space="0" w:color="auto"/>
      </w:divBdr>
    </w:div>
    <w:div w:id="965812779">
      <w:marLeft w:val="0"/>
      <w:marRight w:val="0"/>
      <w:marTop w:val="0"/>
      <w:marBottom w:val="0"/>
      <w:divBdr>
        <w:top w:val="none" w:sz="0" w:space="0" w:color="auto"/>
        <w:left w:val="none" w:sz="0" w:space="0" w:color="auto"/>
        <w:bottom w:val="none" w:sz="0" w:space="0" w:color="auto"/>
        <w:right w:val="none" w:sz="0" w:space="0" w:color="auto"/>
      </w:divBdr>
    </w:div>
    <w:div w:id="965812780">
      <w:marLeft w:val="0"/>
      <w:marRight w:val="0"/>
      <w:marTop w:val="0"/>
      <w:marBottom w:val="0"/>
      <w:divBdr>
        <w:top w:val="none" w:sz="0" w:space="0" w:color="auto"/>
        <w:left w:val="none" w:sz="0" w:space="0" w:color="auto"/>
        <w:bottom w:val="none" w:sz="0" w:space="0" w:color="auto"/>
        <w:right w:val="none" w:sz="0" w:space="0" w:color="auto"/>
      </w:divBdr>
    </w:div>
    <w:div w:id="965812781">
      <w:marLeft w:val="0"/>
      <w:marRight w:val="0"/>
      <w:marTop w:val="0"/>
      <w:marBottom w:val="0"/>
      <w:divBdr>
        <w:top w:val="none" w:sz="0" w:space="0" w:color="auto"/>
        <w:left w:val="none" w:sz="0" w:space="0" w:color="auto"/>
        <w:bottom w:val="none" w:sz="0" w:space="0" w:color="auto"/>
        <w:right w:val="none" w:sz="0" w:space="0" w:color="auto"/>
      </w:divBdr>
    </w:div>
    <w:div w:id="965812782">
      <w:marLeft w:val="0"/>
      <w:marRight w:val="0"/>
      <w:marTop w:val="0"/>
      <w:marBottom w:val="0"/>
      <w:divBdr>
        <w:top w:val="none" w:sz="0" w:space="0" w:color="auto"/>
        <w:left w:val="none" w:sz="0" w:space="0" w:color="auto"/>
        <w:bottom w:val="none" w:sz="0" w:space="0" w:color="auto"/>
        <w:right w:val="none" w:sz="0" w:space="0" w:color="auto"/>
      </w:divBdr>
    </w:div>
    <w:div w:id="965812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AF34-4C6A-4E87-B738-14952EDB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4053</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2014-06-04T23:13:00Z</cp:lastPrinted>
  <dcterms:created xsi:type="dcterms:W3CDTF">2019-06-26T06:14:00Z</dcterms:created>
  <dcterms:modified xsi:type="dcterms:W3CDTF">2019-06-26T06:14:00Z</dcterms:modified>
</cp:coreProperties>
</file>