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3F" w:rsidRDefault="00A4633F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A4633F" w:rsidRDefault="006002EE">
      <w:pPr>
        <w:pStyle w:val="Billname"/>
        <w:spacing w:before="700"/>
      </w:pPr>
      <w:r>
        <w:t>Unlawful Gambling</w:t>
      </w:r>
      <w:r w:rsidR="00A4633F">
        <w:t xml:space="preserve"> (</w:t>
      </w:r>
      <w:r>
        <w:t xml:space="preserve">Charitable Gaming </w:t>
      </w:r>
      <w:r w:rsidR="00817315">
        <w:t xml:space="preserve">Application </w:t>
      </w:r>
      <w:r w:rsidR="00A4633F">
        <w:t xml:space="preserve">Fees) Determination </w:t>
      </w:r>
      <w:r w:rsidR="00595725">
        <w:t>2019</w:t>
      </w:r>
    </w:p>
    <w:p w:rsidR="001559E4" w:rsidRDefault="001559E4" w:rsidP="004B020F">
      <w:pPr>
        <w:tabs>
          <w:tab w:val="left" w:pos="4270"/>
        </w:tabs>
        <w:spacing w:before="240" w:after="60"/>
        <w:rPr>
          <w:rFonts w:ascii="Arial" w:hAnsi="Arial" w:cs="Arial"/>
          <w:b/>
          <w:bCs/>
          <w:vertAlign w:val="superscript"/>
        </w:rPr>
      </w:pPr>
      <w:r w:rsidRPr="00F4553A">
        <w:rPr>
          <w:rFonts w:ascii="Arial" w:hAnsi="Arial" w:cs="Arial"/>
          <w:b/>
          <w:bCs/>
        </w:rPr>
        <w:t>Disallowable Instrument</w:t>
      </w:r>
      <w:r w:rsidR="00817315" w:rsidRPr="00817315">
        <w:rPr>
          <w:rFonts w:ascii="Arial" w:hAnsi="Arial" w:cs="Arial"/>
          <w:b/>
          <w:bCs/>
        </w:rPr>
        <w:t xml:space="preserve"> </w:t>
      </w:r>
      <w:r w:rsidR="00817315" w:rsidRPr="00F4553A">
        <w:rPr>
          <w:rFonts w:ascii="Arial" w:hAnsi="Arial" w:cs="Arial"/>
          <w:b/>
          <w:bCs/>
        </w:rPr>
        <w:t>DI</w:t>
      </w:r>
      <w:r w:rsidR="00817315">
        <w:rPr>
          <w:rFonts w:ascii="Arial" w:hAnsi="Arial" w:cs="Arial"/>
          <w:b/>
          <w:bCs/>
        </w:rPr>
        <w:t>2019–</w:t>
      </w:r>
      <w:r w:rsidR="004B020F">
        <w:rPr>
          <w:rFonts w:ascii="Arial" w:hAnsi="Arial" w:cs="Arial"/>
          <w:b/>
          <w:bCs/>
        </w:rPr>
        <w:t>161</w:t>
      </w:r>
    </w:p>
    <w:p w:rsidR="00A4633F" w:rsidRDefault="00A4633F">
      <w:pPr>
        <w:pStyle w:val="madeunder"/>
        <w:spacing w:before="240" w:after="120"/>
      </w:pPr>
      <w:r>
        <w:t>made under the</w:t>
      </w:r>
    </w:p>
    <w:p w:rsidR="00A4633F" w:rsidRDefault="006002EE">
      <w:pPr>
        <w:pStyle w:val="CoverActName"/>
      </w:pPr>
      <w:r>
        <w:rPr>
          <w:rFonts w:cs="Arial"/>
          <w:sz w:val="20"/>
        </w:rPr>
        <w:t>Unlawful Gambling Act</w:t>
      </w:r>
      <w:r w:rsidR="00150692">
        <w:rPr>
          <w:rFonts w:cs="Arial"/>
          <w:sz w:val="20"/>
        </w:rPr>
        <w:t xml:space="preserve"> 2009</w:t>
      </w:r>
      <w:r w:rsidR="00A4633F">
        <w:rPr>
          <w:rFonts w:cs="Arial"/>
          <w:sz w:val="20"/>
        </w:rPr>
        <w:t xml:space="preserve">, section </w:t>
      </w:r>
      <w:r>
        <w:rPr>
          <w:rFonts w:cs="Arial"/>
          <w:sz w:val="20"/>
        </w:rPr>
        <w:t>48</w:t>
      </w:r>
      <w:r w:rsidR="00A4633F">
        <w:rPr>
          <w:rFonts w:cs="Arial"/>
          <w:sz w:val="20"/>
        </w:rPr>
        <w:t xml:space="preserve"> (Determination of </w:t>
      </w:r>
      <w:r w:rsidR="001559E4">
        <w:rPr>
          <w:rFonts w:cs="Arial"/>
          <w:sz w:val="20"/>
        </w:rPr>
        <w:t>f</w:t>
      </w:r>
      <w:r w:rsidR="00A4633F">
        <w:rPr>
          <w:rFonts w:cs="Arial"/>
          <w:sz w:val="20"/>
        </w:rPr>
        <w:t>ees)</w:t>
      </w:r>
    </w:p>
    <w:p w:rsidR="00A4633F" w:rsidRDefault="00A4633F">
      <w:pPr>
        <w:pStyle w:val="N-line3"/>
        <w:pBdr>
          <w:bottom w:val="none" w:sz="0" w:space="0" w:color="auto"/>
        </w:pBdr>
        <w:rPr>
          <w:sz w:val="22"/>
        </w:rPr>
      </w:pPr>
    </w:p>
    <w:p w:rsidR="00A4633F" w:rsidRDefault="00A4633F">
      <w:pPr>
        <w:rPr>
          <w:sz w:val="22"/>
        </w:rPr>
      </w:pPr>
    </w:p>
    <w:p w:rsidR="00A4633F" w:rsidRDefault="00A4633F">
      <w:pPr>
        <w:pStyle w:val="Heading3"/>
      </w:pPr>
      <w:r>
        <w:t>EXPLANATORY STATEMENT</w:t>
      </w:r>
    </w:p>
    <w:p w:rsidR="00A4633F" w:rsidRDefault="00A4633F"/>
    <w:p w:rsidR="00A4633F" w:rsidRDefault="00A4633F">
      <w:pPr>
        <w:pStyle w:val="N-line3"/>
        <w:pBdr>
          <w:top w:val="single" w:sz="12" w:space="1" w:color="auto"/>
          <w:bottom w:val="none" w:sz="0" w:space="0" w:color="auto"/>
        </w:pBdr>
        <w:rPr>
          <w:sz w:val="22"/>
        </w:rPr>
      </w:pPr>
    </w:p>
    <w:p w:rsidR="00A4633F" w:rsidRDefault="00A4633F" w:rsidP="001D6214">
      <w:pPr>
        <w:jc w:val="both"/>
        <w:rPr>
          <w:bCs/>
        </w:rPr>
      </w:pPr>
      <w:r>
        <w:t xml:space="preserve">The </w:t>
      </w:r>
      <w:r w:rsidR="006002EE">
        <w:rPr>
          <w:i/>
          <w:iCs/>
        </w:rPr>
        <w:t xml:space="preserve">Unlawful </w:t>
      </w:r>
      <w:r w:rsidR="0076341C">
        <w:rPr>
          <w:i/>
          <w:iCs/>
        </w:rPr>
        <w:t>G</w:t>
      </w:r>
      <w:r w:rsidR="006002EE">
        <w:rPr>
          <w:i/>
          <w:iCs/>
        </w:rPr>
        <w:t>ambling Act 2009</w:t>
      </w:r>
      <w:r>
        <w:rPr>
          <w:i/>
          <w:iCs/>
        </w:rPr>
        <w:t xml:space="preserve"> </w:t>
      </w:r>
      <w:r>
        <w:t>(the Act)</w:t>
      </w:r>
      <w:r>
        <w:rPr>
          <w:i/>
          <w:iCs/>
        </w:rPr>
        <w:t xml:space="preserve"> </w:t>
      </w:r>
      <w:r w:rsidR="006002EE">
        <w:rPr>
          <w:bCs/>
        </w:rPr>
        <w:t xml:space="preserve">prohibits gambling activity unless it is expressly authorised </w:t>
      </w:r>
      <w:r w:rsidR="00356451">
        <w:rPr>
          <w:bCs/>
        </w:rPr>
        <w:t xml:space="preserve">or exempt from authorisation </w:t>
      </w:r>
      <w:r w:rsidR="006002EE">
        <w:rPr>
          <w:bCs/>
        </w:rPr>
        <w:t>through gaming laws.</w:t>
      </w:r>
    </w:p>
    <w:p w:rsidR="006002EE" w:rsidRDefault="006002EE" w:rsidP="001D6214">
      <w:pPr>
        <w:jc w:val="both"/>
        <w:rPr>
          <w:sz w:val="22"/>
        </w:rPr>
      </w:pPr>
    </w:p>
    <w:p w:rsidR="00A4633F" w:rsidRPr="00314BB8" w:rsidRDefault="00356451" w:rsidP="001D6214">
      <w:pPr>
        <w:jc w:val="both"/>
      </w:pPr>
      <w:r>
        <w:t xml:space="preserve">This instrument revokes </w:t>
      </w:r>
      <w:r w:rsidRPr="0087703C">
        <w:t>DI2018</w:t>
      </w:r>
      <w:r w:rsidRPr="002A6D81">
        <w:t>-</w:t>
      </w:r>
      <w:r>
        <w:t xml:space="preserve">195, the </w:t>
      </w:r>
      <w:r>
        <w:rPr>
          <w:i/>
        </w:rPr>
        <w:t xml:space="preserve">Unlawful Gambling (Charitable Gaming Application Fees) Determination </w:t>
      </w:r>
      <w:r w:rsidRPr="00753326">
        <w:rPr>
          <w:i/>
        </w:rPr>
        <w:t>2018</w:t>
      </w:r>
      <w:r>
        <w:t>.</w:t>
      </w:r>
    </w:p>
    <w:p w:rsidR="00A4633F" w:rsidRDefault="00A4633F" w:rsidP="001D6214">
      <w:pPr>
        <w:jc w:val="both"/>
        <w:rPr>
          <w:sz w:val="22"/>
        </w:rPr>
      </w:pPr>
    </w:p>
    <w:p w:rsidR="00A4633F" w:rsidRDefault="00A4633F" w:rsidP="001D6214">
      <w:pPr>
        <w:jc w:val="both"/>
      </w:pPr>
      <w:r>
        <w:t xml:space="preserve">Section </w:t>
      </w:r>
      <w:r w:rsidR="006002EE">
        <w:t>48</w:t>
      </w:r>
      <w:r>
        <w:t xml:space="preserve"> of the Act provides that the Minister may determine fees for the Act. This instrument </w:t>
      </w:r>
      <w:r w:rsidR="0076341C">
        <w:t xml:space="preserve">sets out the fee </w:t>
      </w:r>
      <w:r w:rsidR="00532386">
        <w:t>to accompany an application</w:t>
      </w:r>
      <w:r w:rsidR="00356451">
        <w:t xml:space="preserve"> </w:t>
      </w:r>
      <w:r w:rsidR="00532386">
        <w:t xml:space="preserve">by </w:t>
      </w:r>
      <w:r w:rsidR="0076341C">
        <w:t>a charitable organisation to conduct charitable gaming</w:t>
      </w:r>
      <w:r w:rsidR="00532386">
        <w:t xml:space="preserve"> under the Act</w:t>
      </w:r>
      <w:r w:rsidR="00356451">
        <w:t xml:space="preserve"> under section 11 of the Act.</w:t>
      </w:r>
    </w:p>
    <w:p w:rsidR="00E37194" w:rsidRDefault="00E37194" w:rsidP="001D6214">
      <w:pPr>
        <w:jc w:val="both"/>
      </w:pPr>
    </w:p>
    <w:p w:rsidR="00731577" w:rsidRDefault="0021154E" w:rsidP="001D6214">
      <w:pPr>
        <w:jc w:val="both"/>
      </w:pPr>
      <w:r>
        <w:rPr>
          <w:color w:val="000000"/>
        </w:rPr>
        <w:t>The fee in the 2</w:t>
      </w:r>
      <w:r w:rsidR="00595725">
        <w:rPr>
          <w:color w:val="000000"/>
        </w:rPr>
        <w:t>019</w:t>
      </w:r>
      <w:r>
        <w:rPr>
          <w:color w:val="000000"/>
        </w:rPr>
        <w:t>-</w:t>
      </w:r>
      <w:r w:rsidR="00595725">
        <w:rPr>
          <w:color w:val="000000"/>
        </w:rPr>
        <w:t>20</w:t>
      </w:r>
      <w:r>
        <w:rPr>
          <w:color w:val="000000"/>
        </w:rPr>
        <w:t xml:space="preserve"> financial year has been increased from the fee in the previous financial year by </w:t>
      </w:r>
      <w:r w:rsidR="00691D8E" w:rsidRPr="00691D8E">
        <w:rPr>
          <w:color w:val="000000"/>
        </w:rPr>
        <w:t>a Wage Price Index (WPI) forecast of 2.5</w:t>
      </w:r>
      <w:r w:rsidR="00731577">
        <w:rPr>
          <w:color w:val="000000"/>
        </w:rPr>
        <w:t xml:space="preserve"> per cent</w:t>
      </w:r>
      <w:r>
        <w:rPr>
          <w:color w:val="000000"/>
        </w:rPr>
        <w:t>, rounded down to the nearest dollar.</w:t>
      </w:r>
      <w:r w:rsidR="00731577">
        <w:rPr>
          <w:color w:val="000000"/>
        </w:rPr>
        <w:t xml:space="preserve"> </w:t>
      </w:r>
      <w:r w:rsidR="00731577">
        <w:t>This gives effect to the Government’s policy decision to limit growth in government fees and charges for households to no more than the Wage Price Index in 2019-20 as was announced in the 2019-20 ACT Budget. This approach also aligns with the 2018 Treasury Guidelines for Fees and Charges</w:t>
      </w:r>
    </w:p>
    <w:p w:rsidR="00731577" w:rsidRDefault="00731577" w:rsidP="001D6214">
      <w:pPr>
        <w:jc w:val="both"/>
      </w:pPr>
    </w:p>
    <w:p w:rsidR="00DC6140" w:rsidRDefault="00DC6140" w:rsidP="001D6214">
      <w:pPr>
        <w:jc w:val="both"/>
        <w:rPr>
          <w:sz w:val="22"/>
          <w:szCs w:val="22"/>
        </w:rPr>
      </w:pPr>
      <w:r>
        <w:t xml:space="preserve">The </w:t>
      </w:r>
      <w:r w:rsidR="00F6108E">
        <w:t xml:space="preserve">Attachment to </w:t>
      </w:r>
      <w:r>
        <w:t xml:space="preserve">this explanatory statement sets out the current fee (in column 3) and the new fee to take effect from 1 July </w:t>
      </w:r>
      <w:r w:rsidR="00F6108E">
        <w:t xml:space="preserve">2019 </w:t>
      </w:r>
      <w:r>
        <w:t>(in column 4) to enable a comparison.</w:t>
      </w:r>
    </w:p>
    <w:p w:rsidR="0021154E" w:rsidRDefault="0021154E" w:rsidP="001D6214">
      <w:pPr>
        <w:jc w:val="both"/>
      </w:pPr>
    </w:p>
    <w:p w:rsidR="001D6214" w:rsidRDefault="001D6214" w:rsidP="001D6214">
      <w:pPr>
        <w:jc w:val="both"/>
      </w:pPr>
      <w:r>
        <w:t>A determination under section 48 is a disallowable instrument and must be tabled in the Legislative Assembly.</w:t>
      </w:r>
    </w:p>
    <w:bookmarkEnd w:id="0"/>
    <w:p w:rsidR="00203C3B" w:rsidRDefault="00203C3B" w:rsidP="001D6214">
      <w:pPr>
        <w:jc w:val="both"/>
        <w:sectPr w:rsidR="00203C3B" w:rsidSect="00D915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</w:sectPr>
      </w:pPr>
    </w:p>
    <w:tbl>
      <w:tblPr>
        <w:tblW w:w="95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384"/>
        <w:gridCol w:w="1384"/>
      </w:tblGrid>
      <w:tr w:rsidR="00595725" w:rsidRPr="00652B7F" w:rsidTr="00595725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:rsidR="00595725" w:rsidRPr="00652B7F" w:rsidRDefault="00595725" w:rsidP="00EF577D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lastRenderedPageBreak/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:rsidR="00595725" w:rsidRPr="00652B7F" w:rsidRDefault="00595725" w:rsidP="00EF577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:rsidR="00595725" w:rsidRPr="00652B7F" w:rsidRDefault="00595725" w:rsidP="00EF577D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:rsidR="00595725" w:rsidRPr="00652B7F" w:rsidRDefault="00595725" w:rsidP="00EF577D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Column 4</w:t>
            </w:r>
          </w:p>
        </w:tc>
      </w:tr>
      <w:tr w:rsidR="00595725" w:rsidRPr="00652B7F" w:rsidTr="00595725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:rsidR="00595725" w:rsidRPr="00652B7F" w:rsidRDefault="00595725" w:rsidP="00EF577D">
            <w:pPr>
              <w:pStyle w:val="Heading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:rsidR="00595725" w:rsidRPr="00652B7F" w:rsidRDefault="00595725" w:rsidP="00EF577D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:rsidR="00595725" w:rsidRPr="00652B7F" w:rsidRDefault="00595725" w:rsidP="00742FA6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Previous Fee</w:t>
            </w:r>
            <w:r w:rsidR="007604EF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:rsidR="00595725" w:rsidRPr="00652B7F" w:rsidRDefault="00595725" w:rsidP="00EF57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Fee from 1</w:t>
            </w:r>
            <w:r w:rsidR="00356451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July 2019</w:t>
            </w:r>
            <w:r w:rsidR="007604EF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</w:tr>
      <w:tr w:rsidR="00595725" w:rsidRPr="00A01B5F" w:rsidTr="00595725">
        <w:trPr>
          <w:trHeight w:val="874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:rsidR="00595725" w:rsidRPr="00A01B5F" w:rsidRDefault="00356451" w:rsidP="00EF577D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:rsidR="00595725" w:rsidRDefault="00595725" w:rsidP="00EF577D">
            <w:r w:rsidRPr="006002EE">
              <w:t xml:space="preserve">The fee payable under </w:t>
            </w:r>
            <w:r w:rsidR="00356451">
              <w:t>s11</w:t>
            </w:r>
            <w:r w:rsidRPr="006002EE">
              <w:t xml:space="preserve"> of the </w:t>
            </w:r>
            <w:r w:rsidRPr="00356451">
              <w:rPr>
                <w:i/>
              </w:rPr>
              <w:t>Unlawful Gambling Act 2009</w:t>
            </w:r>
            <w:r w:rsidRPr="006002EE">
              <w:t xml:space="preserve"> to accompany an application to the ACT Gambling </w:t>
            </w:r>
            <w:r w:rsidR="00356451">
              <w:t>and</w:t>
            </w:r>
            <w:r w:rsidRPr="006002EE">
              <w:t xml:space="preserve"> Racing Commission for approval to conduct a game.</w:t>
            </w:r>
          </w:p>
          <w:p w:rsidR="00595725" w:rsidRPr="00A01B5F" w:rsidRDefault="00595725" w:rsidP="00EF577D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:rsidR="00595725" w:rsidRPr="00A01B5F" w:rsidRDefault="00595725" w:rsidP="00FE368A">
            <w:pPr>
              <w:rPr>
                <w:szCs w:val="24"/>
              </w:rPr>
            </w:pPr>
            <w:r>
              <w:rPr>
                <w:szCs w:val="24"/>
              </w:rPr>
              <w:t>57.00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:rsidR="00595725" w:rsidRDefault="006244FC" w:rsidP="00FE368A">
            <w:pPr>
              <w:rPr>
                <w:szCs w:val="24"/>
              </w:rPr>
            </w:pPr>
            <w:r>
              <w:rPr>
                <w:szCs w:val="24"/>
              </w:rPr>
              <w:t>58.00</w:t>
            </w:r>
          </w:p>
        </w:tc>
      </w:tr>
    </w:tbl>
    <w:p w:rsidR="001D7B42" w:rsidRDefault="001D7B42">
      <w:pPr>
        <w:tabs>
          <w:tab w:val="left" w:pos="1526"/>
          <w:tab w:val="left" w:pos="6487"/>
          <w:tab w:val="left" w:pos="7905"/>
        </w:tabs>
        <w:ind w:left="250"/>
        <w:rPr>
          <w:b/>
          <w:bCs/>
        </w:rPr>
      </w:pPr>
    </w:p>
    <w:sectPr w:rsidR="001D7B42" w:rsidSect="00D9159A">
      <w:headerReference w:type="default" r:id="rId14"/>
      <w:pgSz w:w="11907" w:h="16840" w:code="9"/>
      <w:pgMar w:top="1440" w:right="1797" w:bottom="141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50" w:rsidRDefault="00061F50">
      <w:r>
        <w:separator/>
      </w:r>
    </w:p>
  </w:endnote>
  <w:endnote w:type="continuationSeparator" w:id="0">
    <w:p w:rsidR="00061F50" w:rsidRDefault="0006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Default="00EB0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Pr="00EB0489" w:rsidRDefault="00EB0489" w:rsidP="00EB0489">
    <w:pPr>
      <w:pStyle w:val="Footer"/>
      <w:jc w:val="center"/>
      <w:rPr>
        <w:rFonts w:ascii="Arial" w:hAnsi="Arial" w:cs="Arial"/>
        <w:sz w:val="14"/>
      </w:rPr>
    </w:pPr>
    <w:r w:rsidRPr="00EB048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Default="00EB0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50" w:rsidRDefault="00061F50">
      <w:r>
        <w:separator/>
      </w:r>
    </w:p>
  </w:footnote>
  <w:footnote w:type="continuationSeparator" w:id="0">
    <w:p w:rsidR="00061F50" w:rsidRDefault="0006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Default="00EB0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Default="00EB0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489" w:rsidRDefault="00EB04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827" w:rsidRDefault="00121827">
    <w:pPr>
      <w:pStyle w:val="Header"/>
      <w:framePr w:wrap="around" w:vAnchor="text" w:hAnchor="margin" w:xAlign="center" w:y="1"/>
      <w:rPr>
        <w:rStyle w:val="PageNumber"/>
      </w:rPr>
    </w:pPr>
  </w:p>
  <w:p w:rsidR="001D7B42" w:rsidRDefault="001D7B42">
    <w:pPr>
      <w:pStyle w:val="Heading5"/>
      <w:tabs>
        <w:tab w:val="left" w:pos="6237"/>
      </w:tabs>
      <w:ind w:right="-427"/>
      <w:jc w:val="center"/>
      <w:rPr>
        <w:sz w:val="22"/>
        <w:szCs w:val="22"/>
      </w:rPr>
    </w:pPr>
    <w:r w:rsidRPr="001D7B42">
      <w:rPr>
        <w:sz w:val="22"/>
        <w:szCs w:val="22"/>
      </w:rPr>
      <w:t xml:space="preserve">This is page 1 of </w:t>
    </w:r>
    <w:r w:rsidR="00AB767D">
      <w:rPr>
        <w:sz w:val="22"/>
        <w:szCs w:val="22"/>
      </w:rPr>
      <w:t>1</w:t>
    </w:r>
    <w:r w:rsidRPr="001D7B42">
      <w:rPr>
        <w:sz w:val="22"/>
        <w:szCs w:val="22"/>
      </w:rPr>
      <w:t xml:space="preserve"> pages of the Attachment to the Explanatory Statement to the</w:t>
    </w:r>
  </w:p>
  <w:p w:rsidR="00121827" w:rsidRPr="001D7B42" w:rsidRDefault="00817315">
    <w:pPr>
      <w:pStyle w:val="Heading5"/>
      <w:tabs>
        <w:tab w:val="left" w:pos="6237"/>
      </w:tabs>
      <w:ind w:right="-427"/>
      <w:jc w:val="center"/>
      <w:rPr>
        <w:sz w:val="22"/>
        <w:szCs w:val="22"/>
      </w:rPr>
    </w:pPr>
    <w:r>
      <w:rPr>
        <w:i/>
        <w:iCs/>
        <w:sz w:val="22"/>
        <w:szCs w:val="22"/>
      </w:rPr>
      <w:t>Unlawful Gambling (Charitable</w:t>
    </w:r>
    <w:r w:rsidR="00121827" w:rsidRPr="001D7B42">
      <w:rPr>
        <w:i/>
        <w:iCs/>
        <w:sz w:val="22"/>
        <w:szCs w:val="22"/>
      </w:rPr>
      <w:t xml:space="preserve"> Gaming Application Fees) Determination </w:t>
    </w:r>
    <w:r w:rsidR="00595725">
      <w:rPr>
        <w:i/>
        <w:iCs/>
        <w:sz w:val="22"/>
        <w:szCs w:val="22"/>
      </w:rPr>
      <w:t>2019</w:t>
    </w:r>
  </w:p>
  <w:p w:rsidR="00121827" w:rsidRDefault="00121827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1856"/>
    <w:multiLevelType w:val="hybridMultilevel"/>
    <w:tmpl w:val="9A206140"/>
    <w:lvl w:ilvl="0" w:tplc="55E8117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3DA"/>
    <w:multiLevelType w:val="hybridMultilevel"/>
    <w:tmpl w:val="FB9E77B0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824099"/>
    <w:multiLevelType w:val="hybridMultilevel"/>
    <w:tmpl w:val="DF567CD8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C409C2"/>
    <w:multiLevelType w:val="hybridMultilevel"/>
    <w:tmpl w:val="EC4CACB4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71AC"/>
    <w:rsid w:val="000029DA"/>
    <w:rsid w:val="00031D2A"/>
    <w:rsid w:val="000573E1"/>
    <w:rsid w:val="00061F50"/>
    <w:rsid w:val="000A795C"/>
    <w:rsid w:val="000F36F0"/>
    <w:rsid w:val="000F7D6A"/>
    <w:rsid w:val="001078F4"/>
    <w:rsid w:val="00121827"/>
    <w:rsid w:val="00140691"/>
    <w:rsid w:val="00150692"/>
    <w:rsid w:val="001559E4"/>
    <w:rsid w:val="001771ED"/>
    <w:rsid w:val="0019610C"/>
    <w:rsid w:val="001D6214"/>
    <w:rsid w:val="001D7B42"/>
    <w:rsid w:val="001E549A"/>
    <w:rsid w:val="0020122C"/>
    <w:rsid w:val="00203C3B"/>
    <w:rsid w:val="0021154E"/>
    <w:rsid w:val="00245DAE"/>
    <w:rsid w:val="00294EED"/>
    <w:rsid w:val="002A6D81"/>
    <w:rsid w:val="00314BB8"/>
    <w:rsid w:val="00320BD6"/>
    <w:rsid w:val="00341467"/>
    <w:rsid w:val="00356451"/>
    <w:rsid w:val="003D41CA"/>
    <w:rsid w:val="004261A5"/>
    <w:rsid w:val="004643B4"/>
    <w:rsid w:val="00466CAD"/>
    <w:rsid w:val="004B020F"/>
    <w:rsid w:val="004B20A2"/>
    <w:rsid w:val="004E5BEC"/>
    <w:rsid w:val="00505479"/>
    <w:rsid w:val="00532386"/>
    <w:rsid w:val="00593729"/>
    <w:rsid w:val="00595725"/>
    <w:rsid w:val="005C36BD"/>
    <w:rsid w:val="005C71B9"/>
    <w:rsid w:val="006002EE"/>
    <w:rsid w:val="00606B4B"/>
    <w:rsid w:val="006244FC"/>
    <w:rsid w:val="00652B7F"/>
    <w:rsid w:val="00655309"/>
    <w:rsid w:val="00691D8E"/>
    <w:rsid w:val="006F0B56"/>
    <w:rsid w:val="00731577"/>
    <w:rsid w:val="0073293E"/>
    <w:rsid w:val="00742FA6"/>
    <w:rsid w:val="00750CFF"/>
    <w:rsid w:val="00752520"/>
    <w:rsid w:val="00753326"/>
    <w:rsid w:val="0075443E"/>
    <w:rsid w:val="007604EF"/>
    <w:rsid w:val="0076341C"/>
    <w:rsid w:val="007F4F47"/>
    <w:rsid w:val="00817315"/>
    <w:rsid w:val="0087703C"/>
    <w:rsid w:val="008779D9"/>
    <w:rsid w:val="008C0373"/>
    <w:rsid w:val="008E7CE8"/>
    <w:rsid w:val="00985871"/>
    <w:rsid w:val="009B7113"/>
    <w:rsid w:val="00A01B5F"/>
    <w:rsid w:val="00A4633F"/>
    <w:rsid w:val="00A6260D"/>
    <w:rsid w:val="00A86EF4"/>
    <w:rsid w:val="00AB767D"/>
    <w:rsid w:val="00AC3D6C"/>
    <w:rsid w:val="00B32A82"/>
    <w:rsid w:val="00BA71AC"/>
    <w:rsid w:val="00BE166D"/>
    <w:rsid w:val="00BF7F09"/>
    <w:rsid w:val="00C02490"/>
    <w:rsid w:val="00C160E4"/>
    <w:rsid w:val="00C17991"/>
    <w:rsid w:val="00C4385D"/>
    <w:rsid w:val="00C47CDC"/>
    <w:rsid w:val="00C92719"/>
    <w:rsid w:val="00CB5D02"/>
    <w:rsid w:val="00CC36D0"/>
    <w:rsid w:val="00CD71C5"/>
    <w:rsid w:val="00CE4F40"/>
    <w:rsid w:val="00D00FD0"/>
    <w:rsid w:val="00D24B38"/>
    <w:rsid w:val="00D54CF9"/>
    <w:rsid w:val="00D643B4"/>
    <w:rsid w:val="00D9159A"/>
    <w:rsid w:val="00DC6140"/>
    <w:rsid w:val="00E2421E"/>
    <w:rsid w:val="00E24832"/>
    <w:rsid w:val="00E37194"/>
    <w:rsid w:val="00E745E2"/>
    <w:rsid w:val="00EB0489"/>
    <w:rsid w:val="00EE2328"/>
    <w:rsid w:val="00EF577D"/>
    <w:rsid w:val="00F4553A"/>
    <w:rsid w:val="00F6108E"/>
    <w:rsid w:val="00F800BB"/>
    <w:rsid w:val="00F85C97"/>
    <w:rsid w:val="00FD2C13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7C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CE8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CE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8E7CE8"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E7CE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E7CE8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E7CE8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E7CE8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E7CE8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E7CE8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E7CE8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Billname">
    <w:name w:val="Billname"/>
    <w:basedOn w:val="Normal"/>
    <w:rsid w:val="008E7CE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E7CE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E7CE8"/>
    <w:pPr>
      <w:spacing w:before="180" w:after="60"/>
      <w:jc w:val="both"/>
    </w:pPr>
  </w:style>
  <w:style w:type="paragraph" w:customStyle="1" w:styleId="CoverActName">
    <w:name w:val="CoverActName"/>
    <w:basedOn w:val="Normal"/>
    <w:rsid w:val="008E7CE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uiPriority w:val="99"/>
    <w:rsid w:val="008E7CE8"/>
    <w:pPr>
      <w:ind w:left="567"/>
    </w:pPr>
    <w:rPr>
      <w:rFonts w:ascii="CG Times (WN)" w:hAnsi="CG Times (WN)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7CE8"/>
    <w:rPr>
      <w:rFonts w:cs="Times New Roman"/>
      <w:sz w:val="24"/>
      <w:lang w:val="x-none" w:eastAsia="en-US"/>
    </w:rPr>
  </w:style>
  <w:style w:type="paragraph" w:customStyle="1" w:styleId="Amain">
    <w:name w:val="A main"/>
    <w:basedOn w:val="Normal"/>
    <w:rsid w:val="008E7CE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szCs w:val="24"/>
    </w:rPr>
  </w:style>
  <w:style w:type="paragraph" w:styleId="Header">
    <w:name w:val="header"/>
    <w:basedOn w:val="Normal"/>
    <w:link w:val="HeaderChar"/>
    <w:uiPriority w:val="99"/>
    <w:rsid w:val="008E7C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7CE8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E7C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7CE8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sid w:val="008E7CE8"/>
    <w:rPr>
      <w:rFonts w:cs="Times New Roman"/>
    </w:rPr>
  </w:style>
  <w:style w:type="character" w:styleId="Hyperlink">
    <w:name w:val="Hyperlink"/>
    <w:basedOn w:val="DefaultParagraphFont"/>
    <w:uiPriority w:val="99"/>
    <w:rsid w:val="008E7C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E5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7CE8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8F627-8F78-4F06-9654-8A9544FD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1591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Moxon, KarenL</cp:lastModifiedBy>
  <cp:revision>2</cp:revision>
  <cp:lastPrinted>2016-05-11T05:41:00Z</cp:lastPrinted>
  <dcterms:created xsi:type="dcterms:W3CDTF">2019-06-27T06:36:00Z</dcterms:created>
  <dcterms:modified xsi:type="dcterms:W3CDTF">2019-06-27T06:36:00Z</dcterms:modified>
</cp:coreProperties>
</file>