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049" w:rsidRPr="00491579" w:rsidRDefault="00465049" w:rsidP="00465049">
      <w:pPr>
        <w:spacing w:before="120"/>
        <w:rPr>
          <w:rFonts w:ascii="Arial" w:hAnsi="Arial" w:cs="Arial"/>
        </w:rPr>
      </w:pPr>
      <w:bookmarkStart w:id="0" w:name="_Toc44738651"/>
      <w:bookmarkStart w:id="1" w:name="Citation"/>
      <w:bookmarkStart w:id="2" w:name="_GoBack"/>
      <w:bookmarkEnd w:id="2"/>
      <w:r w:rsidRPr="00491579">
        <w:rPr>
          <w:rFonts w:ascii="Arial" w:hAnsi="Arial" w:cs="Arial"/>
        </w:rPr>
        <w:t>Australian Capital Territory</w:t>
      </w:r>
    </w:p>
    <w:p w:rsidR="00465049" w:rsidRPr="00491579" w:rsidRDefault="00465049" w:rsidP="00465049">
      <w:pPr>
        <w:tabs>
          <w:tab w:val="left" w:pos="2400"/>
          <w:tab w:val="left" w:pos="2880"/>
        </w:tabs>
        <w:spacing w:before="700" w:after="100"/>
        <w:rPr>
          <w:rFonts w:ascii="Arial" w:hAnsi="Arial"/>
          <w:b/>
          <w:sz w:val="40"/>
        </w:rPr>
      </w:pPr>
      <w:r>
        <w:rPr>
          <w:rFonts w:ascii="Arial" w:hAnsi="Arial"/>
          <w:b/>
          <w:sz w:val="40"/>
        </w:rPr>
        <w:t>Government Agencies (Land Acquisition Reporting) Regulation 2019</w:t>
      </w:r>
    </w:p>
    <w:p w:rsidR="00465049" w:rsidRPr="00491579" w:rsidRDefault="00465049" w:rsidP="00465049">
      <w:pPr>
        <w:spacing w:before="340"/>
        <w:rPr>
          <w:rFonts w:ascii="Arial" w:hAnsi="Arial" w:cs="Arial"/>
          <w:b/>
          <w:bCs/>
        </w:rPr>
      </w:pPr>
      <w:r w:rsidRPr="00491579">
        <w:rPr>
          <w:rFonts w:ascii="Arial" w:hAnsi="Arial" w:cs="Arial"/>
          <w:b/>
          <w:bCs/>
        </w:rPr>
        <w:t>Subordinate law SL</w:t>
      </w:r>
      <w:r>
        <w:rPr>
          <w:rFonts w:ascii="Arial" w:hAnsi="Arial" w:cs="Arial"/>
          <w:b/>
          <w:bCs/>
        </w:rPr>
        <w:t>2019</w:t>
      </w:r>
      <w:r w:rsidRPr="00491579">
        <w:rPr>
          <w:rFonts w:ascii="Arial" w:hAnsi="Arial" w:cs="Arial"/>
          <w:b/>
          <w:bCs/>
        </w:rPr>
        <w:t>–</w:t>
      </w:r>
      <w:r w:rsidR="009B444B">
        <w:rPr>
          <w:rFonts w:ascii="Arial" w:hAnsi="Arial" w:cs="Arial"/>
          <w:b/>
          <w:bCs/>
        </w:rPr>
        <w:t>19</w:t>
      </w:r>
    </w:p>
    <w:p w:rsidR="00465049" w:rsidRPr="00491579" w:rsidRDefault="00465049" w:rsidP="00465049">
      <w:pPr>
        <w:spacing w:before="300"/>
        <w:jc w:val="both"/>
      </w:pPr>
      <w:r w:rsidRPr="00491579">
        <w:t xml:space="preserve">made under the  </w:t>
      </w:r>
    </w:p>
    <w:p w:rsidR="00465049" w:rsidRPr="00491579" w:rsidRDefault="00465049" w:rsidP="00465049">
      <w:pPr>
        <w:tabs>
          <w:tab w:val="left" w:pos="2600"/>
        </w:tabs>
        <w:spacing w:before="320"/>
        <w:jc w:val="both"/>
        <w:rPr>
          <w:rFonts w:ascii="Arial" w:hAnsi="Arial" w:cs="Arial"/>
          <w:b/>
          <w:sz w:val="20"/>
        </w:rPr>
      </w:pPr>
      <w:r>
        <w:rPr>
          <w:rFonts w:ascii="Arial" w:hAnsi="Arial" w:cs="Arial"/>
          <w:b/>
          <w:i/>
          <w:sz w:val="20"/>
        </w:rPr>
        <w:t>Government Agencies (Land Acquisition Reporting) Act 2018</w:t>
      </w:r>
      <w:r w:rsidRPr="00491579">
        <w:rPr>
          <w:rFonts w:ascii="Arial" w:hAnsi="Arial" w:cs="Arial"/>
          <w:b/>
          <w:sz w:val="20"/>
        </w:rPr>
        <w:t xml:space="preserve">, </w:t>
      </w:r>
      <w:r>
        <w:rPr>
          <w:rFonts w:ascii="Arial" w:hAnsi="Arial" w:cs="Arial"/>
          <w:b/>
          <w:sz w:val="20"/>
        </w:rPr>
        <w:t xml:space="preserve">section 12 </w:t>
      </w:r>
      <w:r w:rsidRPr="00491579">
        <w:rPr>
          <w:rFonts w:ascii="Arial" w:hAnsi="Arial" w:cs="Arial"/>
          <w:b/>
          <w:sz w:val="20"/>
        </w:rPr>
        <w:t>(</w:t>
      </w:r>
      <w:r>
        <w:rPr>
          <w:rFonts w:ascii="Arial" w:hAnsi="Arial" w:cs="Arial"/>
          <w:b/>
          <w:sz w:val="20"/>
        </w:rPr>
        <w:t>Regulation-making power</w:t>
      </w:r>
      <w:r w:rsidRPr="00491579">
        <w:rPr>
          <w:rFonts w:ascii="Arial" w:hAnsi="Arial" w:cs="Arial"/>
          <w:b/>
          <w:sz w:val="20"/>
        </w:rPr>
        <w:t>)</w:t>
      </w:r>
    </w:p>
    <w:p w:rsidR="00465049" w:rsidRPr="00491579" w:rsidRDefault="00465049" w:rsidP="00465049">
      <w:pPr>
        <w:spacing w:before="360"/>
        <w:ind w:right="565"/>
        <w:rPr>
          <w:rFonts w:ascii="Arial" w:hAnsi="Arial" w:cs="Arial"/>
          <w:b/>
          <w:bCs/>
          <w:sz w:val="28"/>
          <w:szCs w:val="28"/>
        </w:rPr>
      </w:pPr>
      <w:r w:rsidRPr="00491579">
        <w:rPr>
          <w:rFonts w:ascii="Arial" w:hAnsi="Arial" w:cs="Arial"/>
          <w:b/>
          <w:bCs/>
          <w:sz w:val="28"/>
          <w:szCs w:val="28"/>
        </w:rPr>
        <w:t>EXPLANATORY STATEMENT</w:t>
      </w:r>
    </w:p>
    <w:p w:rsidR="00465049" w:rsidRPr="00491579" w:rsidRDefault="00465049" w:rsidP="00465049">
      <w:pPr>
        <w:jc w:val="both"/>
      </w:pPr>
    </w:p>
    <w:p w:rsidR="00465049" w:rsidRPr="00491579" w:rsidRDefault="00465049" w:rsidP="00465049">
      <w:pPr>
        <w:pBdr>
          <w:top w:val="single" w:sz="12" w:space="1" w:color="auto"/>
        </w:pBdr>
        <w:jc w:val="both"/>
      </w:pPr>
    </w:p>
    <w:bookmarkEnd w:id="0"/>
    <w:p w:rsidR="00465049" w:rsidRPr="000A057A" w:rsidRDefault="00465049" w:rsidP="000A057A">
      <w:pPr>
        <w:rPr>
          <w:b/>
          <w:bCs/>
          <w:sz w:val="24"/>
          <w:szCs w:val="24"/>
        </w:rPr>
      </w:pPr>
      <w:r w:rsidRPr="000A057A">
        <w:rPr>
          <w:b/>
          <w:sz w:val="24"/>
          <w:szCs w:val="24"/>
        </w:rPr>
        <w:t>Outline</w:t>
      </w:r>
    </w:p>
    <w:p w:rsidR="00465049" w:rsidRPr="00E740EF" w:rsidRDefault="00465049" w:rsidP="00465049">
      <w:pPr>
        <w:rPr>
          <w:sz w:val="24"/>
          <w:szCs w:val="24"/>
        </w:rPr>
      </w:pPr>
      <w:r w:rsidRPr="00E740EF">
        <w:rPr>
          <w:sz w:val="24"/>
          <w:szCs w:val="24"/>
        </w:rPr>
        <w:t xml:space="preserve">The </w:t>
      </w:r>
      <w:r w:rsidRPr="00E740EF">
        <w:rPr>
          <w:i/>
          <w:sz w:val="24"/>
          <w:szCs w:val="24"/>
        </w:rPr>
        <w:t xml:space="preserve">Government Agencies (Land Acquisition Reporting) Act 2018 </w:t>
      </w:r>
      <w:r w:rsidRPr="00E740EF">
        <w:rPr>
          <w:sz w:val="24"/>
          <w:szCs w:val="24"/>
        </w:rPr>
        <w:t>(the Act) requires the publication of quarterly reports of all land acquisitions by all government agencies, including Directorates, Territory authorities and Territory-owned corporations.</w:t>
      </w:r>
    </w:p>
    <w:p w:rsidR="00E740EF" w:rsidRPr="00E740EF" w:rsidRDefault="00E740EF" w:rsidP="00E740EF">
      <w:pPr>
        <w:rPr>
          <w:sz w:val="24"/>
          <w:szCs w:val="24"/>
        </w:rPr>
      </w:pPr>
      <w:r w:rsidRPr="00E740EF">
        <w:rPr>
          <w:sz w:val="24"/>
          <w:szCs w:val="24"/>
        </w:rPr>
        <w:t xml:space="preserve">The Act requires details of the relevant land and a summary of matters such as how the acquisition is consistent with the public interest; value for money; the Territory Plan; and the functions of acquiring authority. </w:t>
      </w:r>
    </w:p>
    <w:p w:rsidR="00E740EF" w:rsidRDefault="00046EC1" w:rsidP="00E740EF">
      <w:pPr>
        <w:rPr>
          <w:sz w:val="24"/>
          <w:szCs w:val="24"/>
        </w:rPr>
      </w:pPr>
      <w:r>
        <w:rPr>
          <w:sz w:val="24"/>
          <w:szCs w:val="24"/>
        </w:rPr>
        <w:t>F</w:t>
      </w:r>
      <w:r w:rsidR="00E740EF" w:rsidRPr="00E740EF">
        <w:rPr>
          <w:sz w:val="24"/>
          <w:szCs w:val="24"/>
        </w:rPr>
        <w:t xml:space="preserve">rom 1 July 2019, the Act will also apply to Icon water and will require reporting on the acquisition of all easements by Icon Water </w:t>
      </w:r>
      <w:r w:rsidR="00127774">
        <w:rPr>
          <w:sz w:val="24"/>
          <w:szCs w:val="24"/>
        </w:rPr>
        <w:t>or</w:t>
      </w:r>
      <w:r w:rsidR="00E740EF" w:rsidRPr="00E740EF">
        <w:rPr>
          <w:sz w:val="24"/>
          <w:szCs w:val="24"/>
        </w:rPr>
        <w:t xml:space="preserve"> other Government agencies, subject to any exemption regulation.</w:t>
      </w:r>
      <w:r w:rsidR="0047776D">
        <w:rPr>
          <w:sz w:val="24"/>
          <w:szCs w:val="24"/>
        </w:rPr>
        <w:t xml:space="preserve"> This reporting will be published in October 2019.</w:t>
      </w:r>
    </w:p>
    <w:p w:rsidR="00465049" w:rsidRPr="000A057A" w:rsidRDefault="00465049" w:rsidP="00465049">
      <w:pPr>
        <w:rPr>
          <w:sz w:val="24"/>
          <w:szCs w:val="24"/>
        </w:rPr>
      </w:pPr>
      <w:r w:rsidRPr="000A057A">
        <w:rPr>
          <w:sz w:val="24"/>
          <w:szCs w:val="24"/>
        </w:rPr>
        <w:t>T</w:t>
      </w:r>
      <w:r w:rsidR="00730BE4" w:rsidRPr="000A057A">
        <w:rPr>
          <w:sz w:val="24"/>
          <w:szCs w:val="24"/>
        </w:rPr>
        <w:t xml:space="preserve">he Government Agencies (Land Acquisition Reporting) Regulation 2019 </w:t>
      </w:r>
      <w:r w:rsidR="0047776D">
        <w:rPr>
          <w:sz w:val="24"/>
          <w:szCs w:val="24"/>
        </w:rPr>
        <w:t xml:space="preserve">(the Regulation) </w:t>
      </w:r>
      <w:r w:rsidR="00730BE4" w:rsidRPr="000A057A">
        <w:rPr>
          <w:sz w:val="24"/>
          <w:szCs w:val="24"/>
        </w:rPr>
        <w:t xml:space="preserve">prescribes two </w:t>
      </w:r>
      <w:r w:rsidR="00E740EF" w:rsidRPr="000A057A">
        <w:rPr>
          <w:sz w:val="24"/>
          <w:szCs w:val="24"/>
        </w:rPr>
        <w:t>types of land acquisitions that are excluded from reporting:</w:t>
      </w:r>
    </w:p>
    <w:p w:rsidR="00E740EF" w:rsidRPr="000A057A" w:rsidRDefault="00E740EF" w:rsidP="00E740EF">
      <w:pPr>
        <w:pStyle w:val="ListParagraph"/>
        <w:numPr>
          <w:ilvl w:val="0"/>
          <w:numId w:val="13"/>
        </w:numPr>
        <w:rPr>
          <w:rFonts w:asciiTheme="minorHAnsi" w:hAnsiTheme="minorHAnsi" w:cstheme="minorHAnsi"/>
        </w:rPr>
      </w:pPr>
      <w:r w:rsidRPr="000A057A">
        <w:rPr>
          <w:rFonts w:asciiTheme="minorHAnsi" w:hAnsiTheme="minorHAnsi" w:cstheme="minorHAnsi"/>
        </w:rPr>
        <w:t xml:space="preserve">easements that were </w:t>
      </w:r>
      <w:r w:rsidR="0047776D">
        <w:rPr>
          <w:rFonts w:asciiTheme="minorHAnsi" w:hAnsiTheme="minorHAnsi" w:cstheme="minorHAnsi"/>
        </w:rPr>
        <w:t xml:space="preserve">acquired </w:t>
      </w:r>
      <w:r w:rsidRPr="000A057A">
        <w:rPr>
          <w:rFonts w:asciiTheme="minorHAnsi" w:hAnsiTheme="minorHAnsi" w:cstheme="minorHAnsi"/>
        </w:rPr>
        <w:t>for less than $10,000; and</w:t>
      </w:r>
    </w:p>
    <w:p w:rsidR="00E740EF" w:rsidRPr="000A057A" w:rsidRDefault="00E740EF" w:rsidP="00E740EF">
      <w:pPr>
        <w:pStyle w:val="ListParagraph"/>
        <w:numPr>
          <w:ilvl w:val="0"/>
          <w:numId w:val="13"/>
        </w:numPr>
        <w:rPr>
          <w:rFonts w:asciiTheme="minorHAnsi" w:hAnsiTheme="minorHAnsi" w:cstheme="minorHAnsi"/>
        </w:rPr>
      </w:pPr>
      <w:r w:rsidRPr="000A057A">
        <w:rPr>
          <w:rFonts w:asciiTheme="minorHAnsi" w:hAnsiTheme="minorHAnsi" w:cstheme="minorHAnsi"/>
        </w:rPr>
        <w:t xml:space="preserve">easements that were </w:t>
      </w:r>
      <w:r w:rsidR="0047776D">
        <w:rPr>
          <w:rFonts w:asciiTheme="minorHAnsi" w:hAnsiTheme="minorHAnsi" w:cstheme="minorHAnsi"/>
        </w:rPr>
        <w:t>acquired</w:t>
      </w:r>
      <w:r w:rsidRPr="000A057A">
        <w:rPr>
          <w:rFonts w:asciiTheme="minorHAnsi" w:hAnsiTheme="minorHAnsi" w:cstheme="minorHAnsi"/>
        </w:rPr>
        <w:t xml:space="preserve"> for no compensation.</w:t>
      </w:r>
    </w:p>
    <w:p w:rsidR="0043601F" w:rsidRPr="00E601AB" w:rsidRDefault="0047776D" w:rsidP="0043601F">
      <w:pPr>
        <w:spacing w:before="240"/>
        <w:rPr>
          <w:rFonts w:ascii="Calibri" w:hAnsi="Calibri"/>
          <w:sz w:val="24"/>
          <w:szCs w:val="24"/>
        </w:rPr>
      </w:pPr>
      <w:r>
        <w:rPr>
          <w:sz w:val="24"/>
          <w:szCs w:val="24"/>
        </w:rPr>
        <w:t xml:space="preserve">Without this exemption, </w:t>
      </w:r>
      <w:r w:rsidR="00AE3E7D">
        <w:rPr>
          <w:sz w:val="24"/>
          <w:szCs w:val="24"/>
        </w:rPr>
        <w:t xml:space="preserve">it is estimated that </w:t>
      </w:r>
      <w:r w:rsidR="0043601F">
        <w:rPr>
          <w:sz w:val="24"/>
          <w:szCs w:val="24"/>
        </w:rPr>
        <w:t>up to 1,000 minor easements w</w:t>
      </w:r>
      <w:r w:rsidR="00EE54F6">
        <w:rPr>
          <w:sz w:val="24"/>
          <w:szCs w:val="24"/>
        </w:rPr>
        <w:t>ould</w:t>
      </w:r>
      <w:r w:rsidR="0043601F">
        <w:rPr>
          <w:sz w:val="24"/>
          <w:szCs w:val="24"/>
        </w:rPr>
        <w:t xml:space="preserve"> need to be reported each quarter, including utility easements in new suburbs, and relocation of utility easements in existing suburbs. </w:t>
      </w:r>
      <w:r w:rsidR="0043601F" w:rsidRPr="00E601AB">
        <w:rPr>
          <w:rFonts w:ascii="Calibri" w:hAnsi="Calibri"/>
          <w:sz w:val="24"/>
          <w:szCs w:val="24"/>
        </w:rPr>
        <w:t>Reporting on these minor easements would cause a significant administrative burden for limited purpose and be contrary to the overall intent of the Act.</w:t>
      </w:r>
    </w:p>
    <w:p w:rsidR="0043601F" w:rsidRDefault="0043601F" w:rsidP="0047776D">
      <w:pPr>
        <w:spacing w:before="240"/>
        <w:rPr>
          <w:sz w:val="24"/>
          <w:szCs w:val="24"/>
        </w:rPr>
      </w:pPr>
      <w:r>
        <w:rPr>
          <w:sz w:val="24"/>
          <w:szCs w:val="24"/>
        </w:rPr>
        <w:lastRenderedPageBreak/>
        <w:t>The Regulation exempts these minor easements from reporting, with significant easements acquired for compensation above $10,000 to remain included in the quarterly reporting requirement.</w:t>
      </w:r>
    </w:p>
    <w:p w:rsidR="0043601F" w:rsidRPr="0043601F" w:rsidRDefault="0043601F" w:rsidP="0043601F">
      <w:pPr>
        <w:spacing w:before="240"/>
        <w:rPr>
          <w:sz w:val="24"/>
          <w:szCs w:val="24"/>
        </w:rPr>
      </w:pPr>
      <w:r w:rsidRPr="0043601F">
        <w:rPr>
          <w:sz w:val="24"/>
          <w:szCs w:val="24"/>
        </w:rPr>
        <w:t>The Standing Committee on Justice and Community Safety (Legislative Scrutiny Role) terms of reference require consideration of human rights impacts, among other matters. In this case, no human rights are impacted.</w:t>
      </w:r>
    </w:p>
    <w:p w:rsidR="0043601F" w:rsidRPr="00D25AE1" w:rsidRDefault="0043601F" w:rsidP="0043601F">
      <w:pPr>
        <w:spacing w:before="240"/>
        <w:rPr>
          <w:sz w:val="24"/>
          <w:szCs w:val="24"/>
        </w:rPr>
      </w:pPr>
      <w:r>
        <w:rPr>
          <w:sz w:val="24"/>
          <w:szCs w:val="24"/>
        </w:rPr>
        <w:t xml:space="preserve">A regulatory impact statement is not required for this Regulation, as it is unlikely to impose appreciable costs on the community (section 34 of the </w:t>
      </w:r>
      <w:r>
        <w:rPr>
          <w:i/>
          <w:sz w:val="24"/>
          <w:szCs w:val="24"/>
        </w:rPr>
        <w:t xml:space="preserve">Legislation </w:t>
      </w:r>
      <w:r w:rsidRPr="00D25AE1">
        <w:rPr>
          <w:i/>
          <w:sz w:val="24"/>
          <w:szCs w:val="24"/>
        </w:rPr>
        <w:t>Act 2001</w:t>
      </w:r>
      <w:r>
        <w:rPr>
          <w:sz w:val="24"/>
          <w:szCs w:val="24"/>
        </w:rPr>
        <w:t>), and</w:t>
      </w:r>
      <w:r w:rsidR="00127774">
        <w:rPr>
          <w:sz w:val="24"/>
          <w:szCs w:val="24"/>
        </w:rPr>
        <w:t xml:space="preserve"> it</w:t>
      </w:r>
      <w:r>
        <w:rPr>
          <w:sz w:val="24"/>
          <w:szCs w:val="24"/>
        </w:rPr>
        <w:t xml:space="preserve"> does not</w:t>
      </w:r>
      <w:r w:rsidR="00D25AE1">
        <w:rPr>
          <w:sz w:val="24"/>
          <w:szCs w:val="24"/>
        </w:rPr>
        <w:t xml:space="preserve"> operate to the disadvantage of an</w:t>
      </w:r>
      <w:r w:rsidR="00EE54F6">
        <w:rPr>
          <w:sz w:val="24"/>
          <w:szCs w:val="24"/>
        </w:rPr>
        <w:t>y party</w:t>
      </w:r>
      <w:r w:rsidR="00D25AE1">
        <w:rPr>
          <w:sz w:val="24"/>
          <w:szCs w:val="24"/>
        </w:rPr>
        <w:t xml:space="preserve"> (section 36(1)(b) of the </w:t>
      </w:r>
      <w:r w:rsidR="00D25AE1">
        <w:rPr>
          <w:i/>
          <w:sz w:val="24"/>
          <w:szCs w:val="24"/>
        </w:rPr>
        <w:t>Legislation Act 2001</w:t>
      </w:r>
      <w:r w:rsidR="00D25AE1">
        <w:rPr>
          <w:sz w:val="24"/>
          <w:szCs w:val="24"/>
        </w:rPr>
        <w:t>).</w:t>
      </w:r>
    </w:p>
    <w:bookmarkEnd w:id="1"/>
    <w:p w:rsidR="00D404B4" w:rsidRPr="000A057A" w:rsidRDefault="00D404B4" w:rsidP="00D404B4">
      <w:pPr>
        <w:rPr>
          <w:sz w:val="24"/>
          <w:szCs w:val="24"/>
        </w:rPr>
      </w:pPr>
    </w:p>
    <w:p w:rsidR="00A64A08" w:rsidRPr="00E51A31" w:rsidRDefault="00E740EF">
      <w:pPr>
        <w:rPr>
          <w:b/>
          <w:sz w:val="24"/>
          <w:szCs w:val="24"/>
        </w:rPr>
      </w:pPr>
      <w:r>
        <w:rPr>
          <w:b/>
          <w:sz w:val="24"/>
          <w:szCs w:val="24"/>
        </w:rPr>
        <w:t>Outline of</w:t>
      </w:r>
      <w:r w:rsidR="00A64A08" w:rsidRPr="00D404B4">
        <w:rPr>
          <w:b/>
          <w:sz w:val="24"/>
          <w:szCs w:val="24"/>
        </w:rPr>
        <w:t xml:space="preserve"> </w:t>
      </w:r>
      <w:r>
        <w:rPr>
          <w:b/>
          <w:sz w:val="24"/>
          <w:szCs w:val="24"/>
        </w:rPr>
        <w:t>p</w:t>
      </w:r>
      <w:r w:rsidR="00A64A08" w:rsidRPr="00D404B4">
        <w:rPr>
          <w:b/>
          <w:sz w:val="24"/>
          <w:szCs w:val="24"/>
        </w:rPr>
        <w:t>rovisions</w:t>
      </w:r>
    </w:p>
    <w:p w:rsidR="00061FA4" w:rsidRPr="00D404B4" w:rsidRDefault="00061FA4">
      <w:pPr>
        <w:rPr>
          <w:b/>
          <w:sz w:val="24"/>
          <w:szCs w:val="24"/>
        </w:rPr>
      </w:pPr>
      <w:r w:rsidRPr="00D404B4">
        <w:rPr>
          <w:b/>
          <w:sz w:val="24"/>
          <w:szCs w:val="24"/>
        </w:rPr>
        <w:t>Clause 1</w:t>
      </w:r>
      <w:r w:rsidRPr="00D404B4">
        <w:rPr>
          <w:b/>
          <w:sz w:val="24"/>
          <w:szCs w:val="24"/>
        </w:rPr>
        <w:tab/>
        <w:t xml:space="preserve">Name of </w:t>
      </w:r>
      <w:r w:rsidR="00D404B4">
        <w:rPr>
          <w:b/>
          <w:sz w:val="24"/>
          <w:szCs w:val="24"/>
        </w:rPr>
        <w:t>regulation</w:t>
      </w:r>
    </w:p>
    <w:p w:rsidR="00061FA4" w:rsidRPr="00D404B4" w:rsidRDefault="00061FA4">
      <w:pPr>
        <w:rPr>
          <w:sz w:val="24"/>
          <w:szCs w:val="24"/>
        </w:rPr>
      </w:pPr>
      <w:r w:rsidRPr="00D404B4">
        <w:rPr>
          <w:sz w:val="24"/>
          <w:szCs w:val="24"/>
        </w:rPr>
        <w:t xml:space="preserve">This clause </w:t>
      </w:r>
      <w:r w:rsidR="00D25AE1">
        <w:rPr>
          <w:sz w:val="24"/>
          <w:szCs w:val="24"/>
        </w:rPr>
        <w:t xml:space="preserve">names the regulation as </w:t>
      </w:r>
      <w:r w:rsidR="007C2E8C">
        <w:rPr>
          <w:sz w:val="24"/>
          <w:szCs w:val="24"/>
        </w:rPr>
        <w:t xml:space="preserve">the Government Agencies (Land Acquisition Reporting) </w:t>
      </w:r>
      <w:r w:rsidR="00A71E92">
        <w:rPr>
          <w:sz w:val="24"/>
          <w:szCs w:val="24"/>
        </w:rPr>
        <w:t>Regulation</w:t>
      </w:r>
      <w:r w:rsidR="007C2E8C">
        <w:rPr>
          <w:sz w:val="24"/>
          <w:szCs w:val="24"/>
        </w:rPr>
        <w:t xml:space="preserve"> 2019.</w:t>
      </w:r>
    </w:p>
    <w:p w:rsidR="00A64A08" w:rsidRPr="00D404B4" w:rsidRDefault="00061FA4">
      <w:pPr>
        <w:rPr>
          <w:b/>
          <w:sz w:val="24"/>
          <w:szCs w:val="24"/>
        </w:rPr>
      </w:pPr>
      <w:r w:rsidRPr="00D404B4">
        <w:rPr>
          <w:b/>
          <w:sz w:val="24"/>
          <w:szCs w:val="24"/>
        </w:rPr>
        <w:t>Clause 2</w:t>
      </w:r>
      <w:r w:rsidRPr="00D404B4">
        <w:rPr>
          <w:b/>
          <w:sz w:val="24"/>
          <w:szCs w:val="24"/>
        </w:rPr>
        <w:tab/>
        <w:t>Commencement</w:t>
      </w:r>
    </w:p>
    <w:p w:rsidR="00E51A31" w:rsidRDefault="00061FA4">
      <w:pPr>
        <w:rPr>
          <w:sz w:val="24"/>
          <w:szCs w:val="24"/>
        </w:rPr>
      </w:pPr>
      <w:r w:rsidRPr="00D404B4">
        <w:rPr>
          <w:sz w:val="24"/>
          <w:szCs w:val="24"/>
        </w:rPr>
        <w:t xml:space="preserve">This </w:t>
      </w:r>
      <w:r w:rsidR="00D404B4">
        <w:rPr>
          <w:sz w:val="24"/>
          <w:szCs w:val="24"/>
        </w:rPr>
        <w:t>regulation commences on the</w:t>
      </w:r>
      <w:r w:rsidR="00E51A31">
        <w:rPr>
          <w:sz w:val="24"/>
          <w:szCs w:val="24"/>
        </w:rPr>
        <w:t xml:space="preserve"> day after its notification day.</w:t>
      </w:r>
    </w:p>
    <w:p w:rsidR="00E51A31" w:rsidRPr="00D404B4" w:rsidRDefault="00E51A31">
      <w:pPr>
        <w:rPr>
          <w:b/>
          <w:sz w:val="24"/>
          <w:szCs w:val="24"/>
        </w:rPr>
      </w:pPr>
      <w:r>
        <w:rPr>
          <w:b/>
          <w:sz w:val="24"/>
          <w:szCs w:val="24"/>
        </w:rPr>
        <w:t xml:space="preserve">Clause 3 </w:t>
      </w:r>
      <w:r>
        <w:rPr>
          <w:b/>
          <w:sz w:val="24"/>
          <w:szCs w:val="24"/>
        </w:rPr>
        <w:tab/>
        <w:t>Easements – Act s 7 (2) (b)</w:t>
      </w:r>
    </w:p>
    <w:p w:rsidR="009550B3" w:rsidRPr="007C2E8C" w:rsidRDefault="00061FA4">
      <w:pPr>
        <w:rPr>
          <w:sz w:val="24"/>
          <w:szCs w:val="24"/>
        </w:rPr>
      </w:pPr>
      <w:r w:rsidRPr="00D404B4">
        <w:rPr>
          <w:sz w:val="24"/>
          <w:szCs w:val="24"/>
        </w:rPr>
        <w:t xml:space="preserve">This clause </w:t>
      </w:r>
      <w:r w:rsidR="00D25AE1">
        <w:rPr>
          <w:sz w:val="24"/>
          <w:szCs w:val="24"/>
        </w:rPr>
        <w:t xml:space="preserve">prescribes the </w:t>
      </w:r>
      <w:r w:rsidR="00D404B4">
        <w:rPr>
          <w:sz w:val="24"/>
          <w:szCs w:val="24"/>
        </w:rPr>
        <w:t xml:space="preserve">easements to be exempted from reporting under the </w:t>
      </w:r>
      <w:r w:rsidR="007C2E8C">
        <w:rPr>
          <w:sz w:val="24"/>
          <w:szCs w:val="24"/>
        </w:rPr>
        <w:t>Act:</w:t>
      </w:r>
    </w:p>
    <w:p w:rsidR="007C2E8C" w:rsidRPr="00E740EF" w:rsidRDefault="007C2E8C" w:rsidP="007C2E8C">
      <w:pPr>
        <w:pStyle w:val="ListParagraph"/>
        <w:numPr>
          <w:ilvl w:val="0"/>
          <w:numId w:val="13"/>
        </w:numPr>
        <w:rPr>
          <w:rFonts w:asciiTheme="minorHAnsi" w:hAnsiTheme="minorHAnsi" w:cstheme="minorHAnsi"/>
        </w:rPr>
      </w:pPr>
      <w:r w:rsidRPr="00E740EF">
        <w:rPr>
          <w:rFonts w:asciiTheme="minorHAnsi" w:hAnsiTheme="minorHAnsi" w:cstheme="minorHAnsi"/>
        </w:rPr>
        <w:t xml:space="preserve">easements that were </w:t>
      </w:r>
      <w:r w:rsidR="0047776D">
        <w:rPr>
          <w:rFonts w:asciiTheme="minorHAnsi" w:hAnsiTheme="minorHAnsi" w:cstheme="minorHAnsi"/>
        </w:rPr>
        <w:t>acquired</w:t>
      </w:r>
      <w:r w:rsidRPr="00E740EF">
        <w:rPr>
          <w:rFonts w:asciiTheme="minorHAnsi" w:hAnsiTheme="minorHAnsi" w:cstheme="minorHAnsi"/>
        </w:rPr>
        <w:t xml:space="preserve"> for less than $10,000; and</w:t>
      </w:r>
    </w:p>
    <w:p w:rsidR="007C2E8C" w:rsidRPr="00E740EF" w:rsidRDefault="007C2E8C" w:rsidP="007C2E8C">
      <w:pPr>
        <w:pStyle w:val="ListParagraph"/>
        <w:numPr>
          <w:ilvl w:val="0"/>
          <w:numId w:val="13"/>
        </w:numPr>
        <w:rPr>
          <w:rFonts w:asciiTheme="minorHAnsi" w:hAnsiTheme="minorHAnsi" w:cstheme="minorHAnsi"/>
        </w:rPr>
      </w:pPr>
      <w:r w:rsidRPr="00E740EF">
        <w:rPr>
          <w:rFonts w:asciiTheme="minorHAnsi" w:hAnsiTheme="minorHAnsi" w:cstheme="minorHAnsi"/>
        </w:rPr>
        <w:t xml:space="preserve">easements that were </w:t>
      </w:r>
      <w:r w:rsidR="0047776D">
        <w:rPr>
          <w:rFonts w:asciiTheme="minorHAnsi" w:hAnsiTheme="minorHAnsi" w:cstheme="minorHAnsi"/>
        </w:rPr>
        <w:t>acquired</w:t>
      </w:r>
      <w:r w:rsidRPr="00E740EF">
        <w:rPr>
          <w:rFonts w:asciiTheme="minorHAnsi" w:hAnsiTheme="minorHAnsi" w:cstheme="minorHAnsi"/>
        </w:rPr>
        <w:t xml:space="preserve"> for no compensation.</w:t>
      </w:r>
    </w:p>
    <w:sectPr w:rsidR="007C2E8C" w:rsidRPr="00E740E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CE5" w:rsidRDefault="00DF2CE5" w:rsidP="000F766B">
      <w:pPr>
        <w:spacing w:after="0" w:line="240" w:lineRule="auto"/>
      </w:pPr>
      <w:r>
        <w:separator/>
      </w:r>
    </w:p>
  </w:endnote>
  <w:endnote w:type="continuationSeparator" w:id="0">
    <w:p w:rsidR="00DF2CE5" w:rsidRDefault="00DF2CE5" w:rsidP="000F7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3C4" w:rsidRDefault="00DC6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3C4" w:rsidRPr="00DC63C4" w:rsidRDefault="00DC63C4" w:rsidP="00DC63C4">
    <w:pPr>
      <w:pStyle w:val="Footer"/>
      <w:jc w:val="center"/>
      <w:rPr>
        <w:rFonts w:ascii="Arial" w:hAnsi="Arial" w:cs="Arial"/>
        <w:sz w:val="14"/>
      </w:rPr>
    </w:pPr>
    <w:r w:rsidRPr="00DC63C4">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3C4" w:rsidRDefault="00DC6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CE5" w:rsidRDefault="00DF2CE5" w:rsidP="000F766B">
      <w:pPr>
        <w:spacing w:after="0" w:line="240" w:lineRule="auto"/>
      </w:pPr>
      <w:r>
        <w:separator/>
      </w:r>
    </w:p>
  </w:footnote>
  <w:footnote w:type="continuationSeparator" w:id="0">
    <w:p w:rsidR="00DF2CE5" w:rsidRDefault="00DF2CE5" w:rsidP="000F7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3C4" w:rsidRDefault="00DC6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3C4" w:rsidRDefault="00DC63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3C4" w:rsidRDefault="00DC6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6BA5"/>
    <w:multiLevelType w:val="multilevel"/>
    <w:tmpl w:val="2FAA1C62"/>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978556B"/>
    <w:multiLevelType w:val="hybridMultilevel"/>
    <w:tmpl w:val="7570E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FB5A70"/>
    <w:multiLevelType w:val="hybridMultilevel"/>
    <w:tmpl w:val="6F1E3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1F36C3"/>
    <w:multiLevelType w:val="hybridMultilevel"/>
    <w:tmpl w:val="12CA192A"/>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6461458"/>
    <w:multiLevelType w:val="hybridMultilevel"/>
    <w:tmpl w:val="6DFCD69E"/>
    <w:lvl w:ilvl="0" w:tplc="836C6DCA">
      <w:start w:val="1"/>
      <w:numFmt w:val="bullet"/>
      <w:pStyle w:val="Asubparabullet"/>
      <w:lvlText w:val=""/>
      <w:lvlJc w:val="left"/>
      <w:pPr>
        <w:tabs>
          <w:tab w:val="num" w:pos="400"/>
        </w:tabs>
        <w:ind w:left="400" w:hanging="400"/>
      </w:pPr>
      <w:rPr>
        <w:rFonts w:ascii="Symbol" w:hAnsi="Symbol" w:hint="default"/>
        <w:color w:val="auto"/>
        <w:sz w:val="20"/>
      </w:rPr>
    </w:lvl>
    <w:lvl w:ilvl="1" w:tplc="0C090003" w:tentative="1">
      <w:start w:val="1"/>
      <w:numFmt w:val="bullet"/>
      <w:lvlText w:val="o"/>
      <w:lvlJc w:val="left"/>
      <w:pPr>
        <w:tabs>
          <w:tab w:val="num" w:pos="-700"/>
        </w:tabs>
        <w:ind w:left="-700" w:hanging="360"/>
      </w:pPr>
      <w:rPr>
        <w:rFonts w:ascii="Courier New" w:hAnsi="Courier New" w:hint="default"/>
      </w:rPr>
    </w:lvl>
    <w:lvl w:ilvl="2" w:tplc="0C090005" w:tentative="1">
      <w:start w:val="1"/>
      <w:numFmt w:val="bullet"/>
      <w:lvlText w:val=""/>
      <w:lvlJc w:val="left"/>
      <w:pPr>
        <w:tabs>
          <w:tab w:val="num" w:pos="20"/>
        </w:tabs>
        <w:ind w:left="20" w:hanging="360"/>
      </w:pPr>
      <w:rPr>
        <w:rFonts w:ascii="Wingdings" w:hAnsi="Wingdings" w:hint="default"/>
      </w:rPr>
    </w:lvl>
    <w:lvl w:ilvl="3" w:tplc="0C090001" w:tentative="1">
      <w:start w:val="1"/>
      <w:numFmt w:val="bullet"/>
      <w:lvlText w:val=""/>
      <w:lvlJc w:val="left"/>
      <w:pPr>
        <w:tabs>
          <w:tab w:val="num" w:pos="740"/>
        </w:tabs>
        <w:ind w:left="740" w:hanging="360"/>
      </w:pPr>
      <w:rPr>
        <w:rFonts w:ascii="Symbol" w:hAnsi="Symbol" w:hint="default"/>
      </w:rPr>
    </w:lvl>
    <w:lvl w:ilvl="4" w:tplc="0C090003" w:tentative="1">
      <w:start w:val="1"/>
      <w:numFmt w:val="bullet"/>
      <w:lvlText w:val="o"/>
      <w:lvlJc w:val="left"/>
      <w:pPr>
        <w:tabs>
          <w:tab w:val="num" w:pos="1460"/>
        </w:tabs>
        <w:ind w:left="1460" w:hanging="360"/>
      </w:pPr>
      <w:rPr>
        <w:rFonts w:ascii="Courier New" w:hAnsi="Courier New" w:hint="default"/>
      </w:rPr>
    </w:lvl>
    <w:lvl w:ilvl="5" w:tplc="0C090005" w:tentative="1">
      <w:start w:val="1"/>
      <w:numFmt w:val="bullet"/>
      <w:lvlText w:val=""/>
      <w:lvlJc w:val="left"/>
      <w:pPr>
        <w:tabs>
          <w:tab w:val="num" w:pos="2180"/>
        </w:tabs>
        <w:ind w:left="2180" w:hanging="360"/>
      </w:pPr>
      <w:rPr>
        <w:rFonts w:ascii="Wingdings" w:hAnsi="Wingdings" w:hint="default"/>
      </w:rPr>
    </w:lvl>
    <w:lvl w:ilvl="6" w:tplc="0C090001" w:tentative="1">
      <w:start w:val="1"/>
      <w:numFmt w:val="bullet"/>
      <w:lvlText w:val=""/>
      <w:lvlJc w:val="left"/>
      <w:pPr>
        <w:tabs>
          <w:tab w:val="num" w:pos="2900"/>
        </w:tabs>
        <w:ind w:left="2900" w:hanging="360"/>
      </w:pPr>
      <w:rPr>
        <w:rFonts w:ascii="Symbol" w:hAnsi="Symbol" w:hint="default"/>
      </w:rPr>
    </w:lvl>
    <w:lvl w:ilvl="7" w:tplc="0C090003" w:tentative="1">
      <w:start w:val="1"/>
      <w:numFmt w:val="bullet"/>
      <w:lvlText w:val="o"/>
      <w:lvlJc w:val="left"/>
      <w:pPr>
        <w:tabs>
          <w:tab w:val="num" w:pos="3620"/>
        </w:tabs>
        <w:ind w:left="3620" w:hanging="360"/>
      </w:pPr>
      <w:rPr>
        <w:rFonts w:ascii="Courier New" w:hAnsi="Courier New" w:hint="default"/>
      </w:rPr>
    </w:lvl>
    <w:lvl w:ilvl="8" w:tplc="0C090005" w:tentative="1">
      <w:start w:val="1"/>
      <w:numFmt w:val="bullet"/>
      <w:lvlText w:val=""/>
      <w:lvlJc w:val="left"/>
      <w:pPr>
        <w:tabs>
          <w:tab w:val="num" w:pos="4340"/>
        </w:tabs>
        <w:ind w:left="4340" w:hanging="360"/>
      </w:pPr>
      <w:rPr>
        <w:rFonts w:ascii="Wingdings" w:hAnsi="Wingdings" w:hint="default"/>
      </w:rPr>
    </w:lvl>
  </w:abstractNum>
  <w:abstractNum w:abstractNumId="5" w15:restartNumberingAfterBreak="0">
    <w:nsid w:val="2C416A06"/>
    <w:multiLevelType w:val="hybridMultilevel"/>
    <w:tmpl w:val="6492AE86"/>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A854CB"/>
    <w:multiLevelType w:val="hybridMultilevel"/>
    <w:tmpl w:val="56BE371A"/>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5B6E8E"/>
    <w:multiLevelType w:val="multilevel"/>
    <w:tmpl w:val="9DB256AC"/>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1620"/>
        </w:tabs>
        <w:ind w:left="1620" w:hanging="360"/>
      </w:pPr>
      <w:rPr>
        <w:rFonts w:cs="Times New Roman" w:hint="default"/>
      </w:rPr>
    </w:lvl>
    <w:lvl w:ilvl="2">
      <w:start w:val="1"/>
      <w:numFmt w:val="lowerRoman"/>
      <w:lvlText w:val="%3)"/>
      <w:lvlJc w:val="left"/>
      <w:pPr>
        <w:tabs>
          <w:tab w:val="num" w:pos="1980"/>
        </w:tabs>
        <w:ind w:left="1980" w:hanging="360"/>
      </w:pPr>
      <w:rPr>
        <w:rFonts w:cs="Times New Roman"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2700"/>
        </w:tabs>
        <w:ind w:left="270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8" w15:restartNumberingAfterBreak="0">
    <w:nsid w:val="40EE2FC8"/>
    <w:multiLevelType w:val="hybridMultilevel"/>
    <w:tmpl w:val="75F83DA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9E26F3"/>
    <w:multiLevelType w:val="hybridMultilevel"/>
    <w:tmpl w:val="E75E8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A91378"/>
    <w:multiLevelType w:val="hybridMultilevel"/>
    <w:tmpl w:val="525CE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9B5C71"/>
    <w:multiLevelType w:val="hybridMultilevel"/>
    <w:tmpl w:val="F7C49F7C"/>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5D95728D"/>
    <w:multiLevelType w:val="multilevel"/>
    <w:tmpl w:val="54549D3A"/>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6DAE002F"/>
    <w:multiLevelType w:val="hybridMultilevel"/>
    <w:tmpl w:val="8298A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0D41CB"/>
    <w:multiLevelType w:val="hybridMultilevel"/>
    <w:tmpl w:val="8E2A8D2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
  </w:num>
  <w:num w:numId="4">
    <w:abstractNumId w:val="7"/>
  </w:num>
  <w:num w:numId="5">
    <w:abstractNumId w:val="1"/>
  </w:num>
  <w:num w:numId="6">
    <w:abstractNumId w:val="9"/>
  </w:num>
  <w:num w:numId="7">
    <w:abstractNumId w:val="14"/>
  </w:num>
  <w:num w:numId="8">
    <w:abstractNumId w:val="6"/>
  </w:num>
  <w:num w:numId="9">
    <w:abstractNumId w:val="13"/>
  </w:num>
  <w:num w:numId="10">
    <w:abstractNumId w:val="8"/>
  </w:num>
  <w:num w:numId="11">
    <w:abstractNumId w:val="5"/>
  </w:num>
  <w:num w:numId="12">
    <w:abstractNumId w:val="4"/>
  </w:num>
  <w:num w:numId="13">
    <w:abstractNumId w:val="10"/>
  </w:num>
  <w:num w:numId="14">
    <w:abstractNumId w:val="3"/>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92"/>
    <w:rsid w:val="00037856"/>
    <w:rsid w:val="00046EC1"/>
    <w:rsid w:val="000538F3"/>
    <w:rsid w:val="00061FA4"/>
    <w:rsid w:val="000A057A"/>
    <w:rsid w:val="000B5A47"/>
    <w:rsid w:val="000F1CC7"/>
    <w:rsid w:val="000F766B"/>
    <w:rsid w:val="00127774"/>
    <w:rsid w:val="00185CF2"/>
    <w:rsid w:val="00212E62"/>
    <w:rsid w:val="00216C2C"/>
    <w:rsid w:val="00271FE3"/>
    <w:rsid w:val="00272AB6"/>
    <w:rsid w:val="00292BC1"/>
    <w:rsid w:val="002E055E"/>
    <w:rsid w:val="00314A8E"/>
    <w:rsid w:val="00317231"/>
    <w:rsid w:val="003F6D7C"/>
    <w:rsid w:val="0043601F"/>
    <w:rsid w:val="0045607C"/>
    <w:rsid w:val="00465049"/>
    <w:rsid w:val="00471AA5"/>
    <w:rsid w:val="0047776D"/>
    <w:rsid w:val="004C3ABE"/>
    <w:rsid w:val="005C21AD"/>
    <w:rsid w:val="00630322"/>
    <w:rsid w:val="0064056C"/>
    <w:rsid w:val="0065689B"/>
    <w:rsid w:val="00660BAD"/>
    <w:rsid w:val="006623DB"/>
    <w:rsid w:val="006F0F84"/>
    <w:rsid w:val="00730BE4"/>
    <w:rsid w:val="00762260"/>
    <w:rsid w:val="007C2E8C"/>
    <w:rsid w:val="007D4F25"/>
    <w:rsid w:val="0082486B"/>
    <w:rsid w:val="008400CE"/>
    <w:rsid w:val="008C6492"/>
    <w:rsid w:val="009550B3"/>
    <w:rsid w:val="00972C5E"/>
    <w:rsid w:val="0097643B"/>
    <w:rsid w:val="00986399"/>
    <w:rsid w:val="009B444B"/>
    <w:rsid w:val="009B4B21"/>
    <w:rsid w:val="009E48C9"/>
    <w:rsid w:val="009F1A05"/>
    <w:rsid w:val="00A64A08"/>
    <w:rsid w:val="00A71E92"/>
    <w:rsid w:val="00AC170A"/>
    <w:rsid w:val="00AE3E7D"/>
    <w:rsid w:val="00B34917"/>
    <w:rsid w:val="00B409C4"/>
    <w:rsid w:val="00B655D6"/>
    <w:rsid w:val="00B72FBB"/>
    <w:rsid w:val="00BE0EFB"/>
    <w:rsid w:val="00BF49E7"/>
    <w:rsid w:val="00CA7813"/>
    <w:rsid w:val="00CC4F73"/>
    <w:rsid w:val="00D119FB"/>
    <w:rsid w:val="00D25AE1"/>
    <w:rsid w:val="00D404B4"/>
    <w:rsid w:val="00DC30EB"/>
    <w:rsid w:val="00DC63C4"/>
    <w:rsid w:val="00DE4F8C"/>
    <w:rsid w:val="00DF2CE5"/>
    <w:rsid w:val="00E51A31"/>
    <w:rsid w:val="00E52440"/>
    <w:rsid w:val="00E740EF"/>
    <w:rsid w:val="00EE54F6"/>
    <w:rsid w:val="00F139E7"/>
    <w:rsid w:val="00F77AA7"/>
    <w:rsid w:val="00FC6A92"/>
    <w:rsid w:val="00FD1108"/>
    <w:rsid w:val="00FE0E02"/>
    <w:rsid w:val="00FF02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CA3774-DE55-4F86-B95B-73F4ED77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6492"/>
    <w:rPr>
      <w:rFonts w:eastAsia="Times New Roman" w:cs="Times New Roman"/>
    </w:rPr>
  </w:style>
  <w:style w:type="paragraph" w:styleId="Heading6">
    <w:name w:val="heading 6"/>
    <w:basedOn w:val="Normal"/>
    <w:next w:val="Normal"/>
    <w:link w:val="Heading6Char"/>
    <w:uiPriority w:val="99"/>
    <w:qFormat/>
    <w:rsid w:val="00465049"/>
    <w:pPr>
      <w:keepNext/>
      <w:spacing w:after="0" w:line="240" w:lineRule="auto"/>
      <w:outlineLvl w:val="5"/>
    </w:pPr>
    <w:rPr>
      <w:rFonts w:ascii="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F766B"/>
    <w:pPr>
      <w:widowControl w:val="0"/>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semiHidden/>
    <w:rsid w:val="000F766B"/>
    <w:rPr>
      <w:rFonts w:ascii="Times New Roman" w:eastAsia="Times New Roman" w:hAnsi="Times New Roman" w:cs="Times New Roman"/>
      <w:sz w:val="20"/>
      <w:szCs w:val="20"/>
      <w:lang w:val="en-GB"/>
    </w:rPr>
  </w:style>
  <w:style w:type="character" w:styleId="FootnoteReference">
    <w:name w:val="footnote reference"/>
    <w:basedOn w:val="DefaultParagraphFont"/>
    <w:semiHidden/>
    <w:unhideWhenUsed/>
    <w:rsid w:val="000F766B"/>
    <w:rPr>
      <w:vertAlign w:val="superscript"/>
    </w:r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BE0EFB"/>
    <w:pPr>
      <w:spacing w:after="0" w:line="240" w:lineRule="auto"/>
      <w:ind w:left="720"/>
    </w:pPr>
    <w:rPr>
      <w:rFonts w:ascii="Times New Roman" w:hAnsi="Times New Roman"/>
      <w:sz w:val="24"/>
      <w:szCs w:val="24"/>
      <w:lang w:eastAsia="en-AU"/>
    </w:rPr>
  </w:style>
  <w:style w:type="paragraph" w:customStyle="1" w:styleId="InstructionalText">
    <w:name w:val="Instructional Text"/>
    <w:basedOn w:val="Normal"/>
    <w:link w:val="InstructionalTextChar"/>
    <w:qFormat/>
    <w:rsid w:val="000B5A47"/>
    <w:pPr>
      <w:spacing w:before="40" w:after="100" w:line="240" w:lineRule="auto"/>
    </w:pPr>
    <w:rPr>
      <w:rFonts w:ascii="Calibri" w:hAnsi="Calibri"/>
      <w:color w:val="2E74B5" w:themeColor="accent1" w:themeShade="BF"/>
      <w:szCs w:val="20"/>
    </w:rPr>
  </w:style>
  <w:style w:type="character" w:customStyle="1" w:styleId="InstructionalTextChar">
    <w:name w:val="Instructional Text Char"/>
    <w:basedOn w:val="DefaultParagraphFont"/>
    <w:link w:val="InstructionalText"/>
    <w:rsid w:val="000B5A47"/>
    <w:rPr>
      <w:rFonts w:ascii="Calibri" w:eastAsia="Times New Roman" w:hAnsi="Calibri" w:cs="Times New Roman"/>
      <w:color w:val="2E74B5" w:themeColor="accent1" w:themeShade="BF"/>
      <w:szCs w:val="20"/>
    </w:rPr>
  </w:style>
  <w:style w:type="character" w:customStyle="1" w:styleId="Heading6Char">
    <w:name w:val="Heading 6 Char"/>
    <w:basedOn w:val="DefaultParagraphFont"/>
    <w:link w:val="Heading6"/>
    <w:uiPriority w:val="99"/>
    <w:rsid w:val="00465049"/>
    <w:rPr>
      <w:rFonts w:ascii="Times New Roman" w:eastAsia="Times New Roman" w:hAnsi="Times New Roman" w:cs="Times New Roman"/>
      <w:b/>
      <w:bCs/>
      <w:sz w:val="24"/>
      <w:szCs w:val="24"/>
      <w:lang w:val="en-US"/>
    </w:rPr>
  </w:style>
  <w:style w:type="paragraph" w:customStyle="1" w:styleId="Asubparabullet">
    <w:name w:val="A subpara bullet"/>
    <w:basedOn w:val="Normal"/>
    <w:uiPriority w:val="99"/>
    <w:rsid w:val="00465049"/>
    <w:pPr>
      <w:widowControl w:val="0"/>
      <w:numPr>
        <w:numId w:val="12"/>
      </w:numPr>
      <w:spacing w:after="0" w:line="240" w:lineRule="auto"/>
    </w:pPr>
    <w:rPr>
      <w:rFonts w:ascii="Arial" w:hAnsi="Arial"/>
      <w:sz w:val="24"/>
      <w:szCs w:val="20"/>
      <w:lang w:val="en-US"/>
    </w:rPr>
  </w:style>
  <w:style w:type="paragraph" w:styleId="BodyTextIndent">
    <w:name w:val="Body Text Indent"/>
    <w:basedOn w:val="Normal"/>
    <w:link w:val="BodyTextIndentChar"/>
    <w:uiPriority w:val="99"/>
    <w:rsid w:val="00465049"/>
    <w:pPr>
      <w:spacing w:after="0" w:line="240" w:lineRule="auto"/>
    </w:pPr>
    <w:rPr>
      <w:rFonts w:ascii="Times New Roman" w:hAnsi="Times New Roman"/>
      <w:b/>
      <w:bCs/>
      <w:sz w:val="24"/>
      <w:szCs w:val="24"/>
    </w:rPr>
  </w:style>
  <w:style w:type="character" w:customStyle="1" w:styleId="BodyTextIndentChar">
    <w:name w:val="Body Text Indent Char"/>
    <w:basedOn w:val="DefaultParagraphFont"/>
    <w:link w:val="BodyTextIndent"/>
    <w:uiPriority w:val="99"/>
    <w:rsid w:val="00465049"/>
    <w:rPr>
      <w:rFonts w:ascii="Times New Roman" w:eastAsia="Times New Roman" w:hAnsi="Times New Roman" w:cs="Times New Roman"/>
      <w:b/>
      <w:bCs/>
      <w:sz w:val="24"/>
      <w:szCs w:val="24"/>
    </w:rPr>
  </w:style>
  <w:style w:type="paragraph" w:styleId="Header">
    <w:name w:val="header"/>
    <w:basedOn w:val="Normal"/>
    <w:link w:val="HeaderChar"/>
    <w:uiPriority w:val="99"/>
    <w:rsid w:val="000A057A"/>
    <w:pPr>
      <w:widowControl w:val="0"/>
      <w:tabs>
        <w:tab w:val="center" w:pos="4153"/>
        <w:tab w:val="right" w:pos="8306"/>
      </w:tabs>
      <w:spacing w:after="0" w:line="240" w:lineRule="auto"/>
    </w:pPr>
    <w:rPr>
      <w:rFonts w:ascii="Times New Roman" w:hAnsi="Times New Roman"/>
      <w:sz w:val="24"/>
      <w:szCs w:val="24"/>
      <w:lang w:val="en-US"/>
    </w:rPr>
  </w:style>
  <w:style w:type="character" w:customStyle="1" w:styleId="HeaderChar">
    <w:name w:val="Header Char"/>
    <w:basedOn w:val="DefaultParagraphFont"/>
    <w:link w:val="Header"/>
    <w:uiPriority w:val="99"/>
    <w:rsid w:val="000A057A"/>
    <w:rPr>
      <w:rFonts w:ascii="Times New Roman" w:eastAsia="Times New Roman" w:hAnsi="Times New Roman" w:cs="Times New Roman"/>
      <w:sz w:val="24"/>
      <w:szCs w:val="24"/>
      <w:lang w:val="en-US"/>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locked/>
    <w:rsid w:val="0043601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DC6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3C4"/>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480828">
      <w:bodyDiv w:val="1"/>
      <w:marLeft w:val="0"/>
      <w:marRight w:val="0"/>
      <w:marTop w:val="0"/>
      <w:marBottom w:val="0"/>
      <w:divBdr>
        <w:top w:val="none" w:sz="0" w:space="0" w:color="auto"/>
        <w:left w:val="none" w:sz="0" w:space="0" w:color="auto"/>
        <w:bottom w:val="none" w:sz="0" w:space="0" w:color="auto"/>
        <w:right w:val="none" w:sz="0" w:space="0" w:color="auto"/>
      </w:divBdr>
    </w:div>
    <w:div w:id="691996866">
      <w:bodyDiv w:val="1"/>
      <w:marLeft w:val="0"/>
      <w:marRight w:val="0"/>
      <w:marTop w:val="0"/>
      <w:marBottom w:val="0"/>
      <w:divBdr>
        <w:top w:val="none" w:sz="0" w:space="0" w:color="auto"/>
        <w:left w:val="none" w:sz="0" w:space="0" w:color="auto"/>
        <w:bottom w:val="none" w:sz="0" w:space="0" w:color="auto"/>
        <w:right w:val="none" w:sz="0" w:space="0" w:color="auto"/>
      </w:divBdr>
      <w:divsChild>
        <w:div w:id="656029704">
          <w:marLeft w:val="0"/>
          <w:marRight w:val="0"/>
          <w:marTop w:val="0"/>
          <w:marBottom w:val="0"/>
          <w:divBdr>
            <w:top w:val="none" w:sz="0" w:space="0" w:color="auto"/>
            <w:left w:val="none" w:sz="0" w:space="0" w:color="auto"/>
            <w:bottom w:val="none" w:sz="0" w:space="0" w:color="auto"/>
            <w:right w:val="none" w:sz="0" w:space="0" w:color="auto"/>
          </w:divBdr>
          <w:divsChild>
            <w:div w:id="1170482777">
              <w:marLeft w:val="0"/>
              <w:marRight w:val="0"/>
              <w:marTop w:val="0"/>
              <w:marBottom w:val="0"/>
              <w:divBdr>
                <w:top w:val="none" w:sz="0" w:space="0" w:color="auto"/>
                <w:left w:val="none" w:sz="0" w:space="0" w:color="auto"/>
                <w:bottom w:val="none" w:sz="0" w:space="0" w:color="auto"/>
                <w:right w:val="none" w:sz="0" w:space="0" w:color="auto"/>
              </w:divBdr>
              <w:divsChild>
                <w:div w:id="739444475">
                  <w:marLeft w:val="0"/>
                  <w:marRight w:val="0"/>
                  <w:marTop w:val="0"/>
                  <w:marBottom w:val="0"/>
                  <w:divBdr>
                    <w:top w:val="none" w:sz="0" w:space="0" w:color="auto"/>
                    <w:left w:val="none" w:sz="0" w:space="0" w:color="auto"/>
                    <w:bottom w:val="none" w:sz="0" w:space="0" w:color="auto"/>
                    <w:right w:val="none" w:sz="0" w:space="0" w:color="auto"/>
                  </w:divBdr>
                  <w:divsChild>
                    <w:div w:id="1199004119">
                      <w:marLeft w:val="0"/>
                      <w:marRight w:val="0"/>
                      <w:marTop w:val="0"/>
                      <w:marBottom w:val="0"/>
                      <w:divBdr>
                        <w:top w:val="none" w:sz="0" w:space="0" w:color="auto"/>
                        <w:left w:val="none" w:sz="0" w:space="0" w:color="auto"/>
                        <w:bottom w:val="none" w:sz="0" w:space="0" w:color="auto"/>
                        <w:right w:val="none" w:sz="0" w:space="0" w:color="auto"/>
                      </w:divBdr>
                      <w:divsChild>
                        <w:div w:id="733159545">
                          <w:marLeft w:val="0"/>
                          <w:marRight w:val="0"/>
                          <w:marTop w:val="15"/>
                          <w:marBottom w:val="0"/>
                          <w:divBdr>
                            <w:top w:val="none" w:sz="0" w:space="0" w:color="auto"/>
                            <w:left w:val="none" w:sz="0" w:space="0" w:color="auto"/>
                            <w:bottom w:val="none" w:sz="0" w:space="0" w:color="auto"/>
                            <w:right w:val="none" w:sz="0" w:space="0" w:color="auto"/>
                          </w:divBdr>
                          <w:divsChild>
                            <w:div w:id="5640955">
                              <w:marLeft w:val="0"/>
                              <w:marRight w:val="0"/>
                              <w:marTop w:val="0"/>
                              <w:marBottom w:val="0"/>
                              <w:divBdr>
                                <w:top w:val="none" w:sz="0" w:space="0" w:color="auto"/>
                                <w:left w:val="none" w:sz="0" w:space="0" w:color="auto"/>
                                <w:bottom w:val="none" w:sz="0" w:space="0" w:color="auto"/>
                                <w:right w:val="none" w:sz="0" w:space="0" w:color="auto"/>
                              </w:divBdr>
                              <w:divsChild>
                                <w:div w:id="1907296232">
                                  <w:marLeft w:val="0"/>
                                  <w:marRight w:val="0"/>
                                  <w:marTop w:val="0"/>
                                  <w:marBottom w:val="0"/>
                                  <w:divBdr>
                                    <w:top w:val="none" w:sz="0" w:space="0" w:color="auto"/>
                                    <w:left w:val="none" w:sz="0" w:space="0" w:color="auto"/>
                                    <w:bottom w:val="none" w:sz="0" w:space="0" w:color="auto"/>
                                    <w:right w:val="none" w:sz="0" w:space="0" w:color="auto"/>
                                  </w:divBdr>
                                </w:div>
                                <w:div w:id="1769041499">
                                  <w:marLeft w:val="0"/>
                                  <w:marRight w:val="0"/>
                                  <w:marTop w:val="0"/>
                                  <w:marBottom w:val="0"/>
                                  <w:divBdr>
                                    <w:top w:val="none" w:sz="0" w:space="0" w:color="auto"/>
                                    <w:left w:val="none" w:sz="0" w:space="0" w:color="auto"/>
                                    <w:bottom w:val="none" w:sz="0" w:space="0" w:color="auto"/>
                                    <w:right w:val="none" w:sz="0" w:space="0" w:color="auto"/>
                                  </w:divBdr>
                                </w:div>
                                <w:div w:id="1224222453">
                                  <w:marLeft w:val="0"/>
                                  <w:marRight w:val="0"/>
                                  <w:marTop w:val="0"/>
                                  <w:marBottom w:val="0"/>
                                  <w:divBdr>
                                    <w:top w:val="none" w:sz="0" w:space="0" w:color="auto"/>
                                    <w:left w:val="none" w:sz="0" w:space="0" w:color="auto"/>
                                    <w:bottom w:val="none" w:sz="0" w:space="0" w:color="auto"/>
                                    <w:right w:val="none" w:sz="0" w:space="0" w:color="auto"/>
                                  </w:divBdr>
                                </w:div>
                                <w:div w:id="664630543">
                                  <w:marLeft w:val="0"/>
                                  <w:marRight w:val="0"/>
                                  <w:marTop w:val="0"/>
                                  <w:marBottom w:val="0"/>
                                  <w:divBdr>
                                    <w:top w:val="none" w:sz="0" w:space="0" w:color="auto"/>
                                    <w:left w:val="none" w:sz="0" w:space="0" w:color="auto"/>
                                    <w:bottom w:val="none" w:sz="0" w:space="0" w:color="auto"/>
                                    <w:right w:val="none" w:sz="0" w:space="0" w:color="auto"/>
                                  </w:divBdr>
                                </w:div>
                                <w:div w:id="16241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2358</Characters>
  <Application>Microsoft Office Word</Application>
  <DocSecurity>0</DocSecurity>
  <Lines>49</Lines>
  <Paragraphs>26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 Supply &amp; Policy</dc:creator>
  <cp:keywords/>
  <dc:description/>
  <cp:lastModifiedBy>PCODCS</cp:lastModifiedBy>
  <cp:revision>4</cp:revision>
  <dcterms:created xsi:type="dcterms:W3CDTF">2019-08-02T02:45:00Z</dcterms:created>
  <dcterms:modified xsi:type="dcterms:W3CDTF">2019-08-02T02:45:00Z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A20486922</vt:lpwstr>
  </property>
  <property fmtid="{D5CDD505-2E9C-101B-9397-08002B2CF9AE}" pid="4" name="Objective-Title">
    <vt:lpwstr>Attachment B - Explanatory Statement - Government Agencies (Land Acquisition Reporting) Regulation 2019</vt:lpwstr>
  </property>
  <property fmtid="{D5CDD505-2E9C-101B-9397-08002B2CF9AE}" pid="5" name="Objective-Comment">
    <vt:lpwstr/>
  </property>
  <property fmtid="{D5CDD505-2E9C-101B-9397-08002B2CF9AE}" pid="6" name="Objective-CreationStamp">
    <vt:filetime>2019-07-03T01:05:59Z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2019-07-15T04:06:37Z</vt:filetime>
  </property>
  <property fmtid="{D5CDD505-2E9C-101B-9397-08002B2CF9AE}" pid="10" name="Objective-ModificationStamp">
    <vt:filetime>2019-07-15T04:06:37Z</vt:filetime>
  </property>
  <property fmtid="{D5CDD505-2E9C-101B-9397-08002B2CF9AE}" pid="11" name="Objective-Owner">
    <vt:lpwstr>Emma Liyanarachchi</vt:lpwstr>
  </property>
  <property fmtid="{D5CDD505-2E9C-101B-9397-08002B2CF9AE}" pid="12" name="Objective-Path">
    <vt:lpwstr>Whole of ACT Government:EPSDD - Environment Planning and Sustainable Development Directorate:DIVISION - Land Supply Policy:09. Programs and/or Projects:Government Agencies (Land Acquisition Reporting) Act 2018 - implementation:19/21843 Minister Brief - Si</vt:lpwstr>
  </property>
  <property fmtid="{D5CDD505-2E9C-101B-9397-08002B2CF9AE}" pid="13" name="Objective-Parent">
    <vt:lpwstr>19/21843 Minister Brief - Sign the Government Agencies (Land Acquisition Reporting) Regulation 2019</vt:lpwstr>
  </property>
  <property fmtid="{D5CDD505-2E9C-101B-9397-08002B2CF9AE}" pid="14" name="Objective-State">
    <vt:lpwstr>Published</vt:lpwstr>
  </property>
  <property fmtid="{D5CDD505-2E9C-101B-9397-08002B2CF9AE}" pid="15" name="Objective-Version">
    <vt:lpwstr>9.0</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1-2019/21843</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