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EC3C" w14:textId="77777777" w:rsidR="005D70F1" w:rsidRPr="00AC1698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C1698">
        <w:rPr>
          <w:rFonts w:ascii="Arial" w:hAnsi="Arial" w:cs="Arial"/>
        </w:rPr>
        <w:t>Australian Capital Territory</w:t>
      </w:r>
    </w:p>
    <w:p w14:paraId="19D9621C" w14:textId="6304D7F3" w:rsidR="005D70F1" w:rsidRPr="00AC1698" w:rsidRDefault="00A846CA" w:rsidP="002F1A2A">
      <w:pPr>
        <w:pStyle w:val="Heading1"/>
      </w:pPr>
      <w:r w:rsidRPr="00AC1698">
        <w:t>Road Transport</w:t>
      </w:r>
      <w:r w:rsidR="005D70F1" w:rsidRPr="00AC1698">
        <w:t xml:space="preserve"> (</w:t>
      </w:r>
      <w:r w:rsidRPr="00AC1698">
        <w:t>General</w:t>
      </w:r>
      <w:r w:rsidR="005D70F1" w:rsidRPr="00AC1698">
        <w:t xml:space="preserve">) </w:t>
      </w:r>
      <w:r w:rsidRPr="00AC1698">
        <w:t>Application of Ro</w:t>
      </w:r>
      <w:r w:rsidRPr="00BA4862">
        <w:t>ad Transport Legislation Declaration 201</w:t>
      </w:r>
      <w:r w:rsidR="00DA775B" w:rsidRPr="00BA4862">
        <w:t>9</w:t>
      </w:r>
      <w:r w:rsidR="00AE63F9" w:rsidRPr="00BA4862">
        <w:t xml:space="preserve"> (No </w:t>
      </w:r>
      <w:r w:rsidR="00F77F20">
        <w:t>9</w:t>
      </w:r>
      <w:r w:rsidR="00AE63F9" w:rsidRPr="00BA4862">
        <w:t>)</w:t>
      </w:r>
    </w:p>
    <w:p w14:paraId="43959B5F" w14:textId="0B1C3D48" w:rsidR="005D70F1" w:rsidRPr="00AC1698" w:rsidRDefault="005D70F1" w:rsidP="00507C78">
      <w:pPr>
        <w:pStyle w:val="Heading2"/>
        <w:spacing w:before="340" w:after="0"/>
      </w:pPr>
      <w:r w:rsidRPr="00AC1698">
        <w:t>Disallowable instrument DI</w:t>
      </w:r>
      <w:r w:rsidR="00A846CA" w:rsidRPr="00AC1698">
        <w:t>201</w:t>
      </w:r>
      <w:r w:rsidR="00DA775B">
        <w:t>9</w:t>
      </w:r>
      <w:r w:rsidRPr="00AC1698">
        <w:t>–</w:t>
      </w:r>
      <w:r w:rsidR="00F47637">
        <w:t>208</w:t>
      </w:r>
    </w:p>
    <w:p w14:paraId="5D766520" w14:textId="77777777" w:rsidR="005D70F1" w:rsidRPr="00AC1698" w:rsidRDefault="005D70F1" w:rsidP="00507C78">
      <w:pPr>
        <w:pStyle w:val="madeunder"/>
        <w:spacing w:before="300" w:after="0"/>
      </w:pPr>
      <w:r w:rsidRPr="00AC1698">
        <w:t xml:space="preserve">made under the  </w:t>
      </w:r>
    </w:p>
    <w:p w14:paraId="22125FC2" w14:textId="77777777" w:rsidR="005D70F1" w:rsidRPr="00AC1698" w:rsidRDefault="00A846CA" w:rsidP="00507C78">
      <w:pPr>
        <w:pStyle w:val="CoverActName"/>
        <w:spacing w:before="320" w:after="0"/>
        <w:jc w:val="left"/>
        <w:rPr>
          <w:rFonts w:cs="Arial"/>
          <w:sz w:val="20"/>
        </w:rPr>
      </w:pPr>
      <w:r w:rsidRPr="00437B7C">
        <w:rPr>
          <w:rFonts w:cs="Arial"/>
          <w:sz w:val="20"/>
        </w:rPr>
        <w:t>Road Transport (General) Act 1999</w:t>
      </w:r>
      <w:r w:rsidR="005D70F1" w:rsidRPr="00437B7C">
        <w:rPr>
          <w:rFonts w:cs="Arial"/>
          <w:sz w:val="20"/>
        </w:rPr>
        <w:t>,</w:t>
      </w:r>
      <w:r w:rsidR="00507C78">
        <w:rPr>
          <w:rFonts w:cs="Arial"/>
          <w:sz w:val="20"/>
        </w:rPr>
        <w:t xml:space="preserve"> s</w:t>
      </w:r>
      <w:r w:rsidR="00F14337">
        <w:rPr>
          <w:rFonts w:cs="Arial"/>
          <w:sz w:val="20"/>
        </w:rPr>
        <w:t>ection</w:t>
      </w:r>
      <w:r w:rsidRPr="00AC1698">
        <w:rPr>
          <w:rFonts w:cs="Arial"/>
          <w:sz w:val="20"/>
        </w:rPr>
        <w:t xml:space="preserve"> 12</w:t>
      </w:r>
      <w:r w:rsidR="005D70F1" w:rsidRPr="00AC1698">
        <w:rPr>
          <w:rFonts w:cs="Arial"/>
          <w:sz w:val="20"/>
        </w:rPr>
        <w:t xml:space="preserve"> </w:t>
      </w:r>
      <w:r w:rsidRPr="00AC1698">
        <w:rPr>
          <w:rFonts w:cs="Arial"/>
          <w:sz w:val="20"/>
        </w:rPr>
        <w:t>(Power to include or exclude areas in road transport legislation)</w:t>
      </w:r>
    </w:p>
    <w:p w14:paraId="35F054DE" w14:textId="77777777" w:rsidR="005D70F1" w:rsidRPr="00AC1698" w:rsidRDefault="005D70F1" w:rsidP="00507C78">
      <w:pPr>
        <w:pStyle w:val="Heading3"/>
        <w:ind w:right="567"/>
      </w:pPr>
      <w:r w:rsidRPr="00AC1698">
        <w:t>EXPLANATORY STATEMENT</w:t>
      </w:r>
    </w:p>
    <w:p w14:paraId="5FF495BF" w14:textId="77777777" w:rsidR="005D70F1" w:rsidRPr="00AC1698" w:rsidRDefault="005D70F1">
      <w:pPr>
        <w:pStyle w:val="N-line3"/>
        <w:pBdr>
          <w:bottom w:val="none" w:sz="0" w:space="0" w:color="auto"/>
        </w:pBdr>
      </w:pPr>
    </w:p>
    <w:p w14:paraId="4521BD11" w14:textId="77777777" w:rsidR="005D70F1" w:rsidRPr="00AC1698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A5F189B" w14:textId="77777777" w:rsidR="001562B3" w:rsidRDefault="001562B3" w:rsidP="001562B3">
      <w:r w:rsidRPr="00AC1698">
        <w:t>Section 12</w:t>
      </w:r>
      <w:r>
        <w:t xml:space="preserve"> </w:t>
      </w:r>
      <w:r w:rsidRPr="00AC1698">
        <w:t>(1)</w:t>
      </w:r>
      <w:r>
        <w:t xml:space="preserve"> </w:t>
      </w:r>
      <w:r w:rsidRPr="00AC1698">
        <w:t xml:space="preserve">(b) of the </w:t>
      </w:r>
      <w:r w:rsidRPr="00AC1698">
        <w:rPr>
          <w:i/>
        </w:rPr>
        <w:t>Road Transport (General) Act 1999</w:t>
      </w:r>
      <w:r w:rsidRPr="00AC1698">
        <w:t xml:space="preserve"> (the Act) empowers the Minister to declare that a provision of the road transport legislation does not apply to a road or road related area. Section 12</w:t>
      </w:r>
      <w:r>
        <w:t xml:space="preserve"> </w:t>
      </w:r>
      <w:r w:rsidRPr="00AC1698">
        <w:t>(3) of the Act makes such a declaration a disallowable instrument.</w:t>
      </w:r>
    </w:p>
    <w:p w14:paraId="6D3FCD92" w14:textId="77777777" w:rsidR="001562B3" w:rsidRPr="00AC1698" w:rsidRDefault="001562B3" w:rsidP="001562B3"/>
    <w:p w14:paraId="43BE3D05" w14:textId="77777777" w:rsidR="001562B3" w:rsidRDefault="001562B3" w:rsidP="001562B3">
      <w:r w:rsidRPr="000A38D0">
        <w:t xml:space="preserve">Section 6 of the Act provides that road transport legislation includes the </w:t>
      </w:r>
      <w:r w:rsidRPr="000A38D0">
        <w:rPr>
          <w:i/>
        </w:rPr>
        <w:t>Road Transport (Safety and Traffic Management) Act 1999</w:t>
      </w:r>
      <w:r w:rsidRPr="000A38D0">
        <w:t xml:space="preserve">. Section 104 of the </w:t>
      </w:r>
      <w:r w:rsidRPr="006A7147">
        <w:rPr>
          <w:i/>
        </w:rPr>
        <w:t>Legislation Act 2001</w:t>
      </w:r>
      <w:r w:rsidRPr="000A38D0">
        <w:t xml:space="preserve"> states that a reference to an Act includes a reference to the statutory instruments made or in force under the Act, including any regulation. Section 33 of the </w:t>
      </w:r>
      <w:r w:rsidRPr="000A38D0">
        <w:rPr>
          <w:i/>
        </w:rPr>
        <w:t>Road Transport (Safety and Traffic Management) Act 1999</w:t>
      </w:r>
      <w:r w:rsidRPr="000A38D0">
        <w:t xml:space="preserve"> incorporates the </w:t>
      </w:r>
      <w:r w:rsidRPr="000A38D0">
        <w:rPr>
          <w:i/>
        </w:rPr>
        <w:t xml:space="preserve">Road Transport (Road Rules) Regulation 2017 </w:t>
      </w:r>
      <w:r w:rsidRPr="000A38D0">
        <w:t>which forms part of the road transport legislation.</w:t>
      </w:r>
    </w:p>
    <w:p w14:paraId="7437C0B4" w14:textId="77777777" w:rsidR="001562B3" w:rsidRPr="00AC1698" w:rsidRDefault="001562B3" w:rsidP="001562B3"/>
    <w:p w14:paraId="5CA9FACC" w14:textId="3FEE7594" w:rsidR="002D3B37" w:rsidRDefault="001562B3" w:rsidP="001562B3">
      <w:r w:rsidRPr="00D45B2F">
        <w:t xml:space="preserve">The purpose of this disallowable instrument is to suspend specific parking rules in specified parking areas to </w:t>
      </w:r>
      <w:r w:rsidR="002D3B37">
        <w:t>support the City Renewal Authority’s Dickson Experiment, a temporary placemaking activit</w:t>
      </w:r>
      <w:r w:rsidR="001D2A81">
        <w:t>y</w:t>
      </w:r>
      <w:r w:rsidR="002D3B37">
        <w:t xml:space="preserve"> in the Dickson Group Centre </w:t>
      </w:r>
      <w:r>
        <w:t>between</w:t>
      </w:r>
      <w:r w:rsidRPr="00D45B2F">
        <w:t xml:space="preserve"> September and </w:t>
      </w:r>
      <w:r w:rsidR="002D3B37">
        <w:t>November</w:t>
      </w:r>
      <w:r w:rsidRPr="00D45B2F">
        <w:t xml:space="preserve"> 2019. The areas outlined in the </w:t>
      </w:r>
      <w:r w:rsidR="00632241">
        <w:t>schedule</w:t>
      </w:r>
      <w:r w:rsidRPr="00D45B2F">
        <w:t xml:space="preserve"> are to have parking rules disapplied for the specified times to support the </w:t>
      </w:r>
      <w:r w:rsidR="002D3B37">
        <w:t>temporary installation of infrastructure, including seating, plantings and play equipment</w:t>
      </w:r>
      <w:r w:rsidRPr="00D45B2F">
        <w:t xml:space="preserve">. The effect of the declaration is to facilitate the </w:t>
      </w:r>
      <w:r w:rsidR="002D3B37">
        <w:t>Dickson Experiment</w:t>
      </w:r>
      <w:r w:rsidRPr="00D45B2F">
        <w:t xml:space="preserve"> by allowing for parking restrictions to be removed</w:t>
      </w:r>
      <w:r w:rsidR="007B2A2E">
        <w:t xml:space="preserve"> or</w:t>
      </w:r>
      <w:r w:rsidRPr="00D45B2F">
        <w:t xml:space="preserve"> </w:t>
      </w:r>
      <w:r w:rsidR="007B2A2E">
        <w:t xml:space="preserve">for </w:t>
      </w:r>
      <w:r w:rsidR="002D3B37">
        <w:t>temporary change</w:t>
      </w:r>
      <w:r w:rsidR="007B2A2E">
        <w:t>d</w:t>
      </w:r>
      <w:r w:rsidR="002D3B37">
        <w:t xml:space="preserve"> arrangements for some parking bays on Woolley Street, converting them from 1-hour pay parking to 15-minute </w:t>
      </w:r>
      <w:r w:rsidR="00786770">
        <w:t xml:space="preserve">free parking </w:t>
      </w:r>
      <w:r w:rsidR="002D3B37">
        <w:t>bays. In addition, other bays will have parking arrangements suspended as parking spaces will be closed for the space to be used for placemaking activities.</w:t>
      </w:r>
    </w:p>
    <w:p w14:paraId="3CD4A42D" w14:textId="77777777" w:rsidR="002D3B37" w:rsidRDefault="002D3B37" w:rsidP="001562B3"/>
    <w:p w14:paraId="19E8BC11" w14:textId="5F10CFF0" w:rsidR="001562B3" w:rsidRDefault="002D3B37" w:rsidP="001562B3">
      <w:r>
        <w:t>Local traffic</w:t>
      </w:r>
      <w:r w:rsidR="00F92654">
        <w:t xml:space="preserve"> </w:t>
      </w:r>
      <w:r>
        <w:t xml:space="preserve">arrangements will be managed through a </w:t>
      </w:r>
      <w:r w:rsidR="00F92654">
        <w:t>Temporary Traffic Management Plan as approved by Transport Canberra and City Services.</w:t>
      </w:r>
    </w:p>
    <w:p w14:paraId="5230AE7F" w14:textId="77777777" w:rsidR="00F92654" w:rsidRPr="00D45B2F" w:rsidRDefault="00F92654" w:rsidP="001562B3"/>
    <w:p w14:paraId="3E4D2A50" w14:textId="77777777" w:rsidR="00BA4862" w:rsidRDefault="00BA4862">
      <w:r>
        <w:br w:type="page"/>
      </w:r>
    </w:p>
    <w:p w14:paraId="51DC683E" w14:textId="0133B935" w:rsidR="00F92654" w:rsidRDefault="001562B3" w:rsidP="00F92654">
      <w:r w:rsidRPr="00AC1698">
        <w:lastRenderedPageBreak/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Further, the temporary suspension of parking rules to support </w:t>
      </w:r>
      <w:r w:rsidR="002D3B37">
        <w:t>events</w:t>
      </w:r>
      <w:r w:rsidRPr="00AC1698">
        <w:t xml:space="preserve"> events such as </w:t>
      </w:r>
      <w:r w:rsidR="002D3B37">
        <w:t xml:space="preserve">the Dickson </w:t>
      </w:r>
      <w:r w:rsidR="002504FA">
        <w:t>Experiment</w:t>
      </w:r>
      <w:r>
        <w:t xml:space="preserve"> </w:t>
      </w:r>
      <w:r w:rsidRPr="00AC1698">
        <w:t>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14:paraId="1083A9A0" w14:textId="1DBF6041" w:rsidR="00402B2B" w:rsidRPr="0017567B" w:rsidRDefault="0017567B" w:rsidP="001562B3">
      <w:pPr>
        <w:pStyle w:val="BodyText"/>
        <w:spacing w:before="240"/>
      </w:pPr>
      <w:r>
        <w:t>The Scrutiny of Bill Committee’s terms of reference requires consideration of human rights, among other matters. In this case, no human rights are impacted.</w:t>
      </w:r>
    </w:p>
    <w:p w14:paraId="260F239D" w14:textId="77777777" w:rsidR="003E7C4C" w:rsidRPr="00AC1698" w:rsidRDefault="003E7C4C" w:rsidP="002420C3"/>
    <w:p w14:paraId="2DD5F243" w14:textId="77777777" w:rsidR="00AE2AA1" w:rsidRPr="00AC1698" w:rsidRDefault="00AE2AA1" w:rsidP="002420C3">
      <w:pPr>
        <w:pStyle w:val="BodyText"/>
        <w:rPr>
          <w:b/>
        </w:rPr>
      </w:pPr>
      <w:r w:rsidRPr="00AC1698">
        <w:rPr>
          <w:b/>
        </w:rPr>
        <w:t>Outline of provisions</w:t>
      </w:r>
    </w:p>
    <w:p w14:paraId="03BBBEF9" w14:textId="7EF175F1"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</w:rPr>
        <w:t xml:space="preserve">Clause 1 </w:t>
      </w:r>
      <w:r w:rsidRPr="00AC1698">
        <w:t xml:space="preserve">names the instrument the </w:t>
      </w:r>
      <w:r w:rsidRPr="00AC1698">
        <w:rPr>
          <w:i/>
          <w:iCs/>
        </w:rPr>
        <w:t xml:space="preserve">Road Transport (General) Application of Road Transport Legislation Declaration </w:t>
      </w:r>
      <w:r w:rsidRPr="00BA4862">
        <w:rPr>
          <w:i/>
          <w:iCs/>
        </w:rPr>
        <w:t>201</w:t>
      </w:r>
      <w:r w:rsidR="00DA775B" w:rsidRPr="00BA4862">
        <w:rPr>
          <w:i/>
          <w:iCs/>
        </w:rPr>
        <w:t>9</w:t>
      </w:r>
      <w:r w:rsidRPr="00BA4862">
        <w:rPr>
          <w:i/>
          <w:iCs/>
        </w:rPr>
        <w:t xml:space="preserve"> </w:t>
      </w:r>
      <w:r w:rsidR="00AE63F9" w:rsidRPr="00BA4862">
        <w:rPr>
          <w:i/>
          <w:iCs/>
        </w:rPr>
        <w:t xml:space="preserve">(No </w:t>
      </w:r>
      <w:r w:rsidR="001D2A81">
        <w:rPr>
          <w:i/>
          <w:iCs/>
        </w:rPr>
        <w:t>x</w:t>
      </w:r>
      <w:r w:rsidR="00AE63F9" w:rsidRPr="00BA4862">
        <w:rPr>
          <w:i/>
          <w:iCs/>
        </w:rPr>
        <w:t>)</w:t>
      </w:r>
    </w:p>
    <w:p w14:paraId="549A06A3" w14:textId="77777777"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  <w:iCs/>
        </w:rPr>
        <w:t>Clause</w:t>
      </w:r>
      <w:r w:rsidRPr="00AC1698">
        <w:rPr>
          <w:b/>
        </w:rPr>
        <w:t xml:space="preserve"> 2</w:t>
      </w:r>
      <w:r w:rsidRPr="00AC1698">
        <w:t xml:space="preserve"> </w:t>
      </w:r>
      <w:r w:rsidR="00D45B2F">
        <w:t>states when</w:t>
      </w:r>
      <w:r w:rsidRPr="00AC1698">
        <w:t xml:space="preserve"> the instrument commences</w:t>
      </w:r>
      <w:r w:rsidR="00397C84" w:rsidRPr="00AC1698">
        <w:t>.</w:t>
      </w:r>
    </w:p>
    <w:p w14:paraId="33FD6D30" w14:textId="77777777" w:rsidR="00AE2AA1" w:rsidRPr="00AC1698" w:rsidRDefault="00AE2AA1" w:rsidP="002420C3">
      <w:pPr>
        <w:pStyle w:val="BodyText"/>
      </w:pPr>
      <w:r w:rsidRPr="00AC1698">
        <w:rPr>
          <w:b/>
        </w:rPr>
        <w:t>Clause 3</w:t>
      </w:r>
      <w:r w:rsidRPr="00AC1698">
        <w:t xml:space="preserve"> </w:t>
      </w:r>
      <w:r w:rsidR="00F14337" w:rsidRPr="00AC1698">
        <w:t>d</w:t>
      </w:r>
      <w:r w:rsidR="00F14337">
        <w:t>eclares</w:t>
      </w:r>
      <w:r w:rsidR="00F14337" w:rsidRPr="00AC1698">
        <w:t xml:space="preserve"> </w:t>
      </w:r>
      <w:r w:rsidR="00B2479C" w:rsidRPr="00AC1698">
        <w:t xml:space="preserve">a number of sections of the </w:t>
      </w:r>
      <w:r w:rsidR="00397C84" w:rsidRPr="00AC1698">
        <w:rPr>
          <w:i/>
        </w:rPr>
        <w:t>Road Transport (Road Rules) Regulation 2017</w:t>
      </w:r>
      <w:r w:rsidR="00F14337">
        <w:t xml:space="preserve"> do not apply </w:t>
      </w:r>
      <w:r w:rsidR="008435B0">
        <w:t>to</w:t>
      </w:r>
      <w:r w:rsidR="00F14337">
        <w:t xml:space="preserve"> the </w:t>
      </w:r>
      <w:r w:rsidR="00B2479C" w:rsidRPr="00AC1698">
        <w:t>areas identified in the schedule</w:t>
      </w:r>
      <w:r w:rsidR="00DA775B">
        <w:t>s</w:t>
      </w:r>
      <w:r w:rsidR="00F14337">
        <w:t xml:space="preserve"> to the instrument</w:t>
      </w:r>
      <w:r w:rsidR="00B2479C" w:rsidRPr="00AC1698">
        <w:t xml:space="preserve">. </w:t>
      </w:r>
    </w:p>
    <w:p w14:paraId="1C529957" w14:textId="554F8FE6" w:rsidR="00571254" w:rsidRPr="00571254" w:rsidRDefault="00571254" w:rsidP="008435B0">
      <w:pPr>
        <w:spacing w:before="60" w:after="120"/>
      </w:pPr>
      <w:r>
        <w:rPr>
          <w:b/>
        </w:rPr>
        <w:t xml:space="preserve">Clause 4 </w:t>
      </w:r>
      <w:r>
        <w:t>specifies the time period</w:t>
      </w:r>
      <w:r w:rsidR="00DD0350">
        <w:t>s</w:t>
      </w:r>
      <w:r>
        <w:t xml:space="preserve"> when clause 3 has effect.</w:t>
      </w:r>
    </w:p>
    <w:p w14:paraId="27D15C59" w14:textId="17A29846" w:rsidR="00AC1698" w:rsidRPr="00AC1698" w:rsidRDefault="00AE2AA1" w:rsidP="008435B0">
      <w:pPr>
        <w:spacing w:before="60" w:after="120"/>
      </w:pPr>
      <w:r w:rsidRPr="00AC1698">
        <w:rPr>
          <w:b/>
        </w:rPr>
        <w:t xml:space="preserve">Clause </w:t>
      </w:r>
      <w:r w:rsidR="00571254">
        <w:rPr>
          <w:b/>
        </w:rPr>
        <w:t>5</w:t>
      </w:r>
      <w:r w:rsidR="00571254" w:rsidRPr="00AC1698">
        <w:t xml:space="preserve"> </w:t>
      </w:r>
      <w:r w:rsidRPr="00AC1698">
        <w:t xml:space="preserve">provides that the </w:t>
      </w:r>
      <w:r w:rsidR="00571254">
        <w:t>instrument</w:t>
      </w:r>
      <w:r w:rsidR="00571254" w:rsidRPr="00AC1698">
        <w:t xml:space="preserve"> </w:t>
      </w:r>
      <w:r w:rsidRPr="00D45B2F">
        <w:t xml:space="preserve">expires on </w:t>
      </w:r>
      <w:r w:rsidR="00D45B2F" w:rsidRPr="00D45B2F">
        <w:t>1</w:t>
      </w:r>
      <w:r w:rsidR="002D3B37">
        <w:t>2 November</w:t>
      </w:r>
      <w:r w:rsidR="00D45B2F" w:rsidRPr="00D45B2F">
        <w:t xml:space="preserve"> </w:t>
      </w:r>
      <w:r w:rsidR="003E7C4C" w:rsidRPr="00D45B2F">
        <w:t>2019</w:t>
      </w:r>
      <w:r w:rsidRPr="00D45B2F">
        <w:t>.</w:t>
      </w:r>
    </w:p>
    <w:p w14:paraId="25D08F96" w14:textId="77777777" w:rsidR="00AE2AA1" w:rsidRDefault="00AE2AA1"/>
    <w:sectPr w:rsidR="00AE2AA1" w:rsidSect="0040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65" w:right="1800" w:bottom="1440" w:left="18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E204C" w14:textId="77777777" w:rsidR="0089631A" w:rsidRDefault="0089631A">
      <w:r>
        <w:separator/>
      </w:r>
    </w:p>
  </w:endnote>
  <w:endnote w:type="continuationSeparator" w:id="0">
    <w:p w14:paraId="3208AAB0" w14:textId="77777777" w:rsidR="0089631A" w:rsidRDefault="0089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1F19" w14:textId="77777777" w:rsidR="005B1138" w:rsidRDefault="005B1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876F7" w14:textId="7B330DB4" w:rsidR="005B1138" w:rsidRPr="005B1138" w:rsidRDefault="005B1138" w:rsidP="005B1138">
    <w:pPr>
      <w:pStyle w:val="Footer"/>
      <w:jc w:val="center"/>
      <w:rPr>
        <w:rFonts w:cs="Arial"/>
        <w:sz w:val="14"/>
      </w:rPr>
    </w:pPr>
    <w:r w:rsidRPr="005B11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0D53" w14:textId="77777777" w:rsidR="005B1138" w:rsidRDefault="005B1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87B5" w14:textId="77777777" w:rsidR="0089631A" w:rsidRDefault="0089631A">
      <w:r>
        <w:separator/>
      </w:r>
    </w:p>
  </w:footnote>
  <w:footnote w:type="continuationSeparator" w:id="0">
    <w:p w14:paraId="716242BE" w14:textId="77777777" w:rsidR="0089631A" w:rsidRDefault="0089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A7E1" w14:textId="77777777" w:rsidR="005B1138" w:rsidRDefault="005B1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E876" w14:textId="77777777" w:rsidR="005B1138" w:rsidRDefault="005B1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B750D" w14:textId="77777777" w:rsidR="005B1138" w:rsidRDefault="005B1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E04FA0"/>
    <w:multiLevelType w:val="multilevel"/>
    <w:tmpl w:val="080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43CB4"/>
    <w:rsid w:val="00045031"/>
    <w:rsid w:val="00065AD5"/>
    <w:rsid w:val="00081CA7"/>
    <w:rsid w:val="000A0C2D"/>
    <w:rsid w:val="000B1BA3"/>
    <w:rsid w:val="00105143"/>
    <w:rsid w:val="00112484"/>
    <w:rsid w:val="00120616"/>
    <w:rsid w:val="00123B3E"/>
    <w:rsid w:val="001562B3"/>
    <w:rsid w:val="0017567B"/>
    <w:rsid w:val="001D2618"/>
    <w:rsid w:val="001D2A81"/>
    <w:rsid w:val="001D7A67"/>
    <w:rsid w:val="00211668"/>
    <w:rsid w:val="002420C3"/>
    <w:rsid w:val="002504FA"/>
    <w:rsid w:val="0026768D"/>
    <w:rsid w:val="002860E4"/>
    <w:rsid w:val="002A71D2"/>
    <w:rsid w:val="002C5686"/>
    <w:rsid w:val="002D0554"/>
    <w:rsid w:val="002D3B37"/>
    <w:rsid w:val="002F1A2A"/>
    <w:rsid w:val="00322BCE"/>
    <w:rsid w:val="003235FD"/>
    <w:rsid w:val="003300B8"/>
    <w:rsid w:val="00387559"/>
    <w:rsid w:val="00397C84"/>
    <w:rsid w:val="003B072F"/>
    <w:rsid w:val="003D5530"/>
    <w:rsid w:val="003E7C4C"/>
    <w:rsid w:val="003F381E"/>
    <w:rsid w:val="00402B2B"/>
    <w:rsid w:val="00437B7C"/>
    <w:rsid w:val="00471C05"/>
    <w:rsid w:val="00487B60"/>
    <w:rsid w:val="004B7329"/>
    <w:rsid w:val="004C4A40"/>
    <w:rsid w:val="004D3A55"/>
    <w:rsid w:val="005037A6"/>
    <w:rsid w:val="00507C78"/>
    <w:rsid w:val="005348DF"/>
    <w:rsid w:val="00550787"/>
    <w:rsid w:val="00571254"/>
    <w:rsid w:val="00585C0F"/>
    <w:rsid w:val="005937AC"/>
    <w:rsid w:val="005B1138"/>
    <w:rsid w:val="005D70F1"/>
    <w:rsid w:val="005F7513"/>
    <w:rsid w:val="00632241"/>
    <w:rsid w:val="0065253F"/>
    <w:rsid w:val="0068619B"/>
    <w:rsid w:val="006D28F2"/>
    <w:rsid w:val="006E6394"/>
    <w:rsid w:val="006F5319"/>
    <w:rsid w:val="00700214"/>
    <w:rsid w:val="007402B2"/>
    <w:rsid w:val="00741C24"/>
    <w:rsid w:val="00743475"/>
    <w:rsid w:val="007456AD"/>
    <w:rsid w:val="00786770"/>
    <w:rsid w:val="007B2A2E"/>
    <w:rsid w:val="008435B0"/>
    <w:rsid w:val="0084715B"/>
    <w:rsid w:val="00853D85"/>
    <w:rsid w:val="0089631A"/>
    <w:rsid w:val="008A4162"/>
    <w:rsid w:val="009356DC"/>
    <w:rsid w:val="0095229B"/>
    <w:rsid w:val="009555A2"/>
    <w:rsid w:val="009E254D"/>
    <w:rsid w:val="00A31D72"/>
    <w:rsid w:val="00A4070F"/>
    <w:rsid w:val="00A76A00"/>
    <w:rsid w:val="00A846CA"/>
    <w:rsid w:val="00AA27D1"/>
    <w:rsid w:val="00AC1698"/>
    <w:rsid w:val="00AE2AA1"/>
    <w:rsid w:val="00AE63F9"/>
    <w:rsid w:val="00AF715D"/>
    <w:rsid w:val="00B2479C"/>
    <w:rsid w:val="00B54842"/>
    <w:rsid w:val="00B55DD9"/>
    <w:rsid w:val="00B650F8"/>
    <w:rsid w:val="00B864E8"/>
    <w:rsid w:val="00BA288F"/>
    <w:rsid w:val="00BA4862"/>
    <w:rsid w:val="00BE5D09"/>
    <w:rsid w:val="00C01323"/>
    <w:rsid w:val="00C07D2E"/>
    <w:rsid w:val="00C25D7C"/>
    <w:rsid w:val="00C27013"/>
    <w:rsid w:val="00C41AB9"/>
    <w:rsid w:val="00C4252F"/>
    <w:rsid w:val="00C43E50"/>
    <w:rsid w:val="00C5140B"/>
    <w:rsid w:val="00C96D43"/>
    <w:rsid w:val="00D227F0"/>
    <w:rsid w:val="00D2792D"/>
    <w:rsid w:val="00D35850"/>
    <w:rsid w:val="00D45B2F"/>
    <w:rsid w:val="00D51579"/>
    <w:rsid w:val="00D864D4"/>
    <w:rsid w:val="00DA775B"/>
    <w:rsid w:val="00DD0350"/>
    <w:rsid w:val="00DD2093"/>
    <w:rsid w:val="00DD4F69"/>
    <w:rsid w:val="00DE094C"/>
    <w:rsid w:val="00DF17AE"/>
    <w:rsid w:val="00E14489"/>
    <w:rsid w:val="00E46907"/>
    <w:rsid w:val="00F14337"/>
    <w:rsid w:val="00F47637"/>
    <w:rsid w:val="00F54F8E"/>
    <w:rsid w:val="00F77F20"/>
    <w:rsid w:val="00F92654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BD90CA"/>
  <w15:chartTrackingRefBased/>
  <w15:docId w15:val="{B5EADAAB-8C44-411F-A8F0-1C123E7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247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2721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2006-03-31T03:28:00Z</cp:lastPrinted>
  <dcterms:created xsi:type="dcterms:W3CDTF">2019-09-02T04:54:00Z</dcterms:created>
  <dcterms:modified xsi:type="dcterms:W3CDTF">2019-09-02T04:54:00Z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A21035655</vt:lpwstr>
  </property>
  <property fmtid="{D5CDD505-2E9C-101B-9397-08002B2CF9AE}" pid="3" name="Objective-Title">
    <vt:lpwstr>Attachment B - Explanatory Statement - CRA Dickson Experiment parking arrangements</vt:lpwstr>
  </property>
  <property fmtid="{D5CDD505-2E9C-101B-9397-08002B2CF9AE}" pid="4" name="Objective-Comment">
    <vt:lpwstr/>
  </property>
  <property fmtid="{D5CDD505-2E9C-101B-9397-08002B2CF9AE}" pid="5" name="Objective-CreationStamp">
    <vt:filetime>2019-08-20T23:09:34Z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2019-08-26T02:58:06Z</vt:filetime>
  </property>
  <property fmtid="{D5CDD505-2E9C-101B-9397-08002B2CF9AE}" pid="9" name="Objective-ModificationStamp">
    <vt:filetime>2019-08-26T02:58:06Z</vt:filetime>
  </property>
  <property fmtid="{D5CDD505-2E9C-101B-9397-08002B2CF9AE}" pid="10" name="Objective-Owner">
    <vt:lpwstr>Rebecca Bamford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Ministerials:2019 -  Ministerial and Chief Ministerial Briefs / Correspondence:Planning Policy:19/26001 - 19</vt:lpwstr>
  </property>
  <property fmtid="{D5CDD505-2E9C-101B-9397-08002B2CF9AE}" pid="12" name="Objective-Parent">
    <vt:lpwstr>19/26196 Ministerial-Information Brief - Disallowable instrument - CRA Dickson Experiment parking arrangements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1-2019/26196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