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F1A" w:rsidRDefault="00451735">
      <w:pPr>
        <w:rPr>
          <w:rFonts w:ascii="Arial" w:hAnsi="Arial"/>
          <w:snapToGrid w:val="0"/>
          <w:color w:val="000000"/>
          <w:sz w:val="23"/>
        </w:rPr>
      </w:pPr>
      <w:bookmarkStart w:id="0" w:name="_GoBack"/>
      <w:bookmarkEnd w:id="0"/>
      <w:smartTag w:uri="urn:schemas-microsoft-com:office:smarttags" w:element="State">
        <w:smartTag w:uri="urn:schemas-microsoft-com:office:smarttags" w:element="place">
          <w:r>
            <w:rPr>
              <w:rFonts w:ascii="Arial" w:hAnsi="Arial"/>
              <w:snapToGrid w:val="0"/>
              <w:color w:val="000000"/>
              <w:sz w:val="23"/>
            </w:rPr>
            <w:t>Australian Capital Territory</w:t>
          </w:r>
        </w:smartTag>
      </w:smartTag>
    </w:p>
    <w:p w:rsidR="00145F1A" w:rsidRDefault="00145F1A">
      <w:pPr>
        <w:rPr>
          <w:rFonts w:ascii="Arial" w:hAnsi="Arial"/>
          <w:snapToGrid w:val="0"/>
          <w:color w:val="000000"/>
          <w:sz w:val="23"/>
        </w:rPr>
      </w:pPr>
    </w:p>
    <w:p w:rsidR="00145F1A" w:rsidRDefault="00451735">
      <w:pPr>
        <w:rPr>
          <w:rFonts w:ascii="Arial" w:hAnsi="Arial"/>
          <w:b/>
          <w:snapToGrid w:val="0"/>
          <w:color w:val="000000"/>
          <w:sz w:val="32"/>
        </w:rPr>
      </w:pPr>
      <w:r>
        <w:rPr>
          <w:rFonts w:ascii="Arial" w:hAnsi="Arial"/>
          <w:b/>
          <w:snapToGrid w:val="0"/>
          <w:color w:val="000000"/>
          <w:sz w:val="40"/>
        </w:rPr>
        <w:t>Utilities (Energy industry levy – local regulatory costs) Determination 201</w:t>
      </w:r>
      <w:r w:rsidR="007C5D39">
        <w:rPr>
          <w:rFonts w:ascii="Arial" w:hAnsi="Arial"/>
          <w:b/>
          <w:snapToGrid w:val="0"/>
          <w:color w:val="000000"/>
          <w:sz w:val="40"/>
        </w:rPr>
        <w:t>9</w:t>
      </w:r>
    </w:p>
    <w:p w:rsidR="00145F1A" w:rsidRDefault="00145F1A">
      <w:pPr>
        <w:rPr>
          <w:rFonts w:ascii="Arial" w:hAnsi="Arial"/>
          <w:b/>
          <w:snapToGrid w:val="0"/>
          <w:color w:val="000000"/>
          <w:sz w:val="32"/>
        </w:rPr>
      </w:pPr>
    </w:p>
    <w:p w:rsidR="00145F1A" w:rsidRDefault="00692F82">
      <w:pPr>
        <w:rPr>
          <w:rFonts w:ascii="Arial" w:hAnsi="Arial"/>
          <w:b/>
          <w:snapToGrid w:val="0"/>
          <w:color w:val="000000"/>
        </w:rPr>
      </w:pPr>
      <w:r>
        <w:rPr>
          <w:rFonts w:ascii="Arial" w:hAnsi="Arial"/>
          <w:b/>
          <w:snapToGrid w:val="0"/>
          <w:color w:val="000000"/>
        </w:rPr>
        <w:t>Notifiable Instrument NI201</w:t>
      </w:r>
      <w:r w:rsidR="007C5D39">
        <w:rPr>
          <w:rFonts w:ascii="Arial" w:hAnsi="Arial"/>
          <w:b/>
          <w:snapToGrid w:val="0"/>
          <w:color w:val="000000"/>
        </w:rPr>
        <w:t>9</w:t>
      </w:r>
      <w:r>
        <w:rPr>
          <w:rFonts w:ascii="Arial" w:hAnsi="Arial"/>
          <w:b/>
          <w:snapToGrid w:val="0"/>
          <w:color w:val="000000"/>
        </w:rPr>
        <w:t>-</w:t>
      </w:r>
      <w:r w:rsidR="005A2FC4">
        <w:rPr>
          <w:rFonts w:ascii="Arial" w:hAnsi="Arial"/>
          <w:b/>
          <w:snapToGrid w:val="0"/>
          <w:color w:val="000000"/>
        </w:rPr>
        <w:t>636</w:t>
      </w:r>
    </w:p>
    <w:p w:rsidR="00145F1A" w:rsidRDefault="00145F1A">
      <w:pPr>
        <w:rPr>
          <w:rFonts w:ascii="Arial" w:hAnsi="Arial"/>
          <w:b/>
          <w:snapToGrid w:val="0"/>
          <w:color w:val="000000"/>
        </w:rPr>
      </w:pPr>
    </w:p>
    <w:p w:rsidR="00145F1A" w:rsidRDefault="00451735">
      <w:pPr>
        <w:rPr>
          <w:rFonts w:ascii="Arial" w:hAnsi="Arial"/>
          <w:snapToGrid w:val="0"/>
          <w:color w:val="000000"/>
        </w:rPr>
      </w:pPr>
      <w:r>
        <w:rPr>
          <w:rFonts w:ascii="Arial" w:hAnsi="Arial"/>
          <w:snapToGrid w:val="0"/>
          <w:color w:val="000000"/>
        </w:rPr>
        <w:t>made under the</w:t>
      </w:r>
    </w:p>
    <w:p w:rsidR="00145F1A" w:rsidRDefault="00145F1A">
      <w:pPr>
        <w:rPr>
          <w:rFonts w:ascii="Arial" w:hAnsi="Arial"/>
          <w:snapToGrid w:val="0"/>
          <w:color w:val="000000"/>
        </w:rPr>
      </w:pPr>
    </w:p>
    <w:p w:rsidR="00145F1A" w:rsidRDefault="00451735">
      <w:pPr>
        <w:pStyle w:val="CoverActName"/>
      </w:pPr>
      <w:r w:rsidRPr="00F962AB">
        <w:rPr>
          <w:rFonts w:cs="Arial"/>
          <w:i/>
          <w:sz w:val="20"/>
        </w:rPr>
        <w:t>Utilities Act</w:t>
      </w:r>
      <w:r>
        <w:rPr>
          <w:rFonts w:cs="Arial"/>
          <w:sz w:val="20"/>
        </w:rPr>
        <w:t xml:space="preserve"> </w:t>
      </w:r>
      <w:r w:rsidRPr="00D10966">
        <w:rPr>
          <w:rFonts w:cs="Arial"/>
          <w:i/>
          <w:sz w:val="20"/>
        </w:rPr>
        <w:t>2000</w:t>
      </w:r>
      <w:r>
        <w:rPr>
          <w:rFonts w:cs="Arial"/>
          <w:sz w:val="20"/>
        </w:rPr>
        <w:t>, section 54F (Local regulatory costs)</w:t>
      </w:r>
    </w:p>
    <w:p w:rsidR="00554D88" w:rsidRDefault="00554D88" w:rsidP="00554D88">
      <w:pPr>
        <w:spacing w:before="360"/>
        <w:ind w:right="565"/>
        <w:rPr>
          <w:rFonts w:ascii="Arial" w:hAnsi="Arial" w:cs="Arial"/>
          <w:b/>
          <w:bCs/>
          <w:sz w:val="28"/>
          <w:szCs w:val="28"/>
        </w:rPr>
      </w:pPr>
      <w:r>
        <w:rPr>
          <w:rFonts w:ascii="Arial" w:hAnsi="Arial" w:cs="Arial"/>
          <w:b/>
          <w:bCs/>
          <w:sz w:val="28"/>
          <w:szCs w:val="28"/>
        </w:rPr>
        <w:t>EXPLANATORY STATEMENT</w:t>
      </w:r>
    </w:p>
    <w:p w:rsidR="00554D88" w:rsidRDefault="00554D88" w:rsidP="00554D88">
      <w:pPr>
        <w:pStyle w:val="N-line3"/>
        <w:pBdr>
          <w:bottom w:val="none" w:sz="0" w:space="0" w:color="auto"/>
        </w:pBdr>
      </w:pPr>
    </w:p>
    <w:p w:rsidR="00554D88" w:rsidRDefault="00554D88" w:rsidP="00554D88">
      <w:pPr>
        <w:pStyle w:val="N-line3"/>
        <w:pBdr>
          <w:top w:val="single" w:sz="12" w:space="1" w:color="auto"/>
          <w:bottom w:val="none" w:sz="0" w:space="0" w:color="auto"/>
        </w:pBdr>
      </w:pPr>
    </w:p>
    <w:p w:rsidR="00F31EAE" w:rsidRPr="001F4A70" w:rsidRDefault="00980E4F" w:rsidP="00F31EAE">
      <w:pPr>
        <w:rPr>
          <w:rFonts w:asciiTheme="minorHAnsi" w:hAnsiTheme="minorHAnsi"/>
        </w:rPr>
      </w:pPr>
      <w:r w:rsidRPr="001F4A70">
        <w:rPr>
          <w:rFonts w:asciiTheme="minorHAnsi" w:hAnsiTheme="minorHAnsi"/>
        </w:rPr>
        <w:t xml:space="preserve">Section 54F of the </w:t>
      </w:r>
      <w:r w:rsidRPr="001F4A70">
        <w:rPr>
          <w:rFonts w:asciiTheme="minorHAnsi" w:hAnsiTheme="minorHAnsi"/>
          <w:i/>
        </w:rPr>
        <w:t xml:space="preserve">Utilities Act 2000 </w:t>
      </w:r>
      <w:r w:rsidRPr="001F4A70">
        <w:rPr>
          <w:rFonts w:asciiTheme="minorHAnsi" w:hAnsiTheme="minorHAnsi"/>
        </w:rPr>
        <w:t>requires the</w:t>
      </w:r>
      <w:r w:rsidRPr="001F4A70">
        <w:rPr>
          <w:rFonts w:asciiTheme="minorHAnsi" w:hAnsiTheme="minorHAnsi"/>
          <w:i/>
        </w:rPr>
        <w:t xml:space="preserve"> </w:t>
      </w:r>
      <w:r w:rsidRPr="001F4A70">
        <w:rPr>
          <w:rFonts w:asciiTheme="minorHAnsi" w:hAnsiTheme="minorHAnsi"/>
        </w:rPr>
        <w:t>Levy Administrator, appointed under section 25N, to determine the amount of local regulatory costs to be applied to eac</w:t>
      </w:r>
      <w:r w:rsidR="00F31EAE" w:rsidRPr="001F4A70">
        <w:rPr>
          <w:rFonts w:asciiTheme="minorHAnsi" w:hAnsiTheme="minorHAnsi"/>
        </w:rPr>
        <w:t xml:space="preserve">h industry sector. The </w:t>
      </w:r>
      <w:r w:rsidR="00F31EAE" w:rsidRPr="001F4A70">
        <w:rPr>
          <w:rFonts w:asciiTheme="minorHAnsi" w:hAnsiTheme="minorHAnsi"/>
          <w:i/>
        </w:rPr>
        <w:t>Utilities (Energy industry levy – local regulatory costs) Determination 201</w:t>
      </w:r>
      <w:r w:rsidR="007C5D39">
        <w:rPr>
          <w:rFonts w:asciiTheme="minorHAnsi" w:hAnsiTheme="minorHAnsi"/>
          <w:i/>
        </w:rPr>
        <w:t>9</w:t>
      </w:r>
      <w:r w:rsidR="00F31EAE" w:rsidRPr="001F4A70">
        <w:rPr>
          <w:rFonts w:asciiTheme="minorHAnsi" w:hAnsiTheme="minorHAnsi"/>
        </w:rPr>
        <w:t xml:space="preserve"> sets out the</w:t>
      </w:r>
      <w:r w:rsidR="0012165F">
        <w:rPr>
          <w:rFonts w:asciiTheme="minorHAnsi" w:hAnsiTheme="minorHAnsi"/>
        </w:rPr>
        <w:t xml:space="preserve"> costs</w:t>
      </w:r>
      <w:r w:rsidR="00F31EAE" w:rsidRPr="001F4A70">
        <w:rPr>
          <w:rFonts w:asciiTheme="minorHAnsi" w:hAnsiTheme="minorHAnsi"/>
        </w:rPr>
        <w:t xml:space="preserve"> determin</w:t>
      </w:r>
      <w:r w:rsidR="0012165F">
        <w:rPr>
          <w:rFonts w:asciiTheme="minorHAnsi" w:hAnsiTheme="minorHAnsi"/>
        </w:rPr>
        <w:t>ed by the Levy Administrator</w:t>
      </w:r>
      <w:r w:rsidR="00F31EAE" w:rsidRPr="001F4A70">
        <w:rPr>
          <w:rFonts w:asciiTheme="minorHAnsi" w:hAnsiTheme="minorHAnsi"/>
        </w:rPr>
        <w:t>.</w:t>
      </w:r>
    </w:p>
    <w:p w:rsidR="00980E4F" w:rsidRPr="001F4A70" w:rsidRDefault="00980E4F" w:rsidP="00980E4F">
      <w:pPr>
        <w:rPr>
          <w:rFonts w:asciiTheme="minorHAnsi" w:hAnsiTheme="minorHAnsi"/>
        </w:rPr>
      </w:pPr>
    </w:p>
    <w:p w:rsidR="00980E4F" w:rsidRPr="001F4A70" w:rsidRDefault="00980E4F" w:rsidP="00980E4F">
      <w:pPr>
        <w:rPr>
          <w:rFonts w:asciiTheme="minorHAnsi" w:hAnsiTheme="minorHAnsi"/>
        </w:rPr>
      </w:pPr>
      <w:r w:rsidRPr="001F4A70">
        <w:rPr>
          <w:rFonts w:asciiTheme="minorHAnsi" w:hAnsiTheme="minorHAnsi"/>
        </w:rPr>
        <w:t>The four energy industry sectors subject to the levy are electricity distribution, electricity supply, gas distribution and gas supply.</w:t>
      </w:r>
    </w:p>
    <w:p w:rsidR="00980E4F" w:rsidRPr="001F4A70" w:rsidRDefault="00980E4F" w:rsidP="00980E4F">
      <w:pPr>
        <w:rPr>
          <w:rFonts w:asciiTheme="minorHAnsi" w:hAnsiTheme="minorHAnsi"/>
        </w:rPr>
      </w:pPr>
    </w:p>
    <w:p w:rsidR="00980E4F" w:rsidRPr="001F4A70" w:rsidRDefault="002C7232" w:rsidP="00980E4F">
      <w:pPr>
        <w:rPr>
          <w:rFonts w:asciiTheme="minorHAnsi" w:hAnsiTheme="minorHAnsi"/>
        </w:rPr>
      </w:pPr>
      <w:r w:rsidRPr="001F4A70">
        <w:rPr>
          <w:rFonts w:asciiTheme="minorHAnsi" w:hAnsiTheme="minorHAnsi"/>
        </w:rPr>
        <w:t xml:space="preserve">Local regulatory costs </w:t>
      </w:r>
      <w:r w:rsidR="00980E4F" w:rsidRPr="001F4A70">
        <w:rPr>
          <w:rFonts w:asciiTheme="minorHAnsi" w:hAnsiTheme="minorHAnsi"/>
        </w:rPr>
        <w:t>are made up of costs to the Territory of regulating safety, technical operations, consumer service and environmental behaviour for energy utility services and the costs of administration of the levy. The costs relate to the work of</w:t>
      </w:r>
      <w:r w:rsidR="00F31EAE" w:rsidRPr="001F4A70">
        <w:rPr>
          <w:rFonts w:asciiTheme="minorHAnsi" w:hAnsiTheme="minorHAnsi"/>
        </w:rPr>
        <w:t xml:space="preserve"> the</w:t>
      </w:r>
      <w:r w:rsidR="00980E4F" w:rsidRPr="001F4A70">
        <w:rPr>
          <w:rFonts w:asciiTheme="minorHAnsi" w:hAnsiTheme="minorHAnsi"/>
        </w:rPr>
        <w:t xml:space="preserve">: </w:t>
      </w:r>
    </w:p>
    <w:p w:rsidR="00980E4F" w:rsidRPr="001F4A70" w:rsidRDefault="00980E4F" w:rsidP="00980E4F">
      <w:pPr>
        <w:rPr>
          <w:rFonts w:asciiTheme="minorHAnsi" w:hAnsiTheme="minorHAnsi"/>
        </w:rPr>
      </w:pPr>
    </w:p>
    <w:p w:rsidR="00980E4F" w:rsidRPr="001F4A70" w:rsidRDefault="00980E4F" w:rsidP="00980E4F">
      <w:pPr>
        <w:pStyle w:val="ListParagraph"/>
        <w:numPr>
          <w:ilvl w:val="0"/>
          <w:numId w:val="1"/>
        </w:numPr>
        <w:rPr>
          <w:rFonts w:asciiTheme="minorHAnsi" w:hAnsiTheme="minorHAnsi"/>
        </w:rPr>
      </w:pPr>
      <w:r w:rsidRPr="001F4A70">
        <w:rPr>
          <w:rFonts w:asciiTheme="minorHAnsi" w:hAnsiTheme="minorHAnsi"/>
        </w:rPr>
        <w:t>Independent Competition and Regulatory Commission</w:t>
      </w:r>
      <w:r w:rsidR="00487E86" w:rsidRPr="001F4A70">
        <w:rPr>
          <w:rFonts w:asciiTheme="minorHAnsi" w:hAnsiTheme="minorHAnsi"/>
        </w:rPr>
        <w:t xml:space="preserve"> (Commission)</w:t>
      </w:r>
      <w:r w:rsidRPr="001F4A70">
        <w:rPr>
          <w:rFonts w:asciiTheme="minorHAnsi" w:hAnsiTheme="minorHAnsi"/>
        </w:rPr>
        <w:t>;</w:t>
      </w:r>
    </w:p>
    <w:p w:rsidR="00980E4F" w:rsidRPr="001F4A70" w:rsidRDefault="007C5D39" w:rsidP="00980E4F">
      <w:pPr>
        <w:pStyle w:val="ListParagraph"/>
        <w:numPr>
          <w:ilvl w:val="0"/>
          <w:numId w:val="1"/>
        </w:numPr>
        <w:rPr>
          <w:rFonts w:asciiTheme="minorHAnsi" w:hAnsiTheme="minorHAnsi"/>
        </w:rPr>
      </w:pPr>
      <w:r w:rsidRPr="001F4A70">
        <w:rPr>
          <w:rFonts w:asciiTheme="minorHAnsi" w:hAnsiTheme="minorHAnsi"/>
        </w:rPr>
        <w:t>T</w:t>
      </w:r>
      <w:r w:rsidR="00F962AB" w:rsidRPr="001F4A70">
        <w:rPr>
          <w:rFonts w:asciiTheme="minorHAnsi" w:hAnsiTheme="minorHAnsi"/>
        </w:rPr>
        <w:t>he</w:t>
      </w:r>
      <w:r>
        <w:rPr>
          <w:rFonts w:asciiTheme="minorHAnsi" w:hAnsiTheme="minorHAnsi"/>
        </w:rPr>
        <w:t xml:space="preserve"> Utilities T</w:t>
      </w:r>
      <w:r w:rsidR="00980E4F" w:rsidRPr="001F4A70">
        <w:rPr>
          <w:rFonts w:asciiTheme="minorHAnsi" w:hAnsiTheme="minorHAnsi"/>
        </w:rPr>
        <w:t xml:space="preserve">echnical </w:t>
      </w:r>
      <w:r>
        <w:rPr>
          <w:rFonts w:asciiTheme="minorHAnsi" w:hAnsiTheme="minorHAnsi"/>
        </w:rPr>
        <w:t>R</w:t>
      </w:r>
      <w:r w:rsidR="00F962AB" w:rsidRPr="001F4A70">
        <w:rPr>
          <w:rFonts w:asciiTheme="minorHAnsi" w:hAnsiTheme="minorHAnsi"/>
        </w:rPr>
        <w:t>egulator</w:t>
      </w:r>
      <w:r>
        <w:rPr>
          <w:rFonts w:asciiTheme="minorHAnsi" w:hAnsiTheme="minorHAnsi"/>
        </w:rPr>
        <w:t xml:space="preserve"> (UTR)</w:t>
      </w:r>
      <w:r w:rsidR="00980E4F" w:rsidRPr="001F4A70">
        <w:rPr>
          <w:rFonts w:asciiTheme="minorHAnsi" w:hAnsiTheme="minorHAnsi"/>
        </w:rPr>
        <w:t>; and</w:t>
      </w:r>
    </w:p>
    <w:p w:rsidR="00980E4F" w:rsidRPr="001F4A70" w:rsidRDefault="00F962AB" w:rsidP="00980E4F">
      <w:pPr>
        <w:pStyle w:val="ListParagraph"/>
        <w:numPr>
          <w:ilvl w:val="0"/>
          <w:numId w:val="1"/>
        </w:numPr>
        <w:rPr>
          <w:rFonts w:asciiTheme="minorHAnsi" w:hAnsiTheme="minorHAnsi"/>
        </w:rPr>
      </w:pPr>
      <w:r w:rsidRPr="001F4A70">
        <w:rPr>
          <w:rFonts w:asciiTheme="minorHAnsi" w:hAnsiTheme="minorHAnsi"/>
        </w:rPr>
        <w:t xml:space="preserve">the </w:t>
      </w:r>
      <w:r w:rsidR="00980E4F" w:rsidRPr="001F4A70">
        <w:rPr>
          <w:rFonts w:asciiTheme="minorHAnsi" w:hAnsiTheme="minorHAnsi"/>
        </w:rPr>
        <w:t>ACT Civil and Administrative Tribunal</w:t>
      </w:r>
      <w:r w:rsidR="00487E86" w:rsidRPr="001F4A70">
        <w:rPr>
          <w:rFonts w:asciiTheme="minorHAnsi" w:hAnsiTheme="minorHAnsi"/>
        </w:rPr>
        <w:t xml:space="preserve"> (ACAT)</w:t>
      </w:r>
      <w:r w:rsidR="00980E4F" w:rsidRPr="001F4A70">
        <w:rPr>
          <w:rFonts w:asciiTheme="minorHAnsi" w:hAnsiTheme="minorHAnsi"/>
        </w:rPr>
        <w:t>.</w:t>
      </w:r>
    </w:p>
    <w:p w:rsidR="006B686D" w:rsidRPr="001F4A70" w:rsidRDefault="006B686D" w:rsidP="006B686D">
      <w:pPr>
        <w:rPr>
          <w:rFonts w:asciiTheme="minorHAnsi" w:hAnsiTheme="minorHAnsi"/>
        </w:rPr>
      </w:pPr>
    </w:p>
    <w:sectPr w:rsidR="006B686D" w:rsidRPr="001F4A70" w:rsidSect="001F767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8F5" w:rsidRDefault="002538F5" w:rsidP="008F7494">
      <w:r>
        <w:separator/>
      </w:r>
    </w:p>
  </w:endnote>
  <w:endnote w:type="continuationSeparator" w:id="0">
    <w:p w:rsidR="002538F5" w:rsidRDefault="002538F5" w:rsidP="008F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020" w:rsidRDefault="00665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020" w:rsidRPr="005327B9" w:rsidRDefault="005327B9" w:rsidP="005327B9">
    <w:pPr>
      <w:pStyle w:val="Footer"/>
      <w:jc w:val="center"/>
      <w:rPr>
        <w:rFonts w:ascii="Arial" w:hAnsi="Arial" w:cs="Arial"/>
        <w:sz w:val="14"/>
      </w:rPr>
    </w:pPr>
    <w:r w:rsidRPr="005327B9">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020" w:rsidRDefault="00665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8F5" w:rsidRDefault="002538F5" w:rsidP="008F7494">
      <w:r>
        <w:separator/>
      </w:r>
    </w:p>
  </w:footnote>
  <w:footnote w:type="continuationSeparator" w:id="0">
    <w:p w:rsidR="002538F5" w:rsidRDefault="002538F5" w:rsidP="008F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020" w:rsidRDefault="00665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020" w:rsidRDefault="00665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020" w:rsidRDefault="0066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9144C"/>
    <w:multiLevelType w:val="hybridMultilevel"/>
    <w:tmpl w:val="C444E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14E2B5F"/>
    <w:multiLevelType w:val="hybridMultilevel"/>
    <w:tmpl w:val="148808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DF903A1"/>
    <w:multiLevelType w:val="hybridMultilevel"/>
    <w:tmpl w:val="D592C2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735"/>
    <w:rsid w:val="000161EC"/>
    <w:rsid w:val="0003786F"/>
    <w:rsid w:val="000A5CBD"/>
    <w:rsid w:val="000E19BB"/>
    <w:rsid w:val="000F079F"/>
    <w:rsid w:val="000F0B9E"/>
    <w:rsid w:val="0012165F"/>
    <w:rsid w:val="00142F15"/>
    <w:rsid w:val="00145F1A"/>
    <w:rsid w:val="001518A1"/>
    <w:rsid w:val="00167A4E"/>
    <w:rsid w:val="001871F2"/>
    <w:rsid w:val="001A0E01"/>
    <w:rsid w:val="001A2066"/>
    <w:rsid w:val="001A248D"/>
    <w:rsid w:val="001D4073"/>
    <w:rsid w:val="001F4A70"/>
    <w:rsid w:val="001F6D7E"/>
    <w:rsid w:val="001F767F"/>
    <w:rsid w:val="00216066"/>
    <w:rsid w:val="0022104E"/>
    <w:rsid w:val="0022449E"/>
    <w:rsid w:val="00251118"/>
    <w:rsid w:val="002538F5"/>
    <w:rsid w:val="002706FC"/>
    <w:rsid w:val="00287866"/>
    <w:rsid w:val="00290854"/>
    <w:rsid w:val="0029450E"/>
    <w:rsid w:val="002A2391"/>
    <w:rsid w:val="002C05A5"/>
    <w:rsid w:val="002C6E47"/>
    <w:rsid w:val="002C7232"/>
    <w:rsid w:val="002D216B"/>
    <w:rsid w:val="002F2B0A"/>
    <w:rsid w:val="002F5A89"/>
    <w:rsid w:val="00310363"/>
    <w:rsid w:val="0033713E"/>
    <w:rsid w:val="0039259E"/>
    <w:rsid w:val="003970BD"/>
    <w:rsid w:val="003C45BB"/>
    <w:rsid w:val="003C58E1"/>
    <w:rsid w:val="003F27D8"/>
    <w:rsid w:val="00403C92"/>
    <w:rsid w:val="00413D3C"/>
    <w:rsid w:val="004323B9"/>
    <w:rsid w:val="00451735"/>
    <w:rsid w:val="0047482B"/>
    <w:rsid w:val="00487E86"/>
    <w:rsid w:val="004D6C9E"/>
    <w:rsid w:val="004E00D2"/>
    <w:rsid w:val="00505583"/>
    <w:rsid w:val="005327B9"/>
    <w:rsid w:val="005335D8"/>
    <w:rsid w:val="00542CDE"/>
    <w:rsid w:val="00554D88"/>
    <w:rsid w:val="00565F9A"/>
    <w:rsid w:val="005A2FC4"/>
    <w:rsid w:val="005B2625"/>
    <w:rsid w:val="005E7A93"/>
    <w:rsid w:val="00650529"/>
    <w:rsid w:val="00665020"/>
    <w:rsid w:val="00667C13"/>
    <w:rsid w:val="00692F82"/>
    <w:rsid w:val="006A18D8"/>
    <w:rsid w:val="006B686D"/>
    <w:rsid w:val="006D4B9B"/>
    <w:rsid w:val="006F2D72"/>
    <w:rsid w:val="00712270"/>
    <w:rsid w:val="007274A8"/>
    <w:rsid w:val="00737802"/>
    <w:rsid w:val="00747314"/>
    <w:rsid w:val="00774C45"/>
    <w:rsid w:val="007A3A69"/>
    <w:rsid w:val="007C0A3B"/>
    <w:rsid w:val="007C5D39"/>
    <w:rsid w:val="007D143A"/>
    <w:rsid w:val="007D7EF3"/>
    <w:rsid w:val="00807907"/>
    <w:rsid w:val="00887D0D"/>
    <w:rsid w:val="008F7494"/>
    <w:rsid w:val="0091054C"/>
    <w:rsid w:val="00941A3D"/>
    <w:rsid w:val="00954163"/>
    <w:rsid w:val="0097413C"/>
    <w:rsid w:val="00980E4F"/>
    <w:rsid w:val="00A07F38"/>
    <w:rsid w:val="00AC6A0E"/>
    <w:rsid w:val="00AD2942"/>
    <w:rsid w:val="00AD684F"/>
    <w:rsid w:val="00AE4B8C"/>
    <w:rsid w:val="00AF569A"/>
    <w:rsid w:val="00B35EE6"/>
    <w:rsid w:val="00B87C9F"/>
    <w:rsid w:val="00BB0B59"/>
    <w:rsid w:val="00BC0457"/>
    <w:rsid w:val="00C10C69"/>
    <w:rsid w:val="00C85B76"/>
    <w:rsid w:val="00C90273"/>
    <w:rsid w:val="00CC0C35"/>
    <w:rsid w:val="00CD3AF2"/>
    <w:rsid w:val="00D04822"/>
    <w:rsid w:val="00D05FE4"/>
    <w:rsid w:val="00D10966"/>
    <w:rsid w:val="00D25159"/>
    <w:rsid w:val="00D276B9"/>
    <w:rsid w:val="00D36EB6"/>
    <w:rsid w:val="00D43735"/>
    <w:rsid w:val="00D516F0"/>
    <w:rsid w:val="00D86BCA"/>
    <w:rsid w:val="00D9075C"/>
    <w:rsid w:val="00DC5236"/>
    <w:rsid w:val="00DF575D"/>
    <w:rsid w:val="00EA0FF6"/>
    <w:rsid w:val="00EE1834"/>
    <w:rsid w:val="00F02D8E"/>
    <w:rsid w:val="00F1472D"/>
    <w:rsid w:val="00F31EAE"/>
    <w:rsid w:val="00F41A51"/>
    <w:rsid w:val="00F74958"/>
    <w:rsid w:val="00F946AA"/>
    <w:rsid w:val="00F962AB"/>
    <w:rsid w:val="00FA6C05"/>
    <w:rsid w:val="00FD1B19"/>
    <w:rsid w:val="00FD37D6"/>
    <w:rsid w:val="00FF4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5:docId w15:val="{34FD6D68-5A07-456F-92DC-84241096E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5F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5F1A"/>
    <w:rPr>
      <w:rFonts w:ascii="Arial" w:hAnsi="Arial"/>
      <w:snapToGrid w:val="0"/>
      <w:color w:val="000000"/>
    </w:rPr>
  </w:style>
  <w:style w:type="paragraph" w:customStyle="1" w:styleId="CoverActName">
    <w:name w:val="CoverActName"/>
    <w:basedOn w:val="Normal"/>
    <w:rsid w:val="00145F1A"/>
    <w:pPr>
      <w:tabs>
        <w:tab w:val="left" w:pos="2600"/>
      </w:tabs>
      <w:spacing w:before="200" w:after="60"/>
      <w:jc w:val="both"/>
    </w:pPr>
    <w:rPr>
      <w:rFonts w:ascii="Arial" w:hAnsi="Arial"/>
      <w:b/>
    </w:rPr>
  </w:style>
  <w:style w:type="table" w:styleId="TableGrid">
    <w:name w:val="Table Grid"/>
    <w:basedOn w:val="TableNormal"/>
    <w:rsid w:val="0014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ine3">
    <w:name w:val="N-line3"/>
    <w:basedOn w:val="Normal"/>
    <w:next w:val="Normal"/>
    <w:rsid w:val="00554D88"/>
    <w:pPr>
      <w:pBdr>
        <w:bottom w:val="single" w:sz="12" w:space="1" w:color="auto"/>
      </w:pBdr>
      <w:jc w:val="both"/>
    </w:pPr>
  </w:style>
  <w:style w:type="paragraph" w:styleId="ListParagraph">
    <w:name w:val="List Paragraph"/>
    <w:basedOn w:val="Normal"/>
    <w:uiPriority w:val="34"/>
    <w:qFormat/>
    <w:rsid w:val="00980E4F"/>
    <w:pPr>
      <w:ind w:left="720"/>
      <w:contextualSpacing/>
    </w:pPr>
  </w:style>
  <w:style w:type="paragraph" w:styleId="Header">
    <w:name w:val="header"/>
    <w:basedOn w:val="Normal"/>
    <w:link w:val="HeaderChar"/>
    <w:rsid w:val="008F7494"/>
    <w:pPr>
      <w:tabs>
        <w:tab w:val="center" w:pos="4513"/>
        <w:tab w:val="right" w:pos="9026"/>
      </w:tabs>
    </w:pPr>
  </w:style>
  <w:style w:type="character" w:customStyle="1" w:styleId="HeaderChar">
    <w:name w:val="Header Char"/>
    <w:basedOn w:val="DefaultParagraphFont"/>
    <w:link w:val="Header"/>
    <w:rsid w:val="008F7494"/>
    <w:rPr>
      <w:sz w:val="24"/>
      <w:lang w:eastAsia="en-US"/>
    </w:rPr>
  </w:style>
  <w:style w:type="paragraph" w:styleId="Footer">
    <w:name w:val="footer"/>
    <w:basedOn w:val="Normal"/>
    <w:link w:val="FooterChar"/>
    <w:rsid w:val="008F7494"/>
    <w:pPr>
      <w:tabs>
        <w:tab w:val="center" w:pos="4513"/>
        <w:tab w:val="right" w:pos="9026"/>
      </w:tabs>
    </w:pPr>
  </w:style>
  <w:style w:type="character" w:customStyle="1" w:styleId="FooterChar">
    <w:name w:val="Footer Char"/>
    <w:basedOn w:val="DefaultParagraphFont"/>
    <w:link w:val="Footer"/>
    <w:rsid w:val="008F7494"/>
    <w:rPr>
      <w:sz w:val="24"/>
      <w:lang w:eastAsia="en-US"/>
    </w:rPr>
  </w:style>
  <w:style w:type="paragraph" w:styleId="BalloonText">
    <w:name w:val="Balloon Text"/>
    <w:basedOn w:val="Normal"/>
    <w:link w:val="BalloonTextChar"/>
    <w:rsid w:val="00AE4B8C"/>
    <w:rPr>
      <w:rFonts w:ascii="Segoe UI" w:hAnsi="Segoe UI" w:cs="Segoe UI"/>
      <w:sz w:val="18"/>
      <w:szCs w:val="18"/>
    </w:rPr>
  </w:style>
  <w:style w:type="character" w:customStyle="1" w:styleId="BalloonTextChar">
    <w:name w:val="Balloon Text Char"/>
    <w:basedOn w:val="DefaultParagraphFont"/>
    <w:link w:val="BalloonText"/>
    <w:rsid w:val="00AE4B8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81784">
      <w:bodyDiv w:val="1"/>
      <w:marLeft w:val="0"/>
      <w:marRight w:val="0"/>
      <w:marTop w:val="0"/>
      <w:marBottom w:val="0"/>
      <w:divBdr>
        <w:top w:val="none" w:sz="0" w:space="0" w:color="auto"/>
        <w:left w:val="none" w:sz="0" w:space="0" w:color="auto"/>
        <w:bottom w:val="none" w:sz="0" w:space="0" w:color="auto"/>
        <w:right w:val="none" w:sz="0" w:space="0" w:color="auto"/>
      </w:divBdr>
    </w:div>
    <w:div w:id="315845026">
      <w:bodyDiv w:val="1"/>
      <w:marLeft w:val="0"/>
      <w:marRight w:val="0"/>
      <w:marTop w:val="0"/>
      <w:marBottom w:val="0"/>
      <w:divBdr>
        <w:top w:val="none" w:sz="0" w:space="0" w:color="auto"/>
        <w:left w:val="none" w:sz="0" w:space="0" w:color="auto"/>
        <w:bottom w:val="none" w:sz="0" w:space="0" w:color="auto"/>
        <w:right w:val="none" w:sz="0" w:space="0" w:color="auto"/>
      </w:divBdr>
    </w:div>
    <w:div w:id="1052146811">
      <w:bodyDiv w:val="1"/>
      <w:marLeft w:val="0"/>
      <w:marRight w:val="0"/>
      <w:marTop w:val="0"/>
      <w:marBottom w:val="0"/>
      <w:divBdr>
        <w:top w:val="none" w:sz="0" w:space="0" w:color="auto"/>
        <w:left w:val="none" w:sz="0" w:space="0" w:color="auto"/>
        <w:bottom w:val="none" w:sz="0" w:space="0" w:color="auto"/>
        <w:right w:val="none" w:sz="0" w:space="0" w:color="auto"/>
      </w:divBdr>
    </w:div>
    <w:div w:id="140845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36C5A-99DB-4B6B-AB78-18267AD2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960</Characters>
  <Application>Microsoft Office Word</Application>
  <DocSecurity>2</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5</cp:revision>
  <cp:lastPrinted>2018-09-24T23:37:00Z</cp:lastPrinted>
  <dcterms:created xsi:type="dcterms:W3CDTF">2019-09-27T01:43:00Z</dcterms:created>
  <dcterms:modified xsi:type="dcterms:W3CDTF">2019-09-27T01:43:00Z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A20903278</vt:lpwstr>
  </property>
  <property fmtid="{D5CDD505-2E9C-101B-9397-08002B2CF9AE}" pid="4" name="Objective-Title">
    <vt:lpwstr>EIL determination 54F 2019-20 ES</vt:lpwstr>
  </property>
  <property fmtid="{D5CDD505-2E9C-101B-9397-08002B2CF9AE}" pid="5" name="Objective-Comment">
    <vt:lpwstr/>
  </property>
  <property fmtid="{D5CDD505-2E9C-101B-9397-08002B2CF9AE}" pid="6" name="Objective-CreationStamp">
    <vt:filetime>2019-08-04T21:22:19Z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2019-09-25T22:38:01Z</vt:filetime>
  </property>
  <property fmtid="{D5CDD505-2E9C-101B-9397-08002B2CF9AE}" pid="10" name="Objective-ModificationStamp">
    <vt:filetime>2019-09-25T22:38:01Z</vt:filetime>
  </property>
  <property fmtid="{D5CDD505-2E9C-101B-9397-08002B2CF9AE}" pid="11" name="Objective-Owner">
    <vt:lpwstr>Rebecca Grame</vt:lpwstr>
  </property>
  <property fmtid="{D5CDD505-2E9C-101B-9397-08002B2CF9AE}" pid="12" name="Objective-Path">
    <vt:lpwstr>Whole of ACT Government:ICRC - Independent Competition and Regulatory Commission:04. PROJECTS:03. Licensing and Compliance:Fees and Levies:2019-20:Instruments:EIL:</vt:lpwstr>
  </property>
  <property fmtid="{D5CDD505-2E9C-101B-9397-08002B2CF9AE}" pid="13" name="Objective-Parent">
    <vt:lpwstr>EIL</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In Confidence (green file cover)]</vt:lpwstr>
  </property>
  <property fmtid="{D5CDD505-2E9C-101B-9397-08002B2CF9AE}" pid="20" name="Objective-Caveats">
    <vt:lpwstr/>
  </property>
  <property fmtid="{D5CDD505-2E9C-101B-9397-08002B2CF9AE}" pid="21" name="Objective-Owner Agency [system]">
    <vt:lpwstr>CRA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