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9F85" w14:textId="77777777" w:rsidR="001A2036" w:rsidRDefault="00CA0B95">
      <w:pPr>
        <w:rPr>
          <w:rFonts w:ascii="Arial" w:hAnsi="Arial"/>
          <w:snapToGrid w:val="0"/>
          <w:color w:val="000000"/>
          <w:sz w:val="23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274A7C65" w14:textId="77777777" w:rsidR="001A2036" w:rsidRDefault="001A2036">
      <w:pPr>
        <w:rPr>
          <w:rFonts w:ascii="Arial" w:hAnsi="Arial"/>
          <w:snapToGrid w:val="0"/>
          <w:color w:val="000000"/>
          <w:sz w:val="23"/>
        </w:rPr>
      </w:pPr>
    </w:p>
    <w:p w14:paraId="6F9308AD" w14:textId="77777777" w:rsidR="00866813" w:rsidRDefault="00866813" w:rsidP="00866813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– </w:t>
      </w:r>
      <w:r w:rsidR="00D12C54">
        <w:rPr>
          <w:rFonts w:ascii="Arial" w:hAnsi="Arial"/>
          <w:b/>
          <w:snapToGrid w:val="0"/>
          <w:color w:val="000000"/>
          <w:sz w:val="40"/>
        </w:rPr>
        <w:t>net regulatory cost</w:t>
      </w:r>
      <w:r>
        <w:rPr>
          <w:rFonts w:ascii="Arial" w:hAnsi="Arial"/>
          <w:b/>
          <w:snapToGrid w:val="0"/>
          <w:color w:val="000000"/>
          <w:sz w:val="40"/>
        </w:rPr>
        <w:t>) Determination 201</w:t>
      </w:r>
      <w:r w:rsidR="00C941C9">
        <w:rPr>
          <w:rFonts w:ascii="Arial" w:hAnsi="Arial"/>
          <w:b/>
          <w:snapToGrid w:val="0"/>
          <w:color w:val="000000"/>
          <w:sz w:val="40"/>
        </w:rPr>
        <w:t>9</w:t>
      </w:r>
    </w:p>
    <w:p w14:paraId="76C0DAD1" w14:textId="77777777" w:rsidR="00866813" w:rsidRDefault="00866813" w:rsidP="00866813">
      <w:pPr>
        <w:rPr>
          <w:rFonts w:ascii="Arial" w:hAnsi="Arial"/>
          <w:b/>
          <w:snapToGrid w:val="0"/>
          <w:color w:val="000000"/>
          <w:sz w:val="32"/>
        </w:rPr>
      </w:pPr>
    </w:p>
    <w:p w14:paraId="5F977B6F" w14:textId="52973152" w:rsidR="00866813" w:rsidRDefault="00866813" w:rsidP="00866813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NI201</w:t>
      </w:r>
      <w:r w:rsidR="00C941C9">
        <w:rPr>
          <w:rFonts w:ascii="Arial" w:hAnsi="Arial"/>
          <w:b/>
          <w:snapToGrid w:val="0"/>
          <w:color w:val="000000"/>
        </w:rPr>
        <w:t>9</w:t>
      </w:r>
      <w:r>
        <w:rPr>
          <w:rFonts w:ascii="Arial" w:hAnsi="Arial"/>
          <w:b/>
          <w:snapToGrid w:val="0"/>
          <w:color w:val="000000"/>
        </w:rPr>
        <w:t>–</w:t>
      </w:r>
      <w:r w:rsidR="00CD4C38">
        <w:rPr>
          <w:rFonts w:ascii="Arial" w:hAnsi="Arial"/>
          <w:b/>
          <w:snapToGrid w:val="0"/>
          <w:color w:val="000000"/>
        </w:rPr>
        <w:t>637</w:t>
      </w:r>
    </w:p>
    <w:p w14:paraId="516746BC" w14:textId="77777777" w:rsidR="00866813" w:rsidRDefault="00866813" w:rsidP="00866813">
      <w:pPr>
        <w:rPr>
          <w:rFonts w:ascii="Arial" w:hAnsi="Arial"/>
          <w:b/>
          <w:snapToGrid w:val="0"/>
          <w:color w:val="000000"/>
        </w:rPr>
      </w:pPr>
    </w:p>
    <w:p w14:paraId="02118C58" w14:textId="77777777" w:rsidR="00866813" w:rsidRDefault="00866813" w:rsidP="00866813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7641AA9D" w14:textId="77777777" w:rsidR="00866813" w:rsidRDefault="00866813" w:rsidP="00866813">
      <w:pPr>
        <w:pStyle w:val="CoverActName"/>
      </w:pPr>
      <w:r w:rsidRPr="003C2D00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61268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54C (Energy industry levy</w:t>
      </w:r>
      <w:r>
        <w:rPr>
          <w:rFonts w:asciiTheme="minorHAnsi" w:hAnsiTheme="minorHAnsi"/>
          <w:i/>
          <w:iCs/>
        </w:rPr>
        <w:t>–</w:t>
      </w:r>
      <w:r w:rsidRPr="00311128">
        <w:rPr>
          <w:rFonts w:asciiTheme="minorHAnsi" w:hAnsiTheme="minorHAnsi"/>
          <w:iCs/>
        </w:rPr>
        <w:t>imposition</w:t>
      </w:r>
      <w:r>
        <w:rPr>
          <w:rFonts w:asciiTheme="minorHAnsi" w:hAnsiTheme="minorHAnsi"/>
          <w:iCs/>
        </w:rPr>
        <w:t>)</w:t>
      </w:r>
      <w:r w:rsidRPr="00311128">
        <w:rPr>
          <w:rFonts w:asciiTheme="minorHAnsi" w:hAnsiTheme="minorHAnsi"/>
          <w:iCs/>
        </w:rPr>
        <w:t xml:space="preserve"> and </w:t>
      </w:r>
      <w:r w:rsidRPr="00311128">
        <w:rPr>
          <w:rFonts w:cs="Arial"/>
          <w:sz w:val="20"/>
        </w:rPr>
        <w:t>section</w:t>
      </w:r>
      <w:r>
        <w:rPr>
          <w:rFonts w:cs="Arial"/>
          <w:sz w:val="20"/>
        </w:rPr>
        <w:t xml:space="preserve"> 54GA(</w:t>
      </w:r>
      <w:r w:rsidR="00D12C54">
        <w:rPr>
          <w:rFonts w:cs="Arial"/>
          <w:sz w:val="20"/>
        </w:rPr>
        <w:t>1</w:t>
      </w:r>
      <w:r>
        <w:rPr>
          <w:rFonts w:cs="Arial"/>
          <w:sz w:val="20"/>
        </w:rPr>
        <w:t>) (Regulatory cost – determinations (</w:t>
      </w:r>
      <w:r w:rsidR="00D12C54">
        <w:rPr>
          <w:rFonts w:cs="Arial"/>
          <w:sz w:val="20"/>
        </w:rPr>
        <w:t>net regulatory cost</w:t>
      </w:r>
      <w:r>
        <w:rPr>
          <w:rFonts w:cs="Arial"/>
          <w:sz w:val="20"/>
        </w:rPr>
        <w:t>))</w:t>
      </w:r>
    </w:p>
    <w:p w14:paraId="503B2E0A" w14:textId="77777777" w:rsidR="00096CB7" w:rsidRDefault="00096CB7" w:rsidP="00096CB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96220DC" w14:textId="77777777" w:rsidR="00096CB7" w:rsidRDefault="00096CB7" w:rsidP="00096CB7">
      <w:pPr>
        <w:pStyle w:val="N-line3"/>
        <w:pBdr>
          <w:bottom w:val="none" w:sz="0" w:space="0" w:color="auto"/>
        </w:pBdr>
      </w:pPr>
    </w:p>
    <w:p w14:paraId="149348A1" w14:textId="77777777" w:rsidR="00096CB7" w:rsidRDefault="00096CB7" w:rsidP="00096CB7">
      <w:pPr>
        <w:pStyle w:val="N-line3"/>
        <w:pBdr>
          <w:top w:val="single" w:sz="12" w:space="1" w:color="auto"/>
          <w:bottom w:val="none" w:sz="0" w:space="0" w:color="auto"/>
        </w:pBdr>
      </w:pPr>
    </w:p>
    <w:p w14:paraId="7155FE82" w14:textId="77777777" w:rsidR="00D12C54" w:rsidRDefault="00D12C54" w:rsidP="0069355B">
      <w:pPr>
        <w:spacing w:after="140"/>
        <w:rPr>
          <w:rFonts w:asciiTheme="minorHAnsi" w:hAnsiTheme="minorHAnsi"/>
        </w:rPr>
      </w:pPr>
      <w:r w:rsidRPr="001F4A70">
        <w:rPr>
          <w:rFonts w:asciiTheme="minorHAnsi" w:hAnsiTheme="minorHAnsi"/>
        </w:rPr>
        <w:t>Section 54</w:t>
      </w:r>
      <w:r>
        <w:rPr>
          <w:rFonts w:asciiTheme="minorHAnsi" w:hAnsiTheme="minorHAnsi"/>
        </w:rPr>
        <w:t>GA</w:t>
      </w:r>
      <w:r w:rsidRPr="001F4A70">
        <w:rPr>
          <w:rFonts w:asciiTheme="minorHAnsi" w:hAnsiTheme="minorHAnsi"/>
        </w:rPr>
        <w:t xml:space="preserve"> of the </w:t>
      </w:r>
      <w:r w:rsidRPr="001F4A70">
        <w:rPr>
          <w:rFonts w:asciiTheme="minorHAnsi" w:hAnsiTheme="minorHAnsi"/>
          <w:i/>
        </w:rPr>
        <w:t xml:space="preserve">Utilities Act 2000 </w:t>
      </w:r>
      <w:r w:rsidRPr="001F4A70">
        <w:rPr>
          <w:rFonts w:asciiTheme="minorHAnsi" w:hAnsiTheme="minorHAnsi"/>
        </w:rPr>
        <w:t>requires the</w:t>
      </w:r>
      <w:r w:rsidRPr="001F4A70">
        <w:rPr>
          <w:rFonts w:asciiTheme="minorHAnsi" w:hAnsiTheme="minorHAnsi"/>
          <w:i/>
        </w:rPr>
        <w:t xml:space="preserve"> </w:t>
      </w:r>
      <w:r w:rsidRPr="001F4A70">
        <w:rPr>
          <w:rFonts w:asciiTheme="minorHAnsi" w:hAnsiTheme="minorHAnsi"/>
        </w:rPr>
        <w:t>Levy Administrator, appointed under section 25N, to determine</w:t>
      </w:r>
      <w:r>
        <w:rPr>
          <w:rFonts w:asciiTheme="minorHAnsi" w:hAnsiTheme="minorHAnsi"/>
        </w:rPr>
        <w:t>:</w:t>
      </w:r>
    </w:p>
    <w:p w14:paraId="0B11C002" w14:textId="322F45E8" w:rsidR="00D12C54" w:rsidRPr="00D12C54" w:rsidRDefault="00D12C54" w:rsidP="00D12C54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D12C54">
        <w:rPr>
          <w:rFonts w:asciiTheme="minorHAnsi" w:hAnsiTheme="minorHAnsi"/>
        </w:rPr>
        <w:t>The estimated net regulatory cost to be applied to each energy industry sector for the levy year</w:t>
      </w:r>
      <w:r w:rsidR="00FA651B">
        <w:rPr>
          <w:rFonts w:asciiTheme="minorHAnsi" w:hAnsiTheme="minorHAnsi"/>
        </w:rPr>
        <w:t xml:space="preserve"> (2019</w:t>
      </w:r>
      <w:r w:rsidR="00FA651B" w:rsidRPr="00FA651B">
        <w:rPr>
          <w:rFonts w:asciiTheme="minorHAnsi" w:hAnsiTheme="minorHAnsi"/>
        </w:rPr>
        <w:t>–</w:t>
      </w:r>
      <w:r w:rsidR="00FA651B">
        <w:rPr>
          <w:rFonts w:asciiTheme="minorHAnsi" w:hAnsiTheme="minorHAnsi"/>
        </w:rPr>
        <w:t>20)</w:t>
      </w:r>
      <w:r w:rsidRPr="00D12C54">
        <w:rPr>
          <w:rFonts w:asciiTheme="minorHAnsi" w:hAnsiTheme="minorHAnsi"/>
        </w:rPr>
        <w:t>; and</w:t>
      </w:r>
    </w:p>
    <w:p w14:paraId="42FFCD17" w14:textId="04FC8E82" w:rsidR="00D12C54" w:rsidRDefault="00D12C54" w:rsidP="00D12C54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D12C54">
        <w:rPr>
          <w:rFonts w:asciiTheme="minorHAnsi" w:hAnsiTheme="minorHAnsi"/>
        </w:rPr>
        <w:t>The actual net regulatory cost to be applied to each energy industry sector for the previous levy year</w:t>
      </w:r>
      <w:r w:rsidR="00FA651B">
        <w:rPr>
          <w:rFonts w:asciiTheme="minorHAnsi" w:hAnsiTheme="minorHAnsi"/>
        </w:rPr>
        <w:t xml:space="preserve"> (2018</w:t>
      </w:r>
      <w:r w:rsidR="00FA651B" w:rsidRPr="00FA651B">
        <w:rPr>
          <w:rFonts w:asciiTheme="minorHAnsi" w:hAnsiTheme="minorHAnsi"/>
        </w:rPr>
        <w:t>–</w:t>
      </w:r>
      <w:r w:rsidR="00FA651B">
        <w:rPr>
          <w:rFonts w:asciiTheme="minorHAnsi" w:hAnsiTheme="minorHAnsi"/>
        </w:rPr>
        <w:t>19)</w:t>
      </w:r>
      <w:r w:rsidRPr="00D12C54">
        <w:rPr>
          <w:rFonts w:asciiTheme="minorHAnsi" w:hAnsiTheme="minorHAnsi"/>
        </w:rPr>
        <w:t>.</w:t>
      </w:r>
    </w:p>
    <w:p w14:paraId="6A6BC651" w14:textId="77777777" w:rsidR="00D12C54" w:rsidRPr="00D12C54" w:rsidRDefault="00D12C54" w:rsidP="00D12C54">
      <w:pPr>
        <w:pStyle w:val="ListParagraph"/>
        <w:rPr>
          <w:rFonts w:asciiTheme="minorHAnsi" w:hAnsiTheme="minorHAnsi"/>
        </w:rPr>
      </w:pPr>
    </w:p>
    <w:p w14:paraId="43A3FEE5" w14:textId="77777777" w:rsidR="00D12C54" w:rsidRPr="001F4A70" w:rsidRDefault="00D12C54" w:rsidP="00D12C54">
      <w:pPr>
        <w:rPr>
          <w:rFonts w:asciiTheme="minorHAnsi" w:hAnsiTheme="minorHAnsi"/>
        </w:rPr>
      </w:pPr>
      <w:r w:rsidRPr="001F4A70">
        <w:rPr>
          <w:rFonts w:asciiTheme="minorHAnsi" w:hAnsiTheme="minorHAnsi"/>
        </w:rPr>
        <w:t xml:space="preserve">The </w:t>
      </w:r>
      <w:r w:rsidRPr="001F4A70">
        <w:rPr>
          <w:rFonts w:asciiTheme="minorHAnsi" w:hAnsiTheme="minorHAnsi"/>
          <w:i/>
        </w:rPr>
        <w:t xml:space="preserve">Utilities (Energy industry levy – </w:t>
      </w:r>
      <w:r>
        <w:rPr>
          <w:rFonts w:asciiTheme="minorHAnsi" w:hAnsiTheme="minorHAnsi"/>
          <w:i/>
        </w:rPr>
        <w:t>net regulatory cost</w:t>
      </w:r>
      <w:r w:rsidRPr="001F4A70">
        <w:rPr>
          <w:rFonts w:asciiTheme="minorHAnsi" w:hAnsiTheme="minorHAnsi"/>
          <w:i/>
        </w:rPr>
        <w:t>) Determination 201</w:t>
      </w:r>
      <w:r w:rsidR="00C941C9">
        <w:rPr>
          <w:rFonts w:asciiTheme="minorHAnsi" w:hAnsiTheme="minorHAnsi"/>
          <w:i/>
        </w:rPr>
        <w:t>9</w:t>
      </w:r>
      <w:r w:rsidRPr="001F4A70">
        <w:rPr>
          <w:rFonts w:asciiTheme="minorHAnsi" w:hAnsiTheme="minorHAnsi"/>
        </w:rPr>
        <w:t xml:space="preserve"> sets out the</w:t>
      </w:r>
      <w:r w:rsidR="0069355B">
        <w:rPr>
          <w:rFonts w:asciiTheme="minorHAnsi" w:hAnsiTheme="minorHAnsi"/>
        </w:rPr>
        <w:t xml:space="preserve"> costs</w:t>
      </w:r>
      <w:r w:rsidRPr="001F4A70">
        <w:rPr>
          <w:rFonts w:asciiTheme="minorHAnsi" w:hAnsiTheme="minorHAnsi"/>
        </w:rPr>
        <w:t xml:space="preserve"> determin</w:t>
      </w:r>
      <w:r w:rsidR="0069355B">
        <w:rPr>
          <w:rFonts w:asciiTheme="minorHAnsi" w:hAnsiTheme="minorHAnsi"/>
        </w:rPr>
        <w:t>ed by the Levy Administrator</w:t>
      </w:r>
      <w:r w:rsidRPr="001F4A70">
        <w:rPr>
          <w:rFonts w:asciiTheme="minorHAnsi" w:hAnsiTheme="minorHAnsi"/>
        </w:rPr>
        <w:t>.</w:t>
      </w:r>
    </w:p>
    <w:p w14:paraId="05767F7F" w14:textId="77777777" w:rsidR="00883701" w:rsidRDefault="00883701" w:rsidP="00866813">
      <w:pPr>
        <w:rPr>
          <w:rFonts w:asciiTheme="minorHAnsi" w:hAnsiTheme="minorHAnsi"/>
        </w:rPr>
      </w:pPr>
    </w:p>
    <w:p w14:paraId="2E05D89F" w14:textId="77777777" w:rsidR="00D12C54" w:rsidRDefault="00883701" w:rsidP="00866813">
      <w:pPr>
        <w:rPr>
          <w:rFonts w:asciiTheme="minorHAnsi" w:hAnsiTheme="minorHAnsi"/>
        </w:rPr>
      </w:pPr>
      <w:r w:rsidRPr="00621EA3">
        <w:rPr>
          <w:rFonts w:asciiTheme="minorHAnsi" w:hAnsiTheme="minorHAnsi"/>
        </w:rPr>
        <w:t>The four energy industry sectors subject to the levy are electricity distribution, electricity supply, gas distribution and gas supply.</w:t>
      </w:r>
    </w:p>
    <w:p w14:paraId="3154090E" w14:textId="77777777" w:rsidR="00883701" w:rsidRDefault="00883701" w:rsidP="00866813">
      <w:pPr>
        <w:rPr>
          <w:rFonts w:asciiTheme="minorHAnsi" w:hAnsiTheme="minorHAnsi" w:cstheme="minorHAnsi"/>
        </w:rPr>
      </w:pPr>
    </w:p>
    <w:sectPr w:rsidR="00883701" w:rsidSect="001A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EE0F" w14:textId="77777777" w:rsidR="00CC27E5" w:rsidRDefault="00CC27E5" w:rsidP="007E6897">
      <w:r>
        <w:separator/>
      </w:r>
    </w:p>
  </w:endnote>
  <w:endnote w:type="continuationSeparator" w:id="0">
    <w:p w14:paraId="79B2DD9F" w14:textId="77777777" w:rsidR="00CC27E5" w:rsidRDefault="00CC27E5" w:rsidP="007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E81A" w14:textId="77777777" w:rsidR="00C45B24" w:rsidRDefault="00C45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3BF2B" w14:textId="624AB8E7" w:rsidR="00C45B24" w:rsidRPr="00C45B24" w:rsidRDefault="00C45B24" w:rsidP="00C45B24">
    <w:pPr>
      <w:pStyle w:val="Footer"/>
      <w:jc w:val="center"/>
      <w:rPr>
        <w:rFonts w:ascii="Arial" w:hAnsi="Arial" w:cs="Arial"/>
        <w:sz w:val="14"/>
      </w:rPr>
    </w:pPr>
    <w:r w:rsidRPr="00C45B2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FB98" w14:textId="77777777" w:rsidR="00C45B24" w:rsidRDefault="00C4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1A421" w14:textId="77777777" w:rsidR="00CC27E5" w:rsidRDefault="00CC27E5" w:rsidP="007E6897">
      <w:r>
        <w:separator/>
      </w:r>
    </w:p>
  </w:footnote>
  <w:footnote w:type="continuationSeparator" w:id="0">
    <w:p w14:paraId="44E3F77D" w14:textId="77777777" w:rsidR="00CC27E5" w:rsidRDefault="00CC27E5" w:rsidP="007E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4003" w14:textId="77777777" w:rsidR="00C45B24" w:rsidRDefault="00C45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6DCE" w14:textId="77777777" w:rsidR="00C45B24" w:rsidRDefault="00C45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0DBD8" w14:textId="77777777" w:rsidR="00C45B24" w:rsidRDefault="00C45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C1EF38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F154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695CFD"/>
    <w:multiLevelType w:val="singleLevel"/>
    <w:tmpl w:val="5B6E15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BE43DC"/>
    <w:multiLevelType w:val="hybridMultilevel"/>
    <w:tmpl w:val="43A0A61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F68D6"/>
    <w:multiLevelType w:val="hybridMultilevel"/>
    <w:tmpl w:val="03D2E72A"/>
    <w:lvl w:ilvl="0" w:tplc="FBE89A68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F1DA0"/>
    <w:multiLevelType w:val="hybridMultilevel"/>
    <w:tmpl w:val="B38A539E"/>
    <w:lvl w:ilvl="0" w:tplc="27123F8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5750CA"/>
    <w:multiLevelType w:val="multilevel"/>
    <w:tmpl w:val="E3E6A09A"/>
    <w:lvl w:ilvl="0">
      <w:start w:val="1"/>
      <w:numFmt w:val="lowerLetter"/>
      <w:lvlText w:val="(%1)"/>
      <w:legacy w:legacy="1" w:legacySpace="0" w:legacyIndent="737"/>
      <w:lvlJc w:val="left"/>
      <w:pPr>
        <w:ind w:left="772" w:hanging="73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8" w15:restartNumberingAfterBreak="0">
    <w:nsid w:val="159A5EE8"/>
    <w:multiLevelType w:val="hybridMultilevel"/>
    <w:tmpl w:val="808E6DD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27E81BFE"/>
    <w:multiLevelType w:val="hybridMultilevel"/>
    <w:tmpl w:val="48EA9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492B"/>
    <w:multiLevelType w:val="singleLevel"/>
    <w:tmpl w:val="E5020C2C"/>
    <w:lvl w:ilvl="0">
      <w:start w:val="1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12" w15:restartNumberingAfterBreak="0">
    <w:nsid w:val="2C200F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953FA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A827F1"/>
    <w:multiLevelType w:val="multilevel"/>
    <w:tmpl w:val="2A9614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714699"/>
    <w:multiLevelType w:val="singleLevel"/>
    <w:tmpl w:val="F168A364"/>
    <w:lvl w:ilvl="0">
      <w:start w:val="1"/>
      <w:numFmt w:val="lowerRoman"/>
      <w:lvlText w:val="(%1)"/>
      <w:legacy w:legacy="1" w:legacySpace="0" w:legacyIndent="737"/>
      <w:lvlJc w:val="left"/>
      <w:pPr>
        <w:ind w:left="1472" w:hanging="737"/>
      </w:pPr>
    </w:lvl>
  </w:abstractNum>
  <w:abstractNum w:abstractNumId="16" w15:restartNumberingAfterBreak="0">
    <w:nsid w:val="3F125552"/>
    <w:multiLevelType w:val="singleLevel"/>
    <w:tmpl w:val="1958BEF0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410BC3"/>
    <w:multiLevelType w:val="singleLevel"/>
    <w:tmpl w:val="CBB0B0C4"/>
    <w:lvl w:ilvl="0">
      <w:start w:val="1"/>
      <w:numFmt w:val="lowerLetter"/>
      <w:lvlText w:val="(%1)"/>
      <w:legacy w:legacy="1" w:legacySpace="284" w:legacyIndent="567"/>
      <w:lvlJc w:val="left"/>
      <w:pPr>
        <w:ind w:left="567" w:hanging="567"/>
      </w:pPr>
    </w:lvl>
  </w:abstractNum>
  <w:abstractNum w:abstractNumId="19" w15:restartNumberingAfterBreak="0">
    <w:nsid w:val="44F400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480D8F"/>
    <w:multiLevelType w:val="singleLevel"/>
    <w:tmpl w:val="08FC1498"/>
    <w:lvl w:ilvl="0">
      <w:start w:val="2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1" w15:restartNumberingAfterBreak="0">
    <w:nsid w:val="499113DE"/>
    <w:multiLevelType w:val="singleLevel"/>
    <w:tmpl w:val="6EA4E5CC"/>
    <w:lvl w:ilvl="0">
      <w:start w:val="1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2" w15:restartNumberingAfterBreak="0">
    <w:nsid w:val="4E7B1744"/>
    <w:multiLevelType w:val="hybridMultilevel"/>
    <w:tmpl w:val="A0EE55DA"/>
    <w:lvl w:ilvl="0" w:tplc="F096333C">
      <w:start w:val="1"/>
      <w:numFmt w:val="lowerRoman"/>
      <w:lvlText w:val="%1."/>
      <w:lvlJc w:val="right"/>
      <w:pPr>
        <w:tabs>
          <w:tab w:val="num" w:pos="1782"/>
        </w:tabs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3" w15:restartNumberingAfterBreak="0">
    <w:nsid w:val="54F339F0"/>
    <w:multiLevelType w:val="hybridMultilevel"/>
    <w:tmpl w:val="D25A6E96"/>
    <w:lvl w:ilvl="0" w:tplc="AFC6F424">
      <w:start w:val="2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B4D68"/>
    <w:multiLevelType w:val="hybridMultilevel"/>
    <w:tmpl w:val="8580F5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62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303E9B"/>
    <w:multiLevelType w:val="singleLevel"/>
    <w:tmpl w:val="1598D274"/>
    <w:lvl w:ilvl="0">
      <w:start w:val="2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27" w15:restartNumberingAfterBreak="0">
    <w:nsid w:val="671863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952C1C"/>
    <w:multiLevelType w:val="hybridMultilevel"/>
    <w:tmpl w:val="C1AEB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8A4AC8"/>
    <w:multiLevelType w:val="hybridMultilevel"/>
    <w:tmpl w:val="2506D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A0F53"/>
    <w:multiLevelType w:val="hybridMultilevel"/>
    <w:tmpl w:val="05B0693A"/>
    <w:lvl w:ilvl="0" w:tplc="157A2C4E">
      <w:start w:val="2"/>
      <w:numFmt w:val="low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7BC62657"/>
    <w:multiLevelType w:val="hybridMultilevel"/>
    <w:tmpl w:val="29F861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5"/>
  </w:num>
  <w:num w:numId="4">
    <w:abstractNumId w:val="12"/>
  </w:num>
  <w:num w:numId="5">
    <w:abstractNumId w:val="19"/>
  </w:num>
  <w:num w:numId="6">
    <w:abstractNumId w:val="3"/>
  </w:num>
  <w:num w:numId="7">
    <w:abstractNumId w:val="27"/>
  </w:num>
  <w:num w:numId="8">
    <w:abstractNumId w:val="22"/>
  </w:num>
  <w:num w:numId="9">
    <w:abstractNumId w:val="23"/>
  </w:num>
  <w:num w:numId="10">
    <w:abstractNumId w:val="30"/>
  </w:num>
  <w:num w:numId="11">
    <w:abstractNumId w:val="14"/>
  </w:num>
  <w:num w:numId="12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3">
    <w:abstractNumId w:val="0"/>
  </w:num>
  <w:num w:numId="14">
    <w:abstractNumId w:val="20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8">
    <w:abstractNumId w:val="8"/>
  </w:num>
  <w:num w:numId="19">
    <w:abstractNumId w:val="11"/>
  </w:num>
  <w:num w:numId="20">
    <w:abstractNumId w:val="13"/>
  </w:num>
  <w:num w:numId="21">
    <w:abstractNumId w:val="7"/>
  </w:num>
  <w:num w:numId="22">
    <w:abstractNumId w:val="21"/>
  </w:num>
  <w:num w:numId="23">
    <w:abstractNumId w:val="18"/>
  </w:num>
  <w:num w:numId="24">
    <w:abstractNumId w:val="26"/>
  </w:num>
  <w:num w:numId="25">
    <w:abstractNumId w:val="15"/>
  </w:num>
  <w:num w:numId="26">
    <w:abstractNumId w:val="5"/>
  </w:num>
  <w:num w:numId="27">
    <w:abstractNumId w:val="31"/>
  </w:num>
  <w:num w:numId="28">
    <w:abstractNumId w:val="6"/>
  </w:num>
  <w:num w:numId="29">
    <w:abstractNumId w:val="4"/>
  </w:num>
  <w:num w:numId="30">
    <w:abstractNumId w:val="17"/>
  </w:num>
  <w:num w:numId="31">
    <w:abstractNumId w:val="9"/>
  </w:num>
  <w:num w:numId="32">
    <w:abstractNumId w:val="29"/>
  </w:num>
  <w:num w:numId="33">
    <w:abstractNumId w:val="1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8"/>
    <w:rsid w:val="00080CD5"/>
    <w:rsid w:val="00091DB5"/>
    <w:rsid w:val="00096CB7"/>
    <w:rsid w:val="000D3506"/>
    <w:rsid w:val="001A2036"/>
    <w:rsid w:val="001D42A5"/>
    <w:rsid w:val="001F1C5A"/>
    <w:rsid w:val="001F1DB0"/>
    <w:rsid w:val="0024639A"/>
    <w:rsid w:val="00260B66"/>
    <w:rsid w:val="00267770"/>
    <w:rsid w:val="00275199"/>
    <w:rsid w:val="002C0839"/>
    <w:rsid w:val="002E36C1"/>
    <w:rsid w:val="002E7A58"/>
    <w:rsid w:val="003045DF"/>
    <w:rsid w:val="00392914"/>
    <w:rsid w:val="003B6E65"/>
    <w:rsid w:val="003C39EF"/>
    <w:rsid w:val="003D1C43"/>
    <w:rsid w:val="003E7C60"/>
    <w:rsid w:val="00407491"/>
    <w:rsid w:val="00426B31"/>
    <w:rsid w:val="004569D1"/>
    <w:rsid w:val="004E1F2A"/>
    <w:rsid w:val="004E3CAE"/>
    <w:rsid w:val="00502661"/>
    <w:rsid w:val="00512DA3"/>
    <w:rsid w:val="00517A8A"/>
    <w:rsid w:val="00535B31"/>
    <w:rsid w:val="00571EA3"/>
    <w:rsid w:val="005A0E56"/>
    <w:rsid w:val="005C4E89"/>
    <w:rsid w:val="005D6D9D"/>
    <w:rsid w:val="005E05B1"/>
    <w:rsid w:val="005E4454"/>
    <w:rsid w:val="00615BE3"/>
    <w:rsid w:val="00621EA3"/>
    <w:rsid w:val="0069355B"/>
    <w:rsid w:val="00696C15"/>
    <w:rsid w:val="006A06AD"/>
    <w:rsid w:val="006B3F4C"/>
    <w:rsid w:val="006D0AC3"/>
    <w:rsid w:val="006E325C"/>
    <w:rsid w:val="006E6A59"/>
    <w:rsid w:val="00714C3F"/>
    <w:rsid w:val="00721DB6"/>
    <w:rsid w:val="00742474"/>
    <w:rsid w:val="00766A4A"/>
    <w:rsid w:val="00783BA9"/>
    <w:rsid w:val="007D451E"/>
    <w:rsid w:val="007E6584"/>
    <w:rsid w:val="007E6897"/>
    <w:rsid w:val="00820604"/>
    <w:rsid w:val="0084136F"/>
    <w:rsid w:val="00866813"/>
    <w:rsid w:val="00883701"/>
    <w:rsid w:val="008A6B55"/>
    <w:rsid w:val="00936E82"/>
    <w:rsid w:val="00951BD3"/>
    <w:rsid w:val="00967E3B"/>
    <w:rsid w:val="00980BCD"/>
    <w:rsid w:val="009826AB"/>
    <w:rsid w:val="009E35AE"/>
    <w:rsid w:val="00A0244B"/>
    <w:rsid w:val="00A3103E"/>
    <w:rsid w:val="00A5485C"/>
    <w:rsid w:val="00A72148"/>
    <w:rsid w:val="00A727AF"/>
    <w:rsid w:val="00AD3141"/>
    <w:rsid w:val="00AE2F70"/>
    <w:rsid w:val="00AE5D39"/>
    <w:rsid w:val="00B26F4C"/>
    <w:rsid w:val="00B44A4E"/>
    <w:rsid w:val="00B621BD"/>
    <w:rsid w:val="00BD2361"/>
    <w:rsid w:val="00BD6572"/>
    <w:rsid w:val="00C1156B"/>
    <w:rsid w:val="00C36C26"/>
    <w:rsid w:val="00C45B24"/>
    <w:rsid w:val="00C827CE"/>
    <w:rsid w:val="00C941C9"/>
    <w:rsid w:val="00CA0A35"/>
    <w:rsid w:val="00CA0B95"/>
    <w:rsid w:val="00CC095F"/>
    <w:rsid w:val="00CC27E5"/>
    <w:rsid w:val="00CD1D8A"/>
    <w:rsid w:val="00CD4C38"/>
    <w:rsid w:val="00CF598B"/>
    <w:rsid w:val="00D12C54"/>
    <w:rsid w:val="00D82D4B"/>
    <w:rsid w:val="00E000A1"/>
    <w:rsid w:val="00E128B0"/>
    <w:rsid w:val="00E30C95"/>
    <w:rsid w:val="00E33251"/>
    <w:rsid w:val="00E61458"/>
    <w:rsid w:val="00E67F5E"/>
    <w:rsid w:val="00E765D4"/>
    <w:rsid w:val="00E847CF"/>
    <w:rsid w:val="00E95BEA"/>
    <w:rsid w:val="00ED361B"/>
    <w:rsid w:val="00ED3B37"/>
    <w:rsid w:val="00ED7756"/>
    <w:rsid w:val="00F40D36"/>
    <w:rsid w:val="00F573DA"/>
    <w:rsid w:val="00F77AF3"/>
    <w:rsid w:val="00F8496F"/>
    <w:rsid w:val="00F85D9E"/>
    <w:rsid w:val="00F86B5B"/>
    <w:rsid w:val="00FA48C1"/>
    <w:rsid w:val="00FA4A3F"/>
    <w:rsid w:val="00FA651B"/>
    <w:rsid w:val="00FA7ABA"/>
    <w:rsid w:val="00FD371C"/>
    <w:rsid w:val="00FE1414"/>
    <w:rsid w:val="00FE2B27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B41B01"/>
  <w15:docId w15:val="{7D59450E-BF9A-4A5D-B444-5D40966C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A203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A203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2036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1A2036"/>
    <w:pPr>
      <w:tabs>
        <w:tab w:val="left" w:pos="1418"/>
      </w:tabs>
      <w:spacing w:before="120" w:after="120"/>
      <w:ind w:left="1418" w:hanging="567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qFormat/>
    <w:rsid w:val="001A2036"/>
    <w:pPr>
      <w:tabs>
        <w:tab w:val="left" w:pos="1985"/>
      </w:tabs>
      <w:spacing w:before="40" w:after="40"/>
      <w:ind w:left="1985" w:hanging="567"/>
      <w:outlineLvl w:val="3"/>
    </w:pPr>
    <w:rPr>
      <w:rFonts w:ascii="Arial" w:hAnsi="Arial"/>
      <w:sz w:val="22"/>
    </w:rPr>
  </w:style>
  <w:style w:type="paragraph" w:styleId="Heading5">
    <w:name w:val="heading 5"/>
    <w:basedOn w:val="Heading1"/>
    <w:qFormat/>
    <w:rsid w:val="001A2036"/>
    <w:pPr>
      <w:keepNext w:val="0"/>
      <w:spacing w:before="240"/>
      <w:outlineLvl w:val="4"/>
    </w:pPr>
    <w:rPr>
      <w:b w:val="0"/>
      <w:smallCaps/>
      <w:sz w:val="22"/>
    </w:rPr>
  </w:style>
  <w:style w:type="paragraph" w:styleId="Heading6">
    <w:name w:val="heading 6"/>
    <w:basedOn w:val="Heading1"/>
    <w:qFormat/>
    <w:rsid w:val="001A2036"/>
    <w:pPr>
      <w:keepNext w:val="0"/>
      <w:spacing w:before="240"/>
      <w:outlineLvl w:val="5"/>
    </w:pPr>
    <w:rPr>
      <w:b w:val="0"/>
      <w:smallCaps/>
      <w:sz w:val="22"/>
    </w:rPr>
  </w:style>
  <w:style w:type="paragraph" w:styleId="Heading7">
    <w:name w:val="heading 7"/>
    <w:basedOn w:val="Heading1"/>
    <w:qFormat/>
    <w:rsid w:val="001A2036"/>
    <w:pPr>
      <w:keepNext w:val="0"/>
      <w:spacing w:before="240"/>
      <w:outlineLvl w:val="6"/>
    </w:pPr>
    <w:rPr>
      <w:b w:val="0"/>
      <w:smallCaps/>
      <w:sz w:val="22"/>
    </w:rPr>
  </w:style>
  <w:style w:type="paragraph" w:styleId="Heading8">
    <w:name w:val="heading 8"/>
    <w:basedOn w:val="Heading1"/>
    <w:qFormat/>
    <w:rsid w:val="001A2036"/>
    <w:pPr>
      <w:keepNext w:val="0"/>
      <w:spacing w:before="240"/>
      <w:outlineLvl w:val="7"/>
    </w:pPr>
    <w:rPr>
      <w:b w:val="0"/>
      <w:smallCaps/>
      <w:sz w:val="22"/>
    </w:rPr>
  </w:style>
  <w:style w:type="paragraph" w:styleId="Heading9">
    <w:name w:val="heading 9"/>
    <w:basedOn w:val="Heading1"/>
    <w:qFormat/>
    <w:rsid w:val="001A2036"/>
    <w:pPr>
      <w:keepNext w:val="0"/>
      <w:spacing w:before="240"/>
      <w:outlineLvl w:val="8"/>
    </w:pPr>
    <w:rPr>
      <w:b w:val="0"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2036"/>
    <w:pPr>
      <w:spacing w:after="120"/>
      <w:ind w:left="284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rsid w:val="001A2036"/>
    <w:rPr>
      <w:rFonts w:ascii="Arial" w:hAnsi="Arial"/>
      <w:snapToGrid w:val="0"/>
      <w:color w:val="000000"/>
    </w:rPr>
  </w:style>
  <w:style w:type="paragraph" w:customStyle="1" w:styleId="BodyText1">
    <w:name w:val="Body Text 1"/>
    <w:basedOn w:val="Normal"/>
    <w:rsid w:val="001A2036"/>
    <w:pPr>
      <w:spacing w:before="240"/>
      <w:ind w:left="709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1A2036"/>
    <w:pPr>
      <w:spacing w:before="60"/>
      <w:ind w:left="851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1A2036"/>
    <w:rPr>
      <w:color w:val="0000FF"/>
      <w:u w:val="single"/>
    </w:rPr>
  </w:style>
  <w:style w:type="paragraph" w:styleId="BodyTextIndent2">
    <w:name w:val="Body Text Indent 2"/>
    <w:basedOn w:val="Normal"/>
    <w:rsid w:val="001A2036"/>
    <w:pPr>
      <w:ind w:left="567"/>
    </w:pPr>
    <w:rPr>
      <w:rFonts w:ascii="Arial" w:hAnsi="Arial" w:cs="Arial"/>
    </w:rPr>
  </w:style>
  <w:style w:type="paragraph" w:styleId="BodyText3">
    <w:name w:val="Body Text 3"/>
    <w:basedOn w:val="Normal"/>
    <w:rsid w:val="001A2036"/>
    <w:pPr>
      <w:jc w:val="right"/>
    </w:pPr>
    <w:rPr>
      <w:rFonts w:ascii="Arial" w:hAnsi="Arial"/>
      <w:snapToGrid w:val="0"/>
      <w:color w:val="000000"/>
    </w:rPr>
  </w:style>
  <w:style w:type="character" w:styleId="FootnoteReference">
    <w:name w:val="footnote reference"/>
    <w:basedOn w:val="DefaultParagraphFont"/>
    <w:semiHidden/>
    <w:rsid w:val="001A2036"/>
    <w:rPr>
      <w:vertAlign w:val="superscript"/>
    </w:rPr>
  </w:style>
  <w:style w:type="paragraph" w:styleId="BodyTextIndent3">
    <w:name w:val="Body Text Indent 3"/>
    <w:basedOn w:val="Normal"/>
    <w:rsid w:val="001A2036"/>
    <w:pPr>
      <w:spacing w:before="120" w:after="120"/>
      <w:ind w:left="742" w:hanging="283"/>
    </w:pPr>
    <w:rPr>
      <w:rFonts w:ascii="Times" w:hAnsi="Times"/>
      <w:sz w:val="22"/>
    </w:rPr>
  </w:style>
  <w:style w:type="paragraph" w:styleId="Header">
    <w:name w:val="header"/>
    <w:basedOn w:val="Normal"/>
    <w:rsid w:val="001A2036"/>
    <w:pPr>
      <w:tabs>
        <w:tab w:val="center" w:pos="4153"/>
        <w:tab w:val="right" w:pos="8306"/>
      </w:tabs>
    </w:pPr>
    <w:rPr>
      <w:rFonts w:ascii="Times" w:hAnsi="Times"/>
    </w:rPr>
  </w:style>
  <w:style w:type="paragraph" w:styleId="FootnoteText">
    <w:name w:val="footnote text"/>
    <w:basedOn w:val="Normal"/>
    <w:semiHidden/>
    <w:rsid w:val="001A2036"/>
    <w:rPr>
      <w:sz w:val="20"/>
    </w:rPr>
  </w:style>
  <w:style w:type="paragraph" w:customStyle="1" w:styleId="CoverActName">
    <w:name w:val="CoverActName"/>
    <w:basedOn w:val="Normal"/>
    <w:rsid w:val="001A203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TOC4">
    <w:name w:val="toc 4"/>
    <w:basedOn w:val="Normal"/>
    <w:next w:val="Normal"/>
    <w:autoRedefine/>
    <w:semiHidden/>
    <w:rsid w:val="001A2036"/>
    <w:pPr>
      <w:ind w:left="720"/>
    </w:pPr>
  </w:style>
  <w:style w:type="table" w:styleId="TableGrid">
    <w:name w:val="Table Grid"/>
    <w:basedOn w:val="TableNormal"/>
    <w:rsid w:val="001A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2036"/>
    <w:rPr>
      <w:rFonts w:ascii="Tahoma" w:hAnsi="Tahoma" w:cs="Tahoma"/>
      <w:sz w:val="16"/>
      <w:szCs w:val="16"/>
    </w:rPr>
  </w:style>
  <w:style w:type="paragraph" w:customStyle="1" w:styleId="N-line3">
    <w:name w:val="N-line3"/>
    <w:basedOn w:val="Normal"/>
    <w:next w:val="Normal"/>
    <w:rsid w:val="00096CB7"/>
    <w:pPr>
      <w:pBdr>
        <w:bottom w:val="single" w:sz="12" w:space="1" w:color="auto"/>
      </w:pBdr>
      <w:jc w:val="both"/>
    </w:pPr>
  </w:style>
  <w:style w:type="paragraph" w:styleId="ListParagraph">
    <w:name w:val="List Paragraph"/>
    <w:basedOn w:val="Normal"/>
    <w:uiPriority w:val="34"/>
    <w:qFormat/>
    <w:rsid w:val="00091DB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C45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5B2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5C86-B0AD-4BEC-807A-A0412F3F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799</Characters>
  <Application>Microsoft Office Word</Application>
  <DocSecurity>2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5</cp:revision>
  <cp:lastPrinted>2012-09-28T02:33:00Z</cp:lastPrinted>
  <dcterms:created xsi:type="dcterms:W3CDTF">2019-09-27T01:44:00Z</dcterms:created>
  <dcterms:modified xsi:type="dcterms:W3CDTF">2019-09-27T01:44:00Z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A20903281</vt:lpwstr>
  </property>
  <property fmtid="{D5CDD505-2E9C-101B-9397-08002B2CF9AE}" pid="4" name="Objective-Title">
    <vt:lpwstr>EIL determination 54GA 2019-20 ES</vt:lpwstr>
  </property>
  <property fmtid="{D5CDD505-2E9C-101B-9397-08002B2CF9AE}" pid="5" name="Objective-Comment">
    <vt:lpwstr/>
  </property>
  <property fmtid="{D5CDD505-2E9C-101B-9397-08002B2CF9AE}" pid="6" name="Objective-CreationStamp">
    <vt:filetime>2019-08-04T21:22:21Z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2019-09-25T23:02:40Z</vt:filetime>
  </property>
  <property fmtid="{D5CDD505-2E9C-101B-9397-08002B2CF9AE}" pid="10" name="Objective-ModificationStamp">
    <vt:filetime>2019-09-25T23:02:40Z</vt:filetime>
  </property>
  <property fmtid="{D5CDD505-2E9C-101B-9397-08002B2CF9AE}" pid="11" name="Objective-Owner">
    <vt:lpwstr>Rebecca Grame</vt:lpwstr>
  </property>
  <property fmtid="{D5CDD505-2E9C-101B-9397-08002B2CF9AE}" pid="12" name="Objective-Path">
    <vt:lpwstr>Whole of ACT Government:ICRC - Independent Competition and Regulatory Commission:04. PROJECTS:03. Licensing and Compliance:Fees and Levies:2019-20:Instruments:EIL:</vt:lpwstr>
  </property>
  <property fmtid="{D5CDD505-2E9C-101B-9397-08002B2CF9AE}" pid="13" name="Objective-Parent">
    <vt:lpwstr>EIL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