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03CC7" w14:textId="77777777" w:rsidR="00F04D8F" w:rsidRPr="00302A52" w:rsidRDefault="00F04D8F">
      <w:pPr>
        <w:spacing w:before="120"/>
        <w:rPr>
          <w:rFonts w:ascii="Arial" w:hAnsi="Arial" w:cs="Arial"/>
        </w:rPr>
      </w:pPr>
      <w:bookmarkStart w:id="0" w:name="_GoBack"/>
      <w:bookmarkEnd w:id="0"/>
      <w:r w:rsidRPr="00302A52">
        <w:rPr>
          <w:rFonts w:ascii="Arial" w:hAnsi="Arial" w:cs="Arial"/>
        </w:rPr>
        <w:t>Australian Capital Territory</w:t>
      </w:r>
    </w:p>
    <w:p w14:paraId="57C864E0" w14:textId="0235EAF0" w:rsidR="00F04D8F" w:rsidRDefault="00292AE9">
      <w:pPr>
        <w:pStyle w:val="Billname"/>
        <w:spacing w:before="700"/>
      </w:pPr>
      <w:r>
        <w:t>Racing (Appeals Tribunal) Rules 2019 (No 1)</w:t>
      </w:r>
    </w:p>
    <w:p w14:paraId="3DD2C343" w14:textId="2B9FCDFA" w:rsidR="00F04D8F" w:rsidRPr="00302A52" w:rsidRDefault="00F04D8F">
      <w:pPr>
        <w:spacing w:before="240" w:after="60"/>
        <w:rPr>
          <w:rFonts w:ascii="Arial" w:hAnsi="Arial" w:cs="Arial"/>
          <w:b/>
          <w:bCs/>
          <w:vertAlign w:val="superscript"/>
        </w:rPr>
      </w:pPr>
      <w:bookmarkStart w:id="1" w:name="Citation"/>
      <w:r w:rsidRPr="00302A52">
        <w:rPr>
          <w:rFonts w:ascii="Arial" w:hAnsi="Arial" w:cs="Arial"/>
          <w:b/>
          <w:bCs/>
        </w:rPr>
        <w:t xml:space="preserve">Disallowable instrument </w:t>
      </w:r>
      <w:r w:rsidR="00330461">
        <w:rPr>
          <w:rFonts w:ascii="Arial" w:hAnsi="Arial" w:cs="Arial"/>
          <w:b/>
          <w:bCs/>
        </w:rPr>
        <w:t>DI2019</w:t>
      </w:r>
      <w:r w:rsidRPr="00302A52">
        <w:rPr>
          <w:rFonts w:ascii="Arial" w:hAnsi="Arial" w:cs="Arial"/>
          <w:b/>
          <w:bCs/>
        </w:rPr>
        <w:t>—</w:t>
      </w:r>
      <w:r w:rsidR="008828EE">
        <w:rPr>
          <w:rFonts w:ascii="Arial" w:hAnsi="Arial" w:cs="Arial"/>
          <w:b/>
          <w:bCs/>
        </w:rPr>
        <w:t>224</w:t>
      </w:r>
    </w:p>
    <w:bookmarkEnd w:id="1"/>
    <w:p w14:paraId="5999ABAB" w14:textId="77777777" w:rsidR="00F04D8F" w:rsidRDefault="00F04D8F">
      <w:pPr>
        <w:pStyle w:val="madeunder"/>
        <w:jc w:val="left"/>
      </w:pPr>
      <w:r>
        <w:t>made under the</w:t>
      </w:r>
    </w:p>
    <w:p w14:paraId="775BA026" w14:textId="77777777" w:rsidR="00F04D8F" w:rsidRDefault="00F04D8F">
      <w:pPr>
        <w:pStyle w:val="CoverActName"/>
        <w:jc w:val="left"/>
        <w:rPr>
          <w:sz w:val="20"/>
          <w:vertAlign w:val="superscript"/>
        </w:rPr>
      </w:pPr>
      <w:r>
        <w:rPr>
          <w:i/>
          <w:iCs/>
          <w:sz w:val="20"/>
          <w:szCs w:val="20"/>
        </w:rPr>
        <w:t>Racing Act 1999</w:t>
      </w:r>
      <w:r>
        <w:rPr>
          <w:sz w:val="20"/>
          <w:szCs w:val="20"/>
        </w:rPr>
        <w:t>, s45(1) - Rules of the tribunal</w:t>
      </w:r>
    </w:p>
    <w:p w14:paraId="111BDAA0" w14:textId="77777777" w:rsidR="00F04D8F" w:rsidRPr="00302A52" w:rsidRDefault="00F04D8F" w:rsidP="00302A52">
      <w:pPr>
        <w:tabs>
          <w:tab w:val="clear" w:pos="2880"/>
        </w:tabs>
        <w:autoSpaceDE/>
        <w:autoSpaceDN/>
        <w:spacing w:before="360"/>
        <w:ind w:right="565"/>
        <w:rPr>
          <w:rFonts w:ascii="Arial" w:hAnsi="Arial" w:cs="Arial"/>
          <w:b/>
          <w:bCs/>
          <w:sz w:val="28"/>
          <w:szCs w:val="28"/>
          <w:lang w:val="en-AU"/>
        </w:rPr>
      </w:pPr>
      <w:r w:rsidRPr="00302A52">
        <w:rPr>
          <w:rFonts w:ascii="Arial" w:hAnsi="Arial" w:cs="Arial"/>
          <w:b/>
          <w:bCs/>
          <w:sz w:val="28"/>
          <w:szCs w:val="28"/>
          <w:lang w:val="en-AU"/>
        </w:rPr>
        <w:t>EXPLANATORY STATEMENT</w:t>
      </w:r>
    </w:p>
    <w:p w14:paraId="749EF9AC" w14:textId="77777777" w:rsidR="00F04D8F" w:rsidRDefault="00F04D8F">
      <w:pPr>
        <w:pStyle w:val="N-line3"/>
        <w:pBdr>
          <w:top w:val="single" w:sz="12" w:space="1" w:color="auto"/>
          <w:bottom w:val="none" w:sz="0" w:space="0" w:color="auto"/>
        </w:pBdr>
        <w:jc w:val="left"/>
        <w:rPr>
          <w:sz w:val="20"/>
          <w:szCs w:val="16"/>
        </w:rPr>
      </w:pPr>
    </w:p>
    <w:p w14:paraId="11DD3B9D" w14:textId="77777777" w:rsidR="00F04D8F" w:rsidRDefault="00F04D8F">
      <w:pPr>
        <w:rPr>
          <w:rFonts w:ascii="Arial" w:hAnsi="Arial" w:cs="Arial"/>
          <w:szCs w:val="20"/>
        </w:rPr>
      </w:pPr>
      <w:r>
        <w:rPr>
          <w:rFonts w:ascii="Arial" w:hAnsi="Arial" w:cs="Arial"/>
          <w:szCs w:val="20"/>
        </w:rPr>
        <w:t xml:space="preserve">The </w:t>
      </w:r>
      <w:r>
        <w:rPr>
          <w:rFonts w:ascii="Arial" w:hAnsi="Arial" w:cs="Arial"/>
          <w:i/>
          <w:iCs/>
          <w:szCs w:val="20"/>
        </w:rPr>
        <w:t>Racing Act 1999</w:t>
      </w:r>
      <w:r>
        <w:rPr>
          <w:rFonts w:ascii="Arial" w:hAnsi="Arial" w:cs="Arial"/>
          <w:szCs w:val="20"/>
        </w:rPr>
        <w:t xml:space="preserve"> (the Act) regulates thoroughbred racing</w:t>
      </w:r>
      <w:r w:rsidR="00D76114">
        <w:rPr>
          <w:rFonts w:ascii="Arial" w:hAnsi="Arial" w:cs="Arial"/>
          <w:szCs w:val="20"/>
        </w:rPr>
        <w:t xml:space="preserve"> and</w:t>
      </w:r>
      <w:r>
        <w:rPr>
          <w:rFonts w:ascii="Arial" w:hAnsi="Arial" w:cs="Arial"/>
          <w:szCs w:val="20"/>
        </w:rPr>
        <w:t xml:space="preserve"> harness racing conducted for the purpose of betting in the Australian Capital Territory.</w:t>
      </w:r>
    </w:p>
    <w:p w14:paraId="6F44C0E3" w14:textId="77777777" w:rsidR="00F04D8F" w:rsidRDefault="00F04D8F">
      <w:pPr>
        <w:pStyle w:val="aExplanText"/>
        <w:tabs>
          <w:tab w:val="left" w:pos="2880"/>
        </w:tabs>
        <w:spacing w:before="0" w:after="0"/>
        <w:jc w:val="left"/>
        <w:rPr>
          <w:rFonts w:ascii="Arial" w:hAnsi="Arial" w:cs="Arial"/>
          <w:sz w:val="24"/>
          <w:szCs w:val="16"/>
          <w:lang w:val="en-US"/>
        </w:rPr>
      </w:pPr>
    </w:p>
    <w:p w14:paraId="3BA8AFEA" w14:textId="77777777" w:rsidR="00F04D8F" w:rsidRDefault="00F04D8F">
      <w:pPr>
        <w:pStyle w:val="aExplanText"/>
        <w:tabs>
          <w:tab w:val="left" w:pos="2880"/>
        </w:tabs>
        <w:spacing w:before="0" w:after="0"/>
        <w:jc w:val="left"/>
        <w:rPr>
          <w:rFonts w:ascii="Arial" w:hAnsi="Arial" w:cs="Arial"/>
          <w:sz w:val="24"/>
          <w:lang w:val="en-US"/>
        </w:rPr>
      </w:pPr>
      <w:r>
        <w:rPr>
          <w:rFonts w:ascii="Arial" w:hAnsi="Arial" w:cs="Arial"/>
          <w:sz w:val="24"/>
          <w:lang w:val="en-US"/>
        </w:rPr>
        <w:t>Part 5 of the Act establishes the Racing Appeals Tribunal (the tribunal).  In particular, section 45 of the Act provides that the tribunal may make rules for the procedure of the tribunal.</w:t>
      </w:r>
    </w:p>
    <w:p w14:paraId="517169C4" w14:textId="77777777" w:rsidR="00F04D8F" w:rsidRDefault="00F04D8F">
      <w:pPr>
        <w:pStyle w:val="aExplanText"/>
        <w:tabs>
          <w:tab w:val="left" w:pos="2880"/>
        </w:tabs>
        <w:spacing w:before="0" w:after="0"/>
        <w:jc w:val="left"/>
        <w:rPr>
          <w:rFonts w:ascii="Arial" w:hAnsi="Arial" w:cs="Arial"/>
          <w:sz w:val="24"/>
          <w:lang w:val="en-US"/>
        </w:rPr>
      </w:pPr>
    </w:p>
    <w:p w14:paraId="06F3622B" w14:textId="77777777" w:rsidR="00F04D8F" w:rsidRDefault="00F04D8F">
      <w:pPr>
        <w:pStyle w:val="aExplanText"/>
        <w:tabs>
          <w:tab w:val="left" w:pos="2880"/>
        </w:tabs>
        <w:spacing w:before="0" w:after="0"/>
        <w:jc w:val="left"/>
        <w:rPr>
          <w:rFonts w:ascii="Arial" w:hAnsi="Arial" w:cs="Arial"/>
          <w:sz w:val="24"/>
          <w:lang w:val="en-US"/>
        </w:rPr>
      </w:pPr>
      <w:r>
        <w:rPr>
          <w:rFonts w:ascii="Arial" w:hAnsi="Arial" w:cs="Arial"/>
          <w:sz w:val="24"/>
          <w:lang w:val="en-US"/>
        </w:rPr>
        <w:t>Section 53 of the Act provides that the tribunal must not hear an appeal unless the appellant has first lodged with the registrar any bond required under the rules of the tribunal.</w:t>
      </w:r>
    </w:p>
    <w:p w14:paraId="4209B68E" w14:textId="77777777" w:rsidR="00F04D8F" w:rsidRDefault="00F04D8F">
      <w:pPr>
        <w:pStyle w:val="aExplanText"/>
        <w:tabs>
          <w:tab w:val="left" w:pos="2880"/>
        </w:tabs>
        <w:spacing w:before="0" w:after="0"/>
        <w:jc w:val="left"/>
        <w:rPr>
          <w:rFonts w:ascii="Arial" w:hAnsi="Arial" w:cs="Arial"/>
          <w:sz w:val="24"/>
          <w:lang w:val="en-US"/>
        </w:rPr>
      </w:pPr>
    </w:p>
    <w:p w14:paraId="09AD4280" w14:textId="77777777" w:rsidR="00F04D8F" w:rsidRDefault="001031A2">
      <w:pPr>
        <w:pStyle w:val="aExplanText"/>
        <w:tabs>
          <w:tab w:val="left" w:pos="2880"/>
        </w:tabs>
        <w:spacing w:before="0" w:after="0"/>
        <w:jc w:val="left"/>
        <w:rPr>
          <w:rFonts w:ascii="Arial" w:hAnsi="Arial" w:cs="Arial"/>
          <w:sz w:val="24"/>
          <w:lang w:val="en-US"/>
        </w:rPr>
      </w:pPr>
      <w:r>
        <w:rPr>
          <w:rFonts w:ascii="Arial" w:hAnsi="Arial" w:cs="Arial"/>
          <w:sz w:val="24"/>
          <w:lang w:val="en-US"/>
        </w:rPr>
        <w:t xml:space="preserve">This instrument revokes the </w:t>
      </w:r>
      <w:r w:rsidRPr="0011284B">
        <w:rPr>
          <w:rFonts w:ascii="Arial" w:hAnsi="Arial" w:cs="Arial"/>
          <w:i/>
          <w:sz w:val="24"/>
          <w:lang w:val="en-US"/>
        </w:rPr>
        <w:t xml:space="preserve">Racing Appeals </w:t>
      </w:r>
      <w:r w:rsidR="00FA15AC" w:rsidRPr="0011284B">
        <w:rPr>
          <w:rFonts w:ascii="Arial" w:hAnsi="Arial" w:cs="Arial"/>
          <w:i/>
          <w:sz w:val="24"/>
          <w:lang w:val="en-US"/>
        </w:rPr>
        <w:t>T</w:t>
      </w:r>
      <w:r w:rsidRPr="0011284B">
        <w:rPr>
          <w:rFonts w:ascii="Arial" w:hAnsi="Arial" w:cs="Arial"/>
          <w:i/>
          <w:sz w:val="24"/>
          <w:lang w:val="en-US"/>
        </w:rPr>
        <w:t>ribu</w:t>
      </w:r>
      <w:r w:rsidR="00330461" w:rsidRPr="0011284B">
        <w:rPr>
          <w:rFonts w:ascii="Arial" w:hAnsi="Arial" w:cs="Arial"/>
          <w:i/>
          <w:sz w:val="24"/>
          <w:lang w:val="en-US"/>
        </w:rPr>
        <w:t>nal (Rules of the Tribunal) 2018</w:t>
      </w:r>
      <w:r w:rsidRPr="0011284B">
        <w:rPr>
          <w:rFonts w:ascii="Arial" w:hAnsi="Arial" w:cs="Arial"/>
          <w:i/>
          <w:sz w:val="24"/>
          <w:lang w:val="en-US"/>
        </w:rPr>
        <w:t xml:space="preserve"> (</w:t>
      </w:r>
      <w:r w:rsidR="00302A52" w:rsidRPr="0011284B">
        <w:rPr>
          <w:rFonts w:ascii="Arial" w:hAnsi="Arial" w:cs="Arial"/>
          <w:i/>
          <w:sz w:val="24"/>
          <w:lang w:val="en-US"/>
        </w:rPr>
        <w:t>No</w:t>
      </w:r>
      <w:r w:rsidR="00FA15AC" w:rsidRPr="0011284B">
        <w:rPr>
          <w:rFonts w:ascii="Arial" w:hAnsi="Arial" w:cs="Arial"/>
          <w:i/>
          <w:sz w:val="24"/>
          <w:lang w:val="en-US"/>
        </w:rPr>
        <w:t xml:space="preserve"> </w:t>
      </w:r>
      <w:r w:rsidR="00302A52" w:rsidRPr="0011284B">
        <w:rPr>
          <w:rFonts w:ascii="Arial" w:hAnsi="Arial" w:cs="Arial"/>
          <w:i/>
          <w:sz w:val="24"/>
          <w:lang w:val="en-US"/>
        </w:rPr>
        <w:t xml:space="preserve">1) </w:t>
      </w:r>
      <w:r>
        <w:rPr>
          <w:rFonts w:ascii="Arial" w:hAnsi="Arial" w:cs="Arial"/>
          <w:sz w:val="24"/>
          <w:lang w:val="en-US"/>
        </w:rPr>
        <w:t xml:space="preserve">made by disallowable instrument </w:t>
      </w:r>
      <w:r w:rsidR="00330461">
        <w:rPr>
          <w:rFonts w:ascii="Arial" w:hAnsi="Arial" w:cs="Arial"/>
          <w:sz w:val="24"/>
          <w:lang w:val="en-US"/>
        </w:rPr>
        <w:t>DI2018-293</w:t>
      </w:r>
      <w:r w:rsidR="00302A52">
        <w:rPr>
          <w:rFonts w:ascii="Arial" w:hAnsi="Arial" w:cs="Arial"/>
          <w:sz w:val="24"/>
          <w:lang w:val="en-US"/>
        </w:rPr>
        <w:t xml:space="preserve"> </w:t>
      </w:r>
      <w:r>
        <w:rPr>
          <w:rFonts w:ascii="Arial" w:hAnsi="Arial" w:cs="Arial"/>
          <w:sz w:val="24"/>
          <w:lang w:val="en-US"/>
        </w:rPr>
        <w:t xml:space="preserve">dated </w:t>
      </w:r>
      <w:r w:rsidR="00330461">
        <w:rPr>
          <w:rFonts w:ascii="Arial" w:hAnsi="Arial" w:cs="Arial"/>
          <w:sz w:val="24"/>
          <w:lang w:val="en-US"/>
        </w:rPr>
        <w:t>14 December 2018</w:t>
      </w:r>
      <w:r w:rsidR="00302A52">
        <w:rPr>
          <w:rFonts w:ascii="Arial" w:hAnsi="Arial" w:cs="Arial"/>
          <w:sz w:val="24"/>
          <w:lang w:val="en-US"/>
        </w:rPr>
        <w:t xml:space="preserve"> and </w:t>
      </w:r>
      <w:r w:rsidR="00F04D8F">
        <w:rPr>
          <w:rFonts w:ascii="Arial" w:hAnsi="Arial" w:cs="Arial"/>
          <w:sz w:val="24"/>
          <w:lang w:val="en-US"/>
        </w:rPr>
        <w:t>establishes rules of the tribunal pursuant to section 45(1) of the Act.</w:t>
      </w:r>
    </w:p>
    <w:p w14:paraId="56DCE4F7" w14:textId="77777777" w:rsidR="00F04D8F" w:rsidRDefault="00F04D8F">
      <w:pPr>
        <w:pStyle w:val="aExplanText"/>
        <w:tabs>
          <w:tab w:val="left" w:pos="2880"/>
        </w:tabs>
        <w:spacing w:before="0" w:after="0"/>
        <w:jc w:val="left"/>
        <w:rPr>
          <w:rFonts w:ascii="Arial" w:hAnsi="Arial" w:cs="Arial"/>
          <w:sz w:val="24"/>
          <w:lang w:val="en-US"/>
        </w:rPr>
      </w:pPr>
    </w:p>
    <w:p w14:paraId="7348C7F8" w14:textId="77777777" w:rsidR="001031A2" w:rsidRDefault="001031A2">
      <w:pPr>
        <w:pStyle w:val="aExplanText"/>
        <w:tabs>
          <w:tab w:val="left" w:pos="2880"/>
        </w:tabs>
        <w:spacing w:before="0" w:after="0"/>
        <w:jc w:val="left"/>
        <w:rPr>
          <w:rFonts w:ascii="Arial" w:hAnsi="Arial" w:cs="Arial"/>
          <w:sz w:val="24"/>
          <w:lang w:val="en-US"/>
        </w:rPr>
        <w:sectPr w:rsidR="001031A2" w:rsidSect="00AE34EF">
          <w:headerReference w:type="even" r:id="rId7"/>
          <w:headerReference w:type="default" r:id="rId8"/>
          <w:footerReference w:type="even" r:id="rId9"/>
          <w:footerReference w:type="default" r:id="rId10"/>
          <w:headerReference w:type="first" r:id="rId11"/>
          <w:footerReference w:type="first" r:id="rId12"/>
          <w:pgSz w:w="11907" w:h="16839" w:code="9"/>
          <w:pgMar w:top="1560" w:right="2302" w:bottom="2155" w:left="2302" w:header="2495" w:footer="831" w:gutter="0"/>
          <w:pgNumType w:start="0"/>
          <w:cols w:space="709"/>
          <w:titlePg/>
        </w:sectPr>
      </w:pPr>
    </w:p>
    <w:p w14:paraId="4A2C790B" w14:textId="77777777" w:rsidR="00994981" w:rsidRDefault="00994981">
      <w:pPr>
        <w:pStyle w:val="aExplanText"/>
        <w:tabs>
          <w:tab w:val="left" w:pos="2880"/>
        </w:tabs>
        <w:spacing w:before="0" w:after="0"/>
        <w:jc w:val="left"/>
        <w:rPr>
          <w:rFonts w:ascii="Arial" w:hAnsi="Arial" w:cs="Arial"/>
          <w:sz w:val="24"/>
          <w:lang w:val="en-US"/>
        </w:rPr>
      </w:pPr>
    </w:p>
    <w:p w14:paraId="272C6FE4" w14:textId="77777777" w:rsidR="00F04D8F" w:rsidRDefault="003C522B">
      <w:pPr>
        <w:pStyle w:val="aExplanText"/>
        <w:tabs>
          <w:tab w:val="left" w:pos="2880"/>
        </w:tabs>
        <w:spacing w:before="0" w:after="0"/>
        <w:jc w:val="left"/>
        <w:rPr>
          <w:rFonts w:ascii="Arial" w:hAnsi="Arial" w:cs="Arial"/>
          <w:sz w:val="24"/>
          <w:lang w:val="en-US"/>
        </w:rPr>
      </w:pPr>
      <w:r>
        <w:rPr>
          <w:rFonts w:ascii="Arial" w:hAnsi="Arial" w:cs="Arial"/>
          <w:b/>
          <w:sz w:val="24"/>
          <w:lang w:val="en-US"/>
        </w:rPr>
        <w:t>Rule</w:t>
      </w:r>
      <w:r w:rsidR="00F04D8F" w:rsidRPr="00681D11">
        <w:rPr>
          <w:rFonts w:ascii="Arial" w:hAnsi="Arial" w:cs="Arial"/>
          <w:b/>
          <w:sz w:val="24"/>
          <w:lang w:val="en-US"/>
        </w:rPr>
        <w:t xml:space="preserve"> 1</w:t>
      </w:r>
      <w:r w:rsidR="00F04D8F">
        <w:rPr>
          <w:rFonts w:ascii="Arial" w:hAnsi="Arial" w:cs="Arial"/>
          <w:sz w:val="24"/>
          <w:lang w:val="en-US"/>
        </w:rPr>
        <w:t xml:space="preserve"> of the </w:t>
      </w:r>
      <w:r>
        <w:rPr>
          <w:rFonts w:ascii="Arial" w:hAnsi="Arial" w:cs="Arial"/>
          <w:sz w:val="24"/>
          <w:lang w:val="en-US"/>
        </w:rPr>
        <w:t xml:space="preserve">Schedule to the </w:t>
      </w:r>
      <w:r w:rsidR="00F04D8F">
        <w:rPr>
          <w:rFonts w:ascii="Arial" w:hAnsi="Arial" w:cs="Arial"/>
          <w:sz w:val="24"/>
          <w:lang w:val="en-US"/>
        </w:rPr>
        <w:t xml:space="preserve">Rules relates to the lodgment of a bond with the registrar of the tribunal when an appellant lodges an appeal. </w:t>
      </w:r>
    </w:p>
    <w:p w14:paraId="6ECD4FF2" w14:textId="77777777" w:rsidR="00F04D8F" w:rsidRDefault="00F04D8F">
      <w:pPr>
        <w:pStyle w:val="aExplanText"/>
        <w:tabs>
          <w:tab w:val="left" w:pos="2880"/>
        </w:tabs>
        <w:spacing w:before="0" w:after="0"/>
        <w:jc w:val="left"/>
        <w:rPr>
          <w:rFonts w:ascii="Arial" w:hAnsi="Arial" w:cs="Arial"/>
          <w:sz w:val="24"/>
          <w:lang w:val="en-US"/>
        </w:rPr>
      </w:pPr>
    </w:p>
    <w:p w14:paraId="5580FA1D" w14:textId="77777777" w:rsidR="00F04D8F" w:rsidRDefault="003C522B">
      <w:pPr>
        <w:pStyle w:val="aExplanText"/>
        <w:tabs>
          <w:tab w:val="left" w:pos="2880"/>
        </w:tabs>
        <w:spacing w:before="0" w:after="0"/>
        <w:jc w:val="left"/>
        <w:rPr>
          <w:rFonts w:ascii="Arial" w:hAnsi="Arial" w:cs="Arial"/>
          <w:sz w:val="24"/>
          <w:lang w:val="en-US"/>
        </w:rPr>
      </w:pPr>
      <w:r>
        <w:rPr>
          <w:rFonts w:ascii="Arial" w:hAnsi="Arial" w:cs="Arial"/>
          <w:sz w:val="24"/>
          <w:lang w:val="en-US"/>
        </w:rPr>
        <w:t>Subr</w:t>
      </w:r>
      <w:r w:rsidR="00330461">
        <w:rPr>
          <w:rFonts w:ascii="Arial" w:hAnsi="Arial" w:cs="Arial"/>
          <w:sz w:val="24"/>
          <w:lang w:val="en-US"/>
        </w:rPr>
        <w:t>ule 1(1)</w:t>
      </w:r>
      <w:r w:rsidR="00F04D8F">
        <w:rPr>
          <w:rFonts w:ascii="Arial" w:hAnsi="Arial" w:cs="Arial"/>
          <w:sz w:val="24"/>
          <w:lang w:val="en-US"/>
        </w:rPr>
        <w:t xml:space="preserve"> provides that at the time of </w:t>
      </w:r>
      <w:r w:rsidR="00476ADF">
        <w:rPr>
          <w:rFonts w:ascii="Arial" w:hAnsi="Arial" w:cs="Arial"/>
          <w:sz w:val="24"/>
          <w:lang w:val="en-US"/>
        </w:rPr>
        <w:t xml:space="preserve">filing </w:t>
      </w:r>
      <w:r w:rsidR="00F04D8F">
        <w:rPr>
          <w:rFonts w:ascii="Arial" w:hAnsi="Arial" w:cs="Arial"/>
          <w:sz w:val="24"/>
          <w:lang w:val="en-US"/>
        </w:rPr>
        <w:t xml:space="preserve">of an appeal with the registrar of the tribunal a bond must also be lodged by the appellant. </w:t>
      </w:r>
    </w:p>
    <w:p w14:paraId="50080679" w14:textId="77777777" w:rsidR="00F04D8F" w:rsidRDefault="00F04D8F">
      <w:pPr>
        <w:pStyle w:val="aExplanText"/>
        <w:tabs>
          <w:tab w:val="left" w:pos="2880"/>
        </w:tabs>
        <w:spacing w:before="0" w:after="0"/>
        <w:jc w:val="left"/>
        <w:rPr>
          <w:rFonts w:ascii="Arial" w:hAnsi="Arial" w:cs="Arial"/>
          <w:sz w:val="24"/>
          <w:lang w:val="en-US"/>
        </w:rPr>
      </w:pPr>
    </w:p>
    <w:p w14:paraId="5EED24ED" w14:textId="77777777" w:rsidR="00F04D8F" w:rsidRPr="00D76114" w:rsidRDefault="003C522B">
      <w:pPr>
        <w:pStyle w:val="aExplanText"/>
        <w:tabs>
          <w:tab w:val="left" w:pos="2880"/>
        </w:tabs>
        <w:spacing w:before="0" w:after="0"/>
        <w:jc w:val="left"/>
        <w:rPr>
          <w:rFonts w:ascii="Arial" w:hAnsi="Arial" w:cs="Arial"/>
          <w:sz w:val="24"/>
          <w:lang w:val="en-US"/>
        </w:rPr>
      </w:pPr>
      <w:r>
        <w:rPr>
          <w:rFonts w:ascii="Arial" w:hAnsi="Arial" w:cs="Arial"/>
          <w:sz w:val="24"/>
          <w:lang w:val="en-US"/>
        </w:rPr>
        <w:t>Subr</w:t>
      </w:r>
      <w:r w:rsidR="00330461">
        <w:rPr>
          <w:rFonts w:ascii="Arial" w:hAnsi="Arial" w:cs="Arial"/>
          <w:sz w:val="24"/>
          <w:lang w:val="en-US"/>
        </w:rPr>
        <w:t>ule 1(2)</w:t>
      </w:r>
      <w:r w:rsidR="00F04D8F">
        <w:rPr>
          <w:rFonts w:ascii="Arial" w:hAnsi="Arial" w:cs="Arial"/>
          <w:sz w:val="24"/>
          <w:lang w:val="en-US"/>
        </w:rPr>
        <w:t xml:space="preserve"> </w:t>
      </w:r>
      <w:r w:rsidR="00330461">
        <w:rPr>
          <w:rFonts w:ascii="Arial" w:hAnsi="Arial" w:cs="Arial"/>
          <w:sz w:val="24"/>
          <w:lang w:val="en-US"/>
        </w:rPr>
        <w:t xml:space="preserve">specifies </w:t>
      </w:r>
      <w:r w:rsidR="00F04D8F">
        <w:rPr>
          <w:rFonts w:ascii="Arial" w:hAnsi="Arial" w:cs="Arial"/>
          <w:sz w:val="24"/>
          <w:lang w:val="en-US"/>
        </w:rPr>
        <w:t>that the amount of the bond is $</w:t>
      </w:r>
      <w:r w:rsidR="00D76114">
        <w:rPr>
          <w:rFonts w:ascii="Arial" w:hAnsi="Arial" w:cs="Arial"/>
          <w:sz w:val="24"/>
          <w:lang w:val="en-US"/>
        </w:rPr>
        <w:t>350</w:t>
      </w:r>
      <w:r w:rsidR="00F04D8F">
        <w:rPr>
          <w:rFonts w:ascii="Arial" w:hAnsi="Arial" w:cs="Arial"/>
          <w:sz w:val="24"/>
          <w:lang w:val="en-US"/>
        </w:rPr>
        <w:t>.00.</w:t>
      </w:r>
    </w:p>
    <w:p w14:paraId="4AAE7130" w14:textId="77777777" w:rsidR="00F04D8F" w:rsidRDefault="00F04D8F">
      <w:pPr>
        <w:pStyle w:val="aExplanText"/>
        <w:tabs>
          <w:tab w:val="left" w:pos="2880"/>
        </w:tabs>
        <w:spacing w:before="0" w:after="0"/>
        <w:jc w:val="left"/>
      </w:pPr>
    </w:p>
    <w:p w14:paraId="21391728" w14:textId="77777777" w:rsidR="00F04D8F" w:rsidRDefault="003C522B">
      <w:pPr>
        <w:pStyle w:val="aExplanText"/>
        <w:tabs>
          <w:tab w:val="left" w:pos="2880"/>
        </w:tabs>
        <w:spacing w:before="0" w:after="0"/>
        <w:jc w:val="left"/>
        <w:rPr>
          <w:rFonts w:ascii="Arial" w:hAnsi="Arial" w:cs="Arial"/>
          <w:sz w:val="24"/>
        </w:rPr>
      </w:pPr>
      <w:r>
        <w:rPr>
          <w:rFonts w:ascii="Arial" w:hAnsi="Arial" w:cs="Arial"/>
          <w:sz w:val="24"/>
        </w:rPr>
        <w:t>Sub</w:t>
      </w:r>
      <w:r w:rsidR="00330461">
        <w:rPr>
          <w:rFonts w:ascii="Arial" w:hAnsi="Arial" w:cs="Arial"/>
          <w:sz w:val="24"/>
        </w:rPr>
        <w:t>ule 1(3)</w:t>
      </w:r>
      <w:r w:rsidR="00F04D8F">
        <w:rPr>
          <w:rFonts w:ascii="Arial" w:hAnsi="Arial" w:cs="Arial"/>
          <w:sz w:val="24"/>
        </w:rPr>
        <w:t xml:space="preserve"> provides that the bond must not be refunded, in full or in part, unless ordered by the tribunal, in accordance </w:t>
      </w:r>
      <w:r w:rsidR="00F14C6A">
        <w:rPr>
          <w:rFonts w:ascii="Arial" w:hAnsi="Arial" w:cs="Arial"/>
          <w:sz w:val="24"/>
        </w:rPr>
        <w:t xml:space="preserve">with </w:t>
      </w:r>
      <w:r w:rsidR="00F04D8F">
        <w:rPr>
          <w:rFonts w:ascii="Arial" w:hAnsi="Arial" w:cs="Arial"/>
          <w:sz w:val="24"/>
        </w:rPr>
        <w:t>section 53(2) of the Act.</w:t>
      </w:r>
    </w:p>
    <w:p w14:paraId="263A0F68" w14:textId="77777777" w:rsidR="00F04D8F" w:rsidRDefault="00F04D8F">
      <w:pPr>
        <w:pStyle w:val="aExplanText"/>
        <w:tabs>
          <w:tab w:val="left" w:pos="2880"/>
        </w:tabs>
        <w:spacing w:before="0" w:after="0"/>
        <w:jc w:val="left"/>
        <w:rPr>
          <w:rFonts w:ascii="Arial" w:hAnsi="Arial" w:cs="Arial"/>
          <w:sz w:val="24"/>
        </w:rPr>
      </w:pPr>
    </w:p>
    <w:p w14:paraId="1C6DD343" w14:textId="77777777" w:rsidR="00994981" w:rsidRDefault="00994981">
      <w:pPr>
        <w:pStyle w:val="aExplanText"/>
        <w:tabs>
          <w:tab w:val="left" w:pos="2880"/>
        </w:tabs>
        <w:spacing w:before="0" w:after="0"/>
        <w:jc w:val="left"/>
        <w:rPr>
          <w:rFonts w:ascii="Arial" w:hAnsi="Arial" w:cs="Arial"/>
          <w:sz w:val="24"/>
        </w:rPr>
      </w:pPr>
    </w:p>
    <w:p w14:paraId="3C4E79F2" w14:textId="77777777" w:rsidR="00D76114" w:rsidRDefault="003C522B">
      <w:pPr>
        <w:pStyle w:val="aExplanText"/>
        <w:tabs>
          <w:tab w:val="left" w:pos="2880"/>
        </w:tabs>
        <w:spacing w:before="0" w:after="0"/>
        <w:jc w:val="left"/>
        <w:rPr>
          <w:rFonts w:ascii="Arial" w:hAnsi="Arial" w:cs="Arial"/>
          <w:sz w:val="24"/>
        </w:rPr>
      </w:pPr>
      <w:r>
        <w:rPr>
          <w:rFonts w:ascii="Arial" w:hAnsi="Arial" w:cs="Arial"/>
          <w:b/>
          <w:sz w:val="24"/>
        </w:rPr>
        <w:t xml:space="preserve">Rule </w:t>
      </w:r>
      <w:r w:rsidR="00D76114" w:rsidRPr="00681D11">
        <w:rPr>
          <w:rFonts w:ascii="Arial" w:hAnsi="Arial" w:cs="Arial"/>
          <w:b/>
          <w:sz w:val="24"/>
        </w:rPr>
        <w:t>2</w:t>
      </w:r>
      <w:r w:rsidR="000B70E8">
        <w:rPr>
          <w:rFonts w:ascii="Arial" w:hAnsi="Arial" w:cs="Arial"/>
          <w:sz w:val="24"/>
        </w:rPr>
        <w:t xml:space="preserve"> relates</w:t>
      </w:r>
      <w:r w:rsidR="00D76114">
        <w:rPr>
          <w:rFonts w:ascii="Arial" w:hAnsi="Arial" w:cs="Arial"/>
          <w:sz w:val="24"/>
        </w:rPr>
        <w:t xml:space="preserve"> to the grounds of appeal.</w:t>
      </w:r>
    </w:p>
    <w:p w14:paraId="29A91321" w14:textId="77777777" w:rsidR="00D76114" w:rsidRDefault="00D76114">
      <w:pPr>
        <w:pStyle w:val="aExplanText"/>
        <w:tabs>
          <w:tab w:val="left" w:pos="2880"/>
        </w:tabs>
        <w:spacing w:before="0" w:after="0"/>
        <w:jc w:val="left"/>
        <w:rPr>
          <w:rFonts w:ascii="Arial" w:hAnsi="Arial" w:cs="Arial"/>
          <w:sz w:val="24"/>
        </w:rPr>
      </w:pPr>
    </w:p>
    <w:p w14:paraId="564FA723" w14:textId="77777777" w:rsidR="00D76114" w:rsidRDefault="003C522B">
      <w:pPr>
        <w:pStyle w:val="aExplanText"/>
        <w:tabs>
          <w:tab w:val="left" w:pos="2880"/>
        </w:tabs>
        <w:spacing w:before="0" w:after="0"/>
        <w:jc w:val="left"/>
        <w:rPr>
          <w:rFonts w:ascii="Arial" w:hAnsi="Arial" w:cs="Arial"/>
          <w:sz w:val="24"/>
        </w:rPr>
      </w:pPr>
      <w:r>
        <w:rPr>
          <w:rFonts w:ascii="Arial" w:hAnsi="Arial" w:cs="Arial"/>
          <w:sz w:val="24"/>
        </w:rPr>
        <w:t>Subr</w:t>
      </w:r>
      <w:r w:rsidR="00330461">
        <w:rPr>
          <w:rFonts w:ascii="Arial" w:hAnsi="Arial" w:cs="Arial"/>
          <w:sz w:val="24"/>
        </w:rPr>
        <w:t>ule 2(1)</w:t>
      </w:r>
      <w:r w:rsidR="00D76114">
        <w:rPr>
          <w:rFonts w:ascii="Arial" w:hAnsi="Arial" w:cs="Arial"/>
          <w:sz w:val="24"/>
        </w:rPr>
        <w:t xml:space="preserve"> provides that when an appeal </w:t>
      </w:r>
      <w:r w:rsidR="00F14C6A">
        <w:rPr>
          <w:rFonts w:ascii="Arial" w:hAnsi="Arial" w:cs="Arial"/>
          <w:sz w:val="24"/>
        </w:rPr>
        <w:t xml:space="preserve">is </w:t>
      </w:r>
      <w:r w:rsidR="00476ADF">
        <w:rPr>
          <w:rFonts w:ascii="Arial" w:hAnsi="Arial" w:cs="Arial"/>
          <w:sz w:val="24"/>
        </w:rPr>
        <w:t xml:space="preserve">filed </w:t>
      </w:r>
      <w:r w:rsidR="00D76114">
        <w:rPr>
          <w:rFonts w:ascii="Arial" w:hAnsi="Arial" w:cs="Arial"/>
          <w:sz w:val="24"/>
        </w:rPr>
        <w:t xml:space="preserve">with the </w:t>
      </w:r>
      <w:r w:rsidR="00D76114">
        <w:rPr>
          <w:rFonts w:ascii="Arial" w:hAnsi="Arial" w:cs="Arial"/>
          <w:sz w:val="24"/>
          <w:lang w:val="en-US"/>
        </w:rPr>
        <w:t>registrar of the tribunal</w:t>
      </w:r>
      <w:r w:rsidR="000B70E8">
        <w:rPr>
          <w:rFonts w:ascii="Arial" w:hAnsi="Arial" w:cs="Arial"/>
          <w:sz w:val="24"/>
          <w:lang w:val="en-US"/>
        </w:rPr>
        <w:t>,</w:t>
      </w:r>
      <w:r w:rsidR="00D76114">
        <w:rPr>
          <w:rFonts w:ascii="Arial" w:hAnsi="Arial" w:cs="Arial"/>
          <w:sz w:val="24"/>
          <w:lang w:val="en-US"/>
        </w:rPr>
        <w:t xml:space="preserve"> the documentation provided must set out the grounds for the appeal.</w:t>
      </w:r>
    </w:p>
    <w:p w14:paraId="48CBD4DD" w14:textId="77777777" w:rsidR="00D76114" w:rsidRDefault="00D76114">
      <w:pPr>
        <w:pStyle w:val="aExplanText"/>
        <w:tabs>
          <w:tab w:val="left" w:pos="2880"/>
        </w:tabs>
        <w:spacing w:before="0" w:after="0"/>
        <w:jc w:val="left"/>
        <w:rPr>
          <w:rFonts w:ascii="Arial" w:hAnsi="Arial" w:cs="Arial"/>
          <w:sz w:val="24"/>
        </w:rPr>
      </w:pPr>
    </w:p>
    <w:p w14:paraId="4EB1F262" w14:textId="77777777" w:rsidR="00994981" w:rsidRDefault="00994981">
      <w:pPr>
        <w:pStyle w:val="aExplanText"/>
        <w:tabs>
          <w:tab w:val="left" w:pos="2880"/>
        </w:tabs>
        <w:spacing w:before="0" w:after="0"/>
        <w:jc w:val="left"/>
        <w:rPr>
          <w:rFonts w:ascii="Arial" w:hAnsi="Arial" w:cs="Arial"/>
          <w:sz w:val="24"/>
        </w:rPr>
      </w:pPr>
    </w:p>
    <w:p w14:paraId="1BAC7A1D" w14:textId="77777777" w:rsidR="00D76114" w:rsidRDefault="003C522B">
      <w:pPr>
        <w:pStyle w:val="aExplanText"/>
        <w:tabs>
          <w:tab w:val="left" w:pos="2880"/>
        </w:tabs>
        <w:spacing w:before="0" w:after="0"/>
        <w:jc w:val="left"/>
        <w:rPr>
          <w:rFonts w:ascii="Arial" w:hAnsi="Arial" w:cs="Arial"/>
          <w:sz w:val="24"/>
        </w:rPr>
      </w:pPr>
      <w:r>
        <w:rPr>
          <w:rFonts w:ascii="Arial" w:hAnsi="Arial" w:cs="Arial"/>
          <w:b/>
          <w:sz w:val="24"/>
        </w:rPr>
        <w:t xml:space="preserve">Rule </w:t>
      </w:r>
      <w:r w:rsidR="00D76114" w:rsidRPr="00681D11">
        <w:rPr>
          <w:rFonts w:ascii="Arial" w:hAnsi="Arial" w:cs="Arial"/>
          <w:b/>
          <w:sz w:val="24"/>
        </w:rPr>
        <w:t>3</w:t>
      </w:r>
      <w:r w:rsidR="00D76114">
        <w:rPr>
          <w:rFonts w:ascii="Arial" w:hAnsi="Arial" w:cs="Arial"/>
          <w:sz w:val="24"/>
        </w:rPr>
        <w:t xml:space="preserve"> relates to the tribunal rejecting</w:t>
      </w:r>
      <w:r w:rsidR="005E2707">
        <w:rPr>
          <w:rFonts w:ascii="Arial" w:hAnsi="Arial" w:cs="Arial"/>
          <w:sz w:val="24"/>
        </w:rPr>
        <w:t xml:space="preserve"> a</w:t>
      </w:r>
      <w:r w:rsidR="009B7A2E">
        <w:rPr>
          <w:rFonts w:ascii="Arial" w:hAnsi="Arial" w:cs="Arial"/>
          <w:sz w:val="24"/>
        </w:rPr>
        <w:t xml:space="preserve">n appeal </w:t>
      </w:r>
      <w:r w:rsidR="00D76114">
        <w:rPr>
          <w:rFonts w:ascii="Arial" w:hAnsi="Arial" w:cs="Arial"/>
          <w:sz w:val="24"/>
        </w:rPr>
        <w:t>lodged with the registrar.</w:t>
      </w:r>
    </w:p>
    <w:p w14:paraId="42D55C36" w14:textId="77777777" w:rsidR="00D76114" w:rsidRDefault="00D76114">
      <w:pPr>
        <w:pStyle w:val="aExplanText"/>
        <w:tabs>
          <w:tab w:val="left" w:pos="2880"/>
        </w:tabs>
        <w:spacing w:before="0" w:after="0"/>
        <w:jc w:val="left"/>
        <w:rPr>
          <w:rFonts w:ascii="Arial" w:hAnsi="Arial" w:cs="Arial"/>
          <w:sz w:val="24"/>
        </w:rPr>
      </w:pPr>
    </w:p>
    <w:p w14:paraId="0E3F6DDE" w14:textId="77777777" w:rsidR="00D76114" w:rsidRDefault="003C522B">
      <w:pPr>
        <w:pStyle w:val="aExplanText"/>
        <w:tabs>
          <w:tab w:val="left" w:pos="2880"/>
        </w:tabs>
        <w:spacing w:before="0" w:after="0"/>
        <w:jc w:val="left"/>
        <w:rPr>
          <w:rFonts w:ascii="Arial" w:hAnsi="Arial" w:cs="Arial"/>
          <w:sz w:val="24"/>
        </w:rPr>
      </w:pPr>
      <w:r>
        <w:rPr>
          <w:rFonts w:ascii="Arial" w:hAnsi="Arial" w:cs="Arial"/>
          <w:sz w:val="24"/>
        </w:rPr>
        <w:t>Subr</w:t>
      </w:r>
      <w:r w:rsidR="00330461">
        <w:rPr>
          <w:rFonts w:ascii="Arial" w:hAnsi="Arial" w:cs="Arial"/>
          <w:sz w:val="24"/>
        </w:rPr>
        <w:t>ule 3(1)</w:t>
      </w:r>
      <w:r w:rsidR="00994981">
        <w:rPr>
          <w:rFonts w:ascii="Arial" w:hAnsi="Arial" w:cs="Arial"/>
          <w:sz w:val="24"/>
        </w:rPr>
        <w:t xml:space="preserve"> relates to </w:t>
      </w:r>
      <w:r w:rsidR="009B7A2E">
        <w:rPr>
          <w:rFonts w:ascii="Arial" w:hAnsi="Arial" w:cs="Arial"/>
          <w:sz w:val="24"/>
        </w:rPr>
        <w:t>an appeal</w:t>
      </w:r>
      <w:r w:rsidR="00994981">
        <w:rPr>
          <w:rFonts w:ascii="Arial" w:hAnsi="Arial" w:cs="Arial"/>
          <w:sz w:val="24"/>
        </w:rPr>
        <w:t xml:space="preserve"> </w:t>
      </w:r>
      <w:r w:rsidR="00476ADF">
        <w:rPr>
          <w:rFonts w:ascii="Arial" w:hAnsi="Arial" w:cs="Arial"/>
          <w:sz w:val="24"/>
        </w:rPr>
        <w:t xml:space="preserve">filed </w:t>
      </w:r>
      <w:r w:rsidR="00994981">
        <w:rPr>
          <w:rFonts w:ascii="Arial" w:hAnsi="Arial" w:cs="Arial"/>
          <w:sz w:val="24"/>
        </w:rPr>
        <w:t>with the registrar</w:t>
      </w:r>
      <w:r w:rsidR="005E2707">
        <w:rPr>
          <w:rFonts w:ascii="Arial" w:hAnsi="Arial" w:cs="Arial"/>
          <w:sz w:val="24"/>
        </w:rPr>
        <w:t xml:space="preserve"> that appears on its face to be </w:t>
      </w:r>
      <w:r w:rsidR="005E2707" w:rsidRPr="00302A52">
        <w:rPr>
          <w:rFonts w:ascii="Arial" w:hAnsi="Arial" w:cs="Arial"/>
          <w:sz w:val="24"/>
        </w:rPr>
        <w:t>an abuse of the tribunal’s process or to be frivolous or vexatious</w:t>
      </w:r>
      <w:r w:rsidR="005E2707">
        <w:rPr>
          <w:rFonts w:ascii="Arial" w:hAnsi="Arial" w:cs="Arial"/>
          <w:sz w:val="24"/>
        </w:rPr>
        <w:t>.</w:t>
      </w:r>
    </w:p>
    <w:p w14:paraId="3266A6DB" w14:textId="77777777" w:rsidR="005E2707" w:rsidRDefault="005E2707">
      <w:pPr>
        <w:pStyle w:val="aExplanText"/>
        <w:tabs>
          <w:tab w:val="left" w:pos="2880"/>
        </w:tabs>
        <w:spacing w:before="0" w:after="0"/>
        <w:jc w:val="left"/>
        <w:rPr>
          <w:rFonts w:ascii="Arial" w:hAnsi="Arial" w:cs="Arial"/>
          <w:sz w:val="24"/>
        </w:rPr>
      </w:pPr>
    </w:p>
    <w:p w14:paraId="271BE4CB" w14:textId="77777777" w:rsidR="005E2707" w:rsidRDefault="003C522B">
      <w:pPr>
        <w:pStyle w:val="aExplanText"/>
        <w:tabs>
          <w:tab w:val="left" w:pos="2880"/>
        </w:tabs>
        <w:spacing w:before="0" w:after="0"/>
        <w:jc w:val="left"/>
        <w:rPr>
          <w:rFonts w:ascii="Arial" w:hAnsi="Arial" w:cs="Arial"/>
          <w:sz w:val="24"/>
        </w:rPr>
      </w:pPr>
      <w:r>
        <w:rPr>
          <w:rFonts w:ascii="Arial" w:hAnsi="Arial" w:cs="Arial"/>
          <w:sz w:val="24"/>
        </w:rPr>
        <w:t>Subr</w:t>
      </w:r>
      <w:r w:rsidR="005E2707">
        <w:rPr>
          <w:rFonts w:ascii="Arial" w:hAnsi="Arial" w:cs="Arial"/>
          <w:sz w:val="24"/>
        </w:rPr>
        <w:t>ule 3</w:t>
      </w:r>
      <w:r w:rsidR="00330461">
        <w:rPr>
          <w:rFonts w:ascii="Arial" w:hAnsi="Arial" w:cs="Arial"/>
          <w:sz w:val="24"/>
        </w:rPr>
        <w:t>(</w:t>
      </w:r>
      <w:r w:rsidR="005E2707">
        <w:rPr>
          <w:rFonts w:ascii="Arial" w:hAnsi="Arial" w:cs="Arial"/>
          <w:sz w:val="24"/>
        </w:rPr>
        <w:t>2</w:t>
      </w:r>
      <w:r w:rsidR="00330461">
        <w:rPr>
          <w:rFonts w:ascii="Arial" w:hAnsi="Arial" w:cs="Arial"/>
          <w:sz w:val="24"/>
        </w:rPr>
        <w:t>)</w:t>
      </w:r>
      <w:r w:rsidR="005E2707">
        <w:rPr>
          <w:rFonts w:ascii="Arial" w:hAnsi="Arial" w:cs="Arial"/>
          <w:sz w:val="24"/>
        </w:rPr>
        <w:t xml:space="preserve"> provides for the registrar to refer </w:t>
      </w:r>
      <w:r w:rsidR="00515294">
        <w:rPr>
          <w:rFonts w:ascii="Arial" w:hAnsi="Arial" w:cs="Arial"/>
          <w:sz w:val="24"/>
        </w:rPr>
        <w:t xml:space="preserve">such an </w:t>
      </w:r>
      <w:r w:rsidR="009B7A2E">
        <w:rPr>
          <w:rFonts w:ascii="Arial" w:hAnsi="Arial" w:cs="Arial"/>
          <w:sz w:val="24"/>
        </w:rPr>
        <w:t xml:space="preserve">application for an appeal </w:t>
      </w:r>
      <w:r w:rsidR="005E2707">
        <w:rPr>
          <w:rFonts w:ascii="Arial" w:hAnsi="Arial" w:cs="Arial"/>
          <w:sz w:val="24"/>
        </w:rPr>
        <w:t xml:space="preserve">to the president or deputy president for decision </w:t>
      </w:r>
      <w:r w:rsidR="009B7A2E">
        <w:rPr>
          <w:rFonts w:ascii="Arial" w:hAnsi="Arial" w:cs="Arial"/>
          <w:sz w:val="24"/>
        </w:rPr>
        <w:t xml:space="preserve">on </w:t>
      </w:r>
      <w:r w:rsidR="00515294">
        <w:rPr>
          <w:rFonts w:ascii="Arial" w:hAnsi="Arial" w:cs="Arial"/>
          <w:sz w:val="24"/>
        </w:rPr>
        <w:t>how to deal with it</w:t>
      </w:r>
      <w:r w:rsidR="005E2707">
        <w:rPr>
          <w:rFonts w:ascii="Arial" w:hAnsi="Arial" w:cs="Arial"/>
          <w:sz w:val="24"/>
        </w:rPr>
        <w:t>.</w:t>
      </w:r>
    </w:p>
    <w:p w14:paraId="7425134A" w14:textId="77777777" w:rsidR="005E2707" w:rsidRDefault="005E2707">
      <w:pPr>
        <w:pStyle w:val="aExplanText"/>
        <w:tabs>
          <w:tab w:val="left" w:pos="2880"/>
        </w:tabs>
        <w:spacing w:before="0" w:after="0"/>
        <w:jc w:val="left"/>
        <w:rPr>
          <w:rFonts w:ascii="Arial" w:hAnsi="Arial" w:cs="Arial"/>
          <w:sz w:val="24"/>
        </w:rPr>
      </w:pPr>
    </w:p>
    <w:p w14:paraId="4D61EC07" w14:textId="77777777" w:rsidR="00D76114" w:rsidRDefault="003C522B">
      <w:pPr>
        <w:pStyle w:val="aExplanText"/>
        <w:tabs>
          <w:tab w:val="left" w:pos="2880"/>
        </w:tabs>
        <w:spacing w:before="0" w:after="0"/>
        <w:jc w:val="left"/>
        <w:rPr>
          <w:rFonts w:ascii="Arial" w:hAnsi="Arial" w:cs="Arial"/>
          <w:sz w:val="24"/>
        </w:rPr>
      </w:pPr>
      <w:r>
        <w:rPr>
          <w:rFonts w:ascii="Arial" w:hAnsi="Arial" w:cs="Arial"/>
          <w:sz w:val="24"/>
        </w:rPr>
        <w:t>Subr</w:t>
      </w:r>
      <w:r w:rsidR="00330461">
        <w:rPr>
          <w:rFonts w:ascii="Arial" w:hAnsi="Arial" w:cs="Arial"/>
          <w:sz w:val="24"/>
        </w:rPr>
        <w:t>ule 3(</w:t>
      </w:r>
      <w:r w:rsidR="005E2707">
        <w:rPr>
          <w:rFonts w:ascii="Arial" w:hAnsi="Arial" w:cs="Arial"/>
          <w:sz w:val="24"/>
        </w:rPr>
        <w:t>3</w:t>
      </w:r>
      <w:r w:rsidR="00330461">
        <w:rPr>
          <w:rFonts w:ascii="Arial" w:hAnsi="Arial" w:cs="Arial"/>
          <w:sz w:val="24"/>
        </w:rPr>
        <w:t>)</w:t>
      </w:r>
      <w:r w:rsidR="005E2707">
        <w:rPr>
          <w:rFonts w:ascii="Arial" w:hAnsi="Arial" w:cs="Arial"/>
          <w:sz w:val="24"/>
        </w:rPr>
        <w:t xml:space="preserve"> provides for the president or deputy president to direct the registrar to either </w:t>
      </w:r>
      <w:r w:rsidR="00515294">
        <w:rPr>
          <w:rFonts w:ascii="Arial" w:hAnsi="Arial" w:cs="Arial"/>
          <w:sz w:val="24"/>
        </w:rPr>
        <w:t xml:space="preserve">list </w:t>
      </w:r>
      <w:r w:rsidR="005E2707">
        <w:rPr>
          <w:rFonts w:ascii="Arial" w:hAnsi="Arial" w:cs="Arial"/>
          <w:sz w:val="24"/>
        </w:rPr>
        <w:t xml:space="preserve">the </w:t>
      </w:r>
      <w:r w:rsidR="009B7A2E">
        <w:rPr>
          <w:rFonts w:ascii="Arial" w:hAnsi="Arial" w:cs="Arial"/>
          <w:sz w:val="24"/>
        </w:rPr>
        <w:t xml:space="preserve">appeal </w:t>
      </w:r>
      <w:r w:rsidR="00045C47">
        <w:rPr>
          <w:rFonts w:ascii="Arial" w:hAnsi="Arial" w:cs="Arial"/>
          <w:sz w:val="24"/>
        </w:rPr>
        <w:t xml:space="preserve">or </w:t>
      </w:r>
      <w:r w:rsidR="00515294">
        <w:rPr>
          <w:rFonts w:ascii="Arial" w:hAnsi="Arial" w:cs="Arial"/>
          <w:sz w:val="24"/>
        </w:rPr>
        <w:t>invite the applicant to provide further information responding to the tribunal’s concerns, prior to making any</w:t>
      </w:r>
      <w:r w:rsidR="00045C47">
        <w:rPr>
          <w:rFonts w:ascii="Arial" w:hAnsi="Arial" w:cs="Arial"/>
          <w:sz w:val="24"/>
        </w:rPr>
        <w:t xml:space="preserve"> other orders it considers appropriate, </w:t>
      </w:r>
      <w:r w:rsidR="009B7A2E">
        <w:rPr>
          <w:rFonts w:ascii="Arial" w:hAnsi="Arial" w:cs="Arial"/>
          <w:sz w:val="24"/>
        </w:rPr>
        <w:t>including dismissing the appeal</w:t>
      </w:r>
      <w:r w:rsidR="005E2707">
        <w:rPr>
          <w:rFonts w:ascii="Arial" w:hAnsi="Arial" w:cs="Arial"/>
          <w:sz w:val="24"/>
        </w:rPr>
        <w:t>.</w:t>
      </w:r>
    </w:p>
    <w:p w14:paraId="40A8A2FB" w14:textId="77777777" w:rsidR="00D76114" w:rsidRDefault="00D76114">
      <w:pPr>
        <w:pStyle w:val="aExplanText"/>
        <w:tabs>
          <w:tab w:val="left" w:pos="2880"/>
        </w:tabs>
        <w:spacing w:before="0" w:after="0"/>
        <w:jc w:val="left"/>
        <w:rPr>
          <w:rFonts w:ascii="Arial" w:hAnsi="Arial" w:cs="Arial"/>
          <w:sz w:val="24"/>
        </w:rPr>
      </w:pPr>
    </w:p>
    <w:p w14:paraId="20815A3E" w14:textId="77777777" w:rsidR="00D76114" w:rsidRDefault="00D76114">
      <w:pPr>
        <w:pStyle w:val="aExplanText"/>
        <w:tabs>
          <w:tab w:val="left" w:pos="2880"/>
        </w:tabs>
        <w:spacing w:before="0" w:after="0"/>
        <w:jc w:val="left"/>
        <w:rPr>
          <w:rFonts w:ascii="Arial" w:hAnsi="Arial" w:cs="Arial"/>
          <w:sz w:val="24"/>
        </w:rPr>
      </w:pPr>
    </w:p>
    <w:p w14:paraId="1D6FB4F2" w14:textId="77777777" w:rsidR="00F04D8F" w:rsidRDefault="003C522B">
      <w:pPr>
        <w:pStyle w:val="aExplanText"/>
        <w:tabs>
          <w:tab w:val="left" w:pos="2880"/>
        </w:tabs>
        <w:spacing w:before="0" w:after="0"/>
        <w:jc w:val="left"/>
        <w:rPr>
          <w:rFonts w:ascii="Arial" w:hAnsi="Arial" w:cs="Arial"/>
          <w:sz w:val="24"/>
        </w:rPr>
      </w:pPr>
      <w:r>
        <w:rPr>
          <w:rFonts w:ascii="Arial" w:hAnsi="Arial" w:cs="Arial"/>
          <w:b/>
          <w:sz w:val="24"/>
        </w:rPr>
        <w:t xml:space="preserve">Rule </w:t>
      </w:r>
      <w:r w:rsidR="00D76114" w:rsidRPr="00681D11">
        <w:rPr>
          <w:rFonts w:ascii="Arial" w:hAnsi="Arial" w:cs="Arial"/>
          <w:b/>
          <w:sz w:val="24"/>
        </w:rPr>
        <w:t>4</w:t>
      </w:r>
      <w:r w:rsidR="00D76114">
        <w:rPr>
          <w:rFonts w:ascii="Arial" w:hAnsi="Arial" w:cs="Arial"/>
          <w:sz w:val="24"/>
        </w:rPr>
        <w:t xml:space="preserve"> </w:t>
      </w:r>
      <w:r w:rsidR="00F04D8F">
        <w:rPr>
          <w:rFonts w:ascii="Arial" w:hAnsi="Arial" w:cs="Arial"/>
          <w:sz w:val="24"/>
        </w:rPr>
        <w:t>deals with the withdrawal of an appeal.</w:t>
      </w:r>
    </w:p>
    <w:p w14:paraId="617D7922" w14:textId="77777777" w:rsidR="00F04D8F" w:rsidRDefault="00F04D8F">
      <w:pPr>
        <w:pStyle w:val="aExplanText"/>
        <w:tabs>
          <w:tab w:val="left" w:pos="2880"/>
        </w:tabs>
        <w:spacing w:before="0" w:after="0"/>
        <w:jc w:val="left"/>
        <w:rPr>
          <w:rFonts w:ascii="Arial" w:hAnsi="Arial" w:cs="Arial"/>
          <w:sz w:val="24"/>
        </w:rPr>
      </w:pPr>
    </w:p>
    <w:p w14:paraId="259D09A9" w14:textId="77777777" w:rsidR="00F04D8F" w:rsidRDefault="003C522B">
      <w:pPr>
        <w:pStyle w:val="aExplanText"/>
        <w:tabs>
          <w:tab w:val="left" w:pos="2880"/>
        </w:tabs>
        <w:spacing w:before="0" w:after="0"/>
        <w:jc w:val="left"/>
        <w:rPr>
          <w:rFonts w:ascii="Arial" w:hAnsi="Arial" w:cs="Arial"/>
          <w:sz w:val="24"/>
        </w:rPr>
      </w:pPr>
      <w:r>
        <w:rPr>
          <w:rFonts w:ascii="Arial" w:hAnsi="Arial" w:cs="Arial"/>
          <w:sz w:val="24"/>
        </w:rPr>
        <w:t>Subr</w:t>
      </w:r>
      <w:r w:rsidR="00F04D8F">
        <w:rPr>
          <w:rFonts w:ascii="Arial" w:hAnsi="Arial" w:cs="Arial"/>
          <w:sz w:val="24"/>
        </w:rPr>
        <w:t xml:space="preserve">ule </w:t>
      </w:r>
      <w:r w:rsidR="00BE3773">
        <w:rPr>
          <w:rFonts w:ascii="Arial" w:hAnsi="Arial" w:cs="Arial"/>
          <w:sz w:val="24"/>
        </w:rPr>
        <w:t>4</w:t>
      </w:r>
      <w:r w:rsidR="00515294">
        <w:rPr>
          <w:rFonts w:ascii="Arial" w:hAnsi="Arial" w:cs="Arial"/>
          <w:sz w:val="24"/>
        </w:rPr>
        <w:t>(</w:t>
      </w:r>
      <w:r w:rsidR="00F04D8F">
        <w:rPr>
          <w:rFonts w:ascii="Arial" w:hAnsi="Arial" w:cs="Arial"/>
          <w:sz w:val="24"/>
        </w:rPr>
        <w:t>1</w:t>
      </w:r>
      <w:r w:rsidR="00515294">
        <w:rPr>
          <w:rFonts w:ascii="Arial" w:hAnsi="Arial" w:cs="Arial"/>
          <w:sz w:val="24"/>
        </w:rPr>
        <w:t>)</w:t>
      </w:r>
      <w:r w:rsidR="00F04D8F">
        <w:rPr>
          <w:rFonts w:ascii="Arial" w:hAnsi="Arial" w:cs="Arial"/>
          <w:sz w:val="24"/>
        </w:rPr>
        <w:t xml:space="preserve"> provides that an appeal </w:t>
      </w:r>
      <w:r w:rsidR="00476ADF">
        <w:rPr>
          <w:rFonts w:ascii="Arial" w:hAnsi="Arial" w:cs="Arial"/>
          <w:sz w:val="24"/>
        </w:rPr>
        <w:t xml:space="preserve">filed </w:t>
      </w:r>
      <w:r w:rsidR="00F04D8F">
        <w:rPr>
          <w:rFonts w:ascii="Arial" w:hAnsi="Arial" w:cs="Arial"/>
          <w:sz w:val="24"/>
        </w:rPr>
        <w:t>with the tribunal may not be withdrawn except with leave of the tribunal.</w:t>
      </w:r>
    </w:p>
    <w:p w14:paraId="148858FC" w14:textId="77777777" w:rsidR="00F04D8F" w:rsidRDefault="00F04D8F">
      <w:pPr>
        <w:pStyle w:val="aExplanText"/>
        <w:tabs>
          <w:tab w:val="left" w:pos="2880"/>
        </w:tabs>
        <w:spacing w:before="0" w:after="0"/>
        <w:jc w:val="left"/>
        <w:rPr>
          <w:rFonts w:ascii="Arial" w:hAnsi="Arial" w:cs="Arial"/>
          <w:sz w:val="24"/>
        </w:rPr>
      </w:pPr>
    </w:p>
    <w:p w14:paraId="4DCA850D" w14:textId="77777777" w:rsidR="00F04D8F" w:rsidRDefault="003C522B">
      <w:pPr>
        <w:pStyle w:val="aExplanText"/>
        <w:tabs>
          <w:tab w:val="left" w:pos="2880"/>
        </w:tabs>
        <w:spacing w:before="0" w:after="0"/>
        <w:jc w:val="left"/>
        <w:rPr>
          <w:rFonts w:ascii="Arial" w:hAnsi="Arial" w:cs="Arial"/>
          <w:sz w:val="24"/>
        </w:rPr>
      </w:pPr>
      <w:r>
        <w:rPr>
          <w:rFonts w:ascii="Arial" w:hAnsi="Arial" w:cs="Arial"/>
          <w:sz w:val="24"/>
        </w:rPr>
        <w:lastRenderedPageBreak/>
        <w:t>Subr</w:t>
      </w:r>
      <w:r w:rsidR="00F04D8F">
        <w:rPr>
          <w:rFonts w:ascii="Arial" w:hAnsi="Arial" w:cs="Arial"/>
          <w:sz w:val="24"/>
        </w:rPr>
        <w:t xml:space="preserve">ule </w:t>
      </w:r>
      <w:r w:rsidR="00BE3773">
        <w:rPr>
          <w:rFonts w:ascii="Arial" w:hAnsi="Arial" w:cs="Arial"/>
          <w:sz w:val="24"/>
        </w:rPr>
        <w:t>4</w:t>
      </w:r>
      <w:r w:rsidR="00515294">
        <w:rPr>
          <w:rFonts w:ascii="Arial" w:hAnsi="Arial" w:cs="Arial"/>
          <w:sz w:val="24"/>
        </w:rPr>
        <w:t>(</w:t>
      </w:r>
      <w:r w:rsidR="00F04D8F">
        <w:rPr>
          <w:rFonts w:ascii="Arial" w:hAnsi="Arial" w:cs="Arial"/>
          <w:sz w:val="24"/>
        </w:rPr>
        <w:t>2</w:t>
      </w:r>
      <w:r w:rsidR="00515294">
        <w:rPr>
          <w:rFonts w:ascii="Arial" w:hAnsi="Arial" w:cs="Arial"/>
          <w:sz w:val="24"/>
        </w:rPr>
        <w:t>)</w:t>
      </w:r>
      <w:r w:rsidR="00F04D8F">
        <w:rPr>
          <w:rFonts w:ascii="Arial" w:hAnsi="Arial" w:cs="Arial"/>
          <w:sz w:val="24"/>
        </w:rPr>
        <w:t xml:space="preserve"> provides that where the tribunal grants or refuses leave to withdraw an appeal, it may impose such conditions as it thinks fit, including the payment of costs.</w:t>
      </w:r>
    </w:p>
    <w:p w14:paraId="6D5F24D4" w14:textId="77777777" w:rsidR="00BA1E63" w:rsidRDefault="00BA1E63">
      <w:pPr>
        <w:pStyle w:val="aExplanText"/>
        <w:tabs>
          <w:tab w:val="left" w:pos="2880"/>
        </w:tabs>
        <w:spacing w:before="0" w:after="0"/>
        <w:jc w:val="left"/>
        <w:rPr>
          <w:rFonts w:ascii="Arial" w:hAnsi="Arial" w:cs="Arial"/>
          <w:sz w:val="24"/>
        </w:rPr>
      </w:pPr>
    </w:p>
    <w:p w14:paraId="7614C270" w14:textId="77777777" w:rsidR="00F04D8F" w:rsidRDefault="003C522B">
      <w:pPr>
        <w:rPr>
          <w:rFonts w:ascii="Arial" w:hAnsi="Arial" w:cs="Arial"/>
        </w:rPr>
      </w:pPr>
      <w:r>
        <w:rPr>
          <w:rFonts w:ascii="Arial" w:hAnsi="Arial" w:cs="Arial"/>
        </w:rPr>
        <w:t>Subr</w:t>
      </w:r>
      <w:r w:rsidR="00F04D8F">
        <w:rPr>
          <w:rFonts w:ascii="Arial" w:hAnsi="Arial" w:cs="Arial"/>
        </w:rPr>
        <w:t xml:space="preserve">ule </w:t>
      </w:r>
      <w:r w:rsidR="00BE3773">
        <w:rPr>
          <w:rFonts w:ascii="Arial" w:hAnsi="Arial" w:cs="Arial"/>
        </w:rPr>
        <w:t>4</w:t>
      </w:r>
      <w:r w:rsidR="00515294">
        <w:rPr>
          <w:rFonts w:ascii="Arial" w:hAnsi="Arial" w:cs="Arial"/>
        </w:rPr>
        <w:t>(</w:t>
      </w:r>
      <w:r w:rsidR="00F04D8F">
        <w:rPr>
          <w:rFonts w:ascii="Arial" w:hAnsi="Arial" w:cs="Arial"/>
        </w:rPr>
        <w:t>3</w:t>
      </w:r>
      <w:r w:rsidR="00515294">
        <w:rPr>
          <w:rFonts w:ascii="Arial" w:hAnsi="Arial" w:cs="Arial"/>
        </w:rPr>
        <w:t>)</w:t>
      </w:r>
      <w:r w:rsidR="00F04D8F">
        <w:rPr>
          <w:rFonts w:ascii="Arial" w:hAnsi="Arial" w:cs="Arial"/>
        </w:rPr>
        <w:t xml:space="preserve"> provides that where the tribunal grants or refuses leave to withdraw an appeal, it must order that the bond be forfeited or refunded, either in full or in part.</w:t>
      </w:r>
    </w:p>
    <w:p w14:paraId="15743269" w14:textId="77777777" w:rsidR="00BE3773" w:rsidRDefault="00BE3773">
      <w:pPr>
        <w:rPr>
          <w:rFonts w:ascii="Arial" w:hAnsi="Arial" w:cs="Arial"/>
        </w:rPr>
      </w:pPr>
    </w:p>
    <w:p w14:paraId="25BE9307" w14:textId="77777777" w:rsidR="00BE3773" w:rsidRDefault="00BE3773">
      <w:pPr>
        <w:rPr>
          <w:rFonts w:ascii="Arial" w:hAnsi="Arial" w:cs="Arial"/>
        </w:rPr>
      </w:pPr>
    </w:p>
    <w:p w14:paraId="1B1B45D1" w14:textId="77777777" w:rsidR="00BE3773" w:rsidRDefault="003C522B">
      <w:pPr>
        <w:rPr>
          <w:rFonts w:ascii="Arial" w:hAnsi="Arial" w:cs="Arial"/>
        </w:rPr>
      </w:pPr>
      <w:r>
        <w:rPr>
          <w:rFonts w:ascii="Arial" w:hAnsi="Arial" w:cs="Arial"/>
          <w:b/>
        </w:rPr>
        <w:t xml:space="preserve">Rule </w:t>
      </w:r>
      <w:r w:rsidR="00BE3773" w:rsidRPr="00681D11">
        <w:rPr>
          <w:rFonts w:ascii="Arial" w:hAnsi="Arial" w:cs="Arial"/>
          <w:b/>
        </w:rPr>
        <w:t>5</w:t>
      </w:r>
      <w:r w:rsidR="0007378B">
        <w:rPr>
          <w:rFonts w:ascii="Arial" w:hAnsi="Arial" w:cs="Arial"/>
        </w:rPr>
        <w:t xml:space="preserve"> </w:t>
      </w:r>
      <w:r w:rsidR="00515294">
        <w:rPr>
          <w:rFonts w:ascii="Arial" w:hAnsi="Arial" w:cs="Arial"/>
        </w:rPr>
        <w:t>relates</w:t>
      </w:r>
      <w:r w:rsidR="0007378B">
        <w:rPr>
          <w:rFonts w:ascii="Arial" w:hAnsi="Arial" w:cs="Arial"/>
        </w:rPr>
        <w:t xml:space="preserve"> to directi</w:t>
      </w:r>
      <w:r w:rsidR="00515294">
        <w:rPr>
          <w:rFonts w:ascii="Arial" w:hAnsi="Arial" w:cs="Arial"/>
        </w:rPr>
        <w:t>ons</w:t>
      </w:r>
      <w:r>
        <w:rPr>
          <w:rFonts w:ascii="Arial" w:hAnsi="Arial" w:cs="Arial"/>
        </w:rPr>
        <w:t>.</w:t>
      </w:r>
    </w:p>
    <w:p w14:paraId="00522757" w14:textId="77777777" w:rsidR="0007378B" w:rsidRDefault="0007378B">
      <w:pPr>
        <w:rPr>
          <w:rFonts w:ascii="Arial" w:hAnsi="Arial" w:cs="Arial"/>
        </w:rPr>
      </w:pPr>
    </w:p>
    <w:p w14:paraId="6ABBE1DC" w14:textId="77777777" w:rsidR="00515294" w:rsidRDefault="003C522B">
      <w:pPr>
        <w:rPr>
          <w:rFonts w:ascii="Arial" w:hAnsi="Arial" w:cs="Arial"/>
        </w:rPr>
      </w:pPr>
      <w:r>
        <w:rPr>
          <w:rFonts w:ascii="Arial" w:hAnsi="Arial" w:cs="Arial"/>
        </w:rPr>
        <w:t>Subr</w:t>
      </w:r>
      <w:r w:rsidR="00515294">
        <w:rPr>
          <w:rFonts w:ascii="Arial" w:hAnsi="Arial" w:cs="Arial"/>
        </w:rPr>
        <w:t>ule 5(</w:t>
      </w:r>
      <w:r w:rsidR="0007378B">
        <w:rPr>
          <w:rFonts w:ascii="Arial" w:hAnsi="Arial" w:cs="Arial"/>
        </w:rPr>
        <w:t>1</w:t>
      </w:r>
      <w:r w:rsidR="00515294">
        <w:rPr>
          <w:rFonts w:ascii="Arial" w:hAnsi="Arial" w:cs="Arial"/>
        </w:rPr>
        <w:t>)</w:t>
      </w:r>
      <w:r w:rsidR="0007378B">
        <w:rPr>
          <w:rFonts w:ascii="Arial" w:hAnsi="Arial" w:cs="Arial"/>
        </w:rPr>
        <w:t xml:space="preserve"> </w:t>
      </w:r>
      <w:r w:rsidR="00515294">
        <w:rPr>
          <w:rFonts w:ascii="Arial" w:hAnsi="Arial" w:cs="Arial"/>
        </w:rPr>
        <w:t xml:space="preserve">is a new rule and provides that </w:t>
      </w:r>
      <w:r>
        <w:rPr>
          <w:rFonts w:ascii="Arial" w:hAnsi="Arial" w:cs="Arial"/>
        </w:rPr>
        <w:t>the tribunal may make directions with or without convening a directions hearing.</w:t>
      </w:r>
    </w:p>
    <w:p w14:paraId="44D4AA09" w14:textId="77777777" w:rsidR="00515294" w:rsidRDefault="00515294">
      <w:pPr>
        <w:rPr>
          <w:rFonts w:ascii="Arial" w:hAnsi="Arial" w:cs="Arial"/>
        </w:rPr>
      </w:pPr>
    </w:p>
    <w:p w14:paraId="2D8BFFD3" w14:textId="77777777" w:rsidR="0007378B" w:rsidRDefault="003C522B">
      <w:pPr>
        <w:rPr>
          <w:rFonts w:ascii="Arial" w:hAnsi="Arial" w:cs="Arial"/>
        </w:rPr>
      </w:pPr>
      <w:r>
        <w:rPr>
          <w:rFonts w:ascii="Arial" w:hAnsi="Arial" w:cs="Arial"/>
        </w:rPr>
        <w:t>Subr</w:t>
      </w:r>
      <w:r w:rsidR="00515294">
        <w:rPr>
          <w:rFonts w:ascii="Arial" w:hAnsi="Arial" w:cs="Arial"/>
        </w:rPr>
        <w:t xml:space="preserve">ule 5(2) </w:t>
      </w:r>
      <w:r w:rsidR="0007378B">
        <w:rPr>
          <w:rFonts w:ascii="Arial" w:hAnsi="Arial" w:cs="Arial"/>
        </w:rPr>
        <w:t>provides that if the tribunal sets a date for a directions hearing, the registrar must give the parties notice of the date.</w:t>
      </w:r>
    </w:p>
    <w:p w14:paraId="6EE21259" w14:textId="77777777" w:rsidR="0007378B" w:rsidRDefault="0007378B">
      <w:pPr>
        <w:rPr>
          <w:rFonts w:ascii="Arial" w:hAnsi="Arial" w:cs="Arial"/>
        </w:rPr>
      </w:pPr>
    </w:p>
    <w:p w14:paraId="71E6D238" w14:textId="77777777" w:rsidR="0007378B" w:rsidRDefault="003C522B">
      <w:pPr>
        <w:rPr>
          <w:rFonts w:ascii="Arial" w:hAnsi="Arial" w:cs="Arial"/>
        </w:rPr>
      </w:pPr>
      <w:r>
        <w:rPr>
          <w:rFonts w:ascii="Arial" w:hAnsi="Arial" w:cs="Arial"/>
        </w:rPr>
        <w:t>Subrule 5(3)</w:t>
      </w:r>
      <w:r w:rsidR="0007378B">
        <w:rPr>
          <w:rFonts w:ascii="Arial" w:hAnsi="Arial" w:cs="Arial"/>
        </w:rPr>
        <w:t xml:space="preserve"> provides that the appellant and each respondent must attend the directions hearing.</w:t>
      </w:r>
    </w:p>
    <w:p w14:paraId="3F1BB225" w14:textId="77777777" w:rsidR="0007378B" w:rsidRDefault="0007378B">
      <w:pPr>
        <w:rPr>
          <w:rFonts w:ascii="Arial" w:hAnsi="Arial" w:cs="Arial"/>
        </w:rPr>
      </w:pPr>
    </w:p>
    <w:p w14:paraId="248DFC67" w14:textId="77777777" w:rsidR="0007378B" w:rsidRDefault="003C522B">
      <w:pPr>
        <w:rPr>
          <w:rFonts w:ascii="Arial" w:hAnsi="Arial" w:cs="Arial"/>
        </w:rPr>
      </w:pPr>
      <w:r>
        <w:rPr>
          <w:rFonts w:ascii="Arial" w:hAnsi="Arial" w:cs="Arial"/>
        </w:rPr>
        <w:t>Subrule 5(4)</w:t>
      </w:r>
      <w:r w:rsidR="0007378B">
        <w:rPr>
          <w:rFonts w:ascii="Arial" w:hAnsi="Arial" w:cs="Arial"/>
        </w:rPr>
        <w:t xml:space="preserve"> provides that the tribunal may, at the directions hearing, give the directions it considers appropriate to have the appeal made ready for hearing, or adjourn the directions hearing</w:t>
      </w:r>
      <w:r w:rsidR="00B83349">
        <w:rPr>
          <w:rFonts w:ascii="Arial" w:hAnsi="Arial" w:cs="Arial"/>
        </w:rPr>
        <w:t xml:space="preserve"> or fix a date, time and location for the hearing of the appeal</w:t>
      </w:r>
      <w:r w:rsidR="0007378B">
        <w:rPr>
          <w:rFonts w:ascii="Arial" w:hAnsi="Arial" w:cs="Arial"/>
        </w:rPr>
        <w:t>.</w:t>
      </w:r>
    </w:p>
    <w:p w14:paraId="7618AF6A" w14:textId="77777777" w:rsidR="0007378B" w:rsidRDefault="0007378B">
      <w:pPr>
        <w:rPr>
          <w:rFonts w:ascii="Arial" w:hAnsi="Arial" w:cs="Arial"/>
        </w:rPr>
      </w:pPr>
    </w:p>
    <w:p w14:paraId="2C0E77F6" w14:textId="77777777" w:rsidR="0007378B" w:rsidRDefault="003C522B">
      <w:pPr>
        <w:rPr>
          <w:rFonts w:ascii="Arial" w:hAnsi="Arial" w:cs="Arial"/>
        </w:rPr>
      </w:pPr>
      <w:r>
        <w:rPr>
          <w:rFonts w:ascii="Arial" w:hAnsi="Arial" w:cs="Arial"/>
        </w:rPr>
        <w:t>Subrule 5(5)</w:t>
      </w:r>
      <w:r w:rsidR="0007378B">
        <w:rPr>
          <w:rFonts w:ascii="Arial" w:hAnsi="Arial" w:cs="Arial"/>
        </w:rPr>
        <w:t xml:space="preserve"> provides that the tribunal may amend or revoke a</w:t>
      </w:r>
      <w:r>
        <w:rPr>
          <w:rFonts w:ascii="Arial" w:hAnsi="Arial" w:cs="Arial"/>
        </w:rPr>
        <w:t xml:space="preserve"> direction made under this rule </w:t>
      </w:r>
      <w:r w:rsidR="0007378B">
        <w:rPr>
          <w:rFonts w:ascii="Arial" w:hAnsi="Arial" w:cs="Arial"/>
        </w:rPr>
        <w:t xml:space="preserve">on application by a party or </w:t>
      </w:r>
      <w:r w:rsidR="00F14C6A">
        <w:rPr>
          <w:rFonts w:ascii="Arial" w:hAnsi="Arial" w:cs="Arial"/>
        </w:rPr>
        <w:t xml:space="preserve">on </w:t>
      </w:r>
      <w:r w:rsidR="0007378B">
        <w:rPr>
          <w:rFonts w:ascii="Arial" w:hAnsi="Arial" w:cs="Arial"/>
        </w:rPr>
        <w:t>its own initiative.</w:t>
      </w:r>
    </w:p>
    <w:p w14:paraId="421CD4FC" w14:textId="77777777" w:rsidR="0007378B" w:rsidRDefault="0007378B">
      <w:pPr>
        <w:rPr>
          <w:rFonts w:ascii="Arial" w:hAnsi="Arial" w:cs="Arial"/>
        </w:rPr>
      </w:pPr>
    </w:p>
    <w:p w14:paraId="67239F5C" w14:textId="77777777" w:rsidR="0007378B" w:rsidRDefault="0007378B">
      <w:pPr>
        <w:rPr>
          <w:rFonts w:ascii="Arial" w:hAnsi="Arial" w:cs="Arial"/>
        </w:rPr>
      </w:pPr>
    </w:p>
    <w:p w14:paraId="5CA58821" w14:textId="77777777" w:rsidR="0007378B" w:rsidRDefault="003C522B">
      <w:pPr>
        <w:rPr>
          <w:rFonts w:ascii="Arial" w:hAnsi="Arial" w:cs="Arial"/>
        </w:rPr>
      </w:pPr>
      <w:r>
        <w:rPr>
          <w:rFonts w:ascii="Arial" w:hAnsi="Arial" w:cs="Arial"/>
          <w:b/>
        </w:rPr>
        <w:t>Rule</w:t>
      </w:r>
      <w:r w:rsidR="0007378B" w:rsidRPr="00681D11">
        <w:rPr>
          <w:rFonts w:ascii="Arial" w:hAnsi="Arial" w:cs="Arial"/>
          <w:b/>
        </w:rPr>
        <w:t xml:space="preserve"> 6</w:t>
      </w:r>
      <w:r w:rsidR="0007378B">
        <w:rPr>
          <w:rFonts w:ascii="Arial" w:hAnsi="Arial" w:cs="Arial"/>
        </w:rPr>
        <w:t xml:space="preserve"> </w:t>
      </w:r>
      <w:r>
        <w:rPr>
          <w:rFonts w:ascii="Arial" w:hAnsi="Arial" w:cs="Arial"/>
        </w:rPr>
        <w:t>relates to f</w:t>
      </w:r>
      <w:r w:rsidR="0007378B">
        <w:rPr>
          <w:rFonts w:ascii="Arial" w:hAnsi="Arial" w:cs="Arial"/>
        </w:rPr>
        <w:t>ailure to comply with directions.</w:t>
      </w:r>
    </w:p>
    <w:p w14:paraId="55642F8E" w14:textId="77777777" w:rsidR="0007378B" w:rsidRDefault="0007378B">
      <w:pPr>
        <w:rPr>
          <w:rFonts w:ascii="Arial" w:hAnsi="Arial" w:cs="Arial"/>
        </w:rPr>
      </w:pPr>
    </w:p>
    <w:p w14:paraId="7F81450E" w14:textId="0A4F1E39" w:rsidR="0007378B" w:rsidRDefault="003C522B">
      <w:pPr>
        <w:rPr>
          <w:rFonts w:ascii="Arial" w:hAnsi="Arial" w:cs="Arial"/>
        </w:rPr>
      </w:pPr>
      <w:r>
        <w:rPr>
          <w:rFonts w:ascii="Arial" w:hAnsi="Arial" w:cs="Arial"/>
        </w:rPr>
        <w:t>Subr</w:t>
      </w:r>
      <w:r w:rsidR="005C65DA">
        <w:rPr>
          <w:rFonts w:ascii="Arial" w:hAnsi="Arial" w:cs="Arial"/>
        </w:rPr>
        <w:t>ule 6(</w:t>
      </w:r>
      <w:r w:rsidR="0007378B">
        <w:rPr>
          <w:rFonts w:ascii="Arial" w:hAnsi="Arial" w:cs="Arial"/>
        </w:rPr>
        <w:t>1</w:t>
      </w:r>
      <w:r w:rsidR="005C65DA">
        <w:rPr>
          <w:rFonts w:ascii="Arial" w:hAnsi="Arial" w:cs="Arial"/>
        </w:rPr>
        <w:t>)</w:t>
      </w:r>
      <w:r w:rsidR="0007378B">
        <w:rPr>
          <w:rFonts w:ascii="Arial" w:hAnsi="Arial" w:cs="Arial"/>
        </w:rPr>
        <w:t xml:space="preserve"> provides </w:t>
      </w:r>
      <w:r w:rsidR="00671BB3">
        <w:rPr>
          <w:rFonts w:ascii="Arial" w:hAnsi="Arial" w:cs="Arial"/>
        </w:rPr>
        <w:t xml:space="preserve">that if the appellant fails to comply </w:t>
      </w:r>
      <w:r w:rsidR="00F14C6A">
        <w:rPr>
          <w:rFonts w:ascii="Arial" w:hAnsi="Arial" w:cs="Arial"/>
        </w:rPr>
        <w:t xml:space="preserve">with </w:t>
      </w:r>
      <w:r w:rsidR="00671BB3">
        <w:rPr>
          <w:rFonts w:ascii="Arial" w:hAnsi="Arial" w:cs="Arial"/>
        </w:rPr>
        <w:t xml:space="preserve">a direction, the tribunal may dismiss the appeal, stay the appeal until the appellant complies, or proceed with </w:t>
      </w:r>
      <w:r w:rsidR="00D26AE8">
        <w:rPr>
          <w:rFonts w:ascii="Arial" w:hAnsi="Arial" w:cs="Arial"/>
        </w:rPr>
        <w:t xml:space="preserve">an </w:t>
      </w:r>
      <w:r w:rsidR="00671BB3">
        <w:rPr>
          <w:rFonts w:ascii="Arial" w:hAnsi="Arial" w:cs="Arial"/>
        </w:rPr>
        <w:t>appeal in the absence of information</w:t>
      </w:r>
      <w:r w:rsidR="0066289E">
        <w:rPr>
          <w:rFonts w:ascii="Arial" w:hAnsi="Arial" w:cs="Arial"/>
        </w:rPr>
        <w:t xml:space="preserve"> </w:t>
      </w:r>
      <w:r w:rsidR="00D26AE8">
        <w:rPr>
          <w:rFonts w:ascii="Arial" w:hAnsi="Arial" w:cs="Arial"/>
        </w:rPr>
        <w:t xml:space="preserve">that </w:t>
      </w:r>
      <w:r w:rsidR="0066289E">
        <w:rPr>
          <w:rFonts w:ascii="Arial" w:hAnsi="Arial" w:cs="Arial"/>
        </w:rPr>
        <w:t xml:space="preserve">has been </w:t>
      </w:r>
      <w:r w:rsidR="00D26AE8">
        <w:rPr>
          <w:rFonts w:ascii="Arial" w:hAnsi="Arial" w:cs="Arial"/>
        </w:rPr>
        <w:t xml:space="preserve">requested but not </w:t>
      </w:r>
      <w:r w:rsidR="0066289E">
        <w:rPr>
          <w:rFonts w:ascii="Arial" w:hAnsi="Arial" w:cs="Arial"/>
        </w:rPr>
        <w:t>provided.</w:t>
      </w:r>
    </w:p>
    <w:p w14:paraId="1D432E90" w14:textId="77777777" w:rsidR="0066289E" w:rsidRDefault="0066289E">
      <w:pPr>
        <w:rPr>
          <w:rFonts w:ascii="Arial" w:hAnsi="Arial" w:cs="Arial"/>
        </w:rPr>
      </w:pPr>
    </w:p>
    <w:p w14:paraId="355E032F" w14:textId="04926799" w:rsidR="0066289E" w:rsidRDefault="003C522B" w:rsidP="0066289E">
      <w:pPr>
        <w:rPr>
          <w:rFonts w:ascii="Arial" w:hAnsi="Arial" w:cs="Arial"/>
        </w:rPr>
      </w:pPr>
      <w:r>
        <w:rPr>
          <w:rFonts w:ascii="Arial" w:hAnsi="Arial" w:cs="Arial"/>
        </w:rPr>
        <w:t>Subr</w:t>
      </w:r>
      <w:r w:rsidR="005C65DA">
        <w:rPr>
          <w:rFonts w:ascii="Arial" w:hAnsi="Arial" w:cs="Arial"/>
        </w:rPr>
        <w:t>ule 6(</w:t>
      </w:r>
      <w:r w:rsidR="0066289E">
        <w:rPr>
          <w:rFonts w:ascii="Arial" w:hAnsi="Arial" w:cs="Arial"/>
        </w:rPr>
        <w:t>2</w:t>
      </w:r>
      <w:r w:rsidR="005C65DA">
        <w:rPr>
          <w:rFonts w:ascii="Arial" w:hAnsi="Arial" w:cs="Arial"/>
        </w:rPr>
        <w:t>)</w:t>
      </w:r>
      <w:r w:rsidR="0066289E">
        <w:rPr>
          <w:rFonts w:ascii="Arial" w:hAnsi="Arial" w:cs="Arial"/>
        </w:rPr>
        <w:t xml:space="preserve"> provides that if the respondent fails to comply with a direction, the tribunal may </w:t>
      </w:r>
      <w:r w:rsidR="00BB0548">
        <w:rPr>
          <w:rFonts w:ascii="Arial" w:hAnsi="Arial" w:cs="Arial"/>
        </w:rPr>
        <w:t>set aside the decision on review</w:t>
      </w:r>
      <w:r w:rsidR="0066289E">
        <w:rPr>
          <w:rFonts w:ascii="Arial" w:hAnsi="Arial" w:cs="Arial"/>
        </w:rPr>
        <w:t xml:space="preserve"> or proceed with the appeal in the absence of information </w:t>
      </w:r>
      <w:r w:rsidR="005C65DA">
        <w:rPr>
          <w:rFonts w:ascii="Arial" w:hAnsi="Arial" w:cs="Arial"/>
        </w:rPr>
        <w:t xml:space="preserve">that </w:t>
      </w:r>
      <w:r w:rsidR="0066289E">
        <w:rPr>
          <w:rFonts w:ascii="Arial" w:hAnsi="Arial" w:cs="Arial"/>
        </w:rPr>
        <w:t xml:space="preserve">has been </w:t>
      </w:r>
      <w:r w:rsidR="005C65DA">
        <w:rPr>
          <w:rFonts w:ascii="Arial" w:hAnsi="Arial" w:cs="Arial"/>
        </w:rPr>
        <w:t xml:space="preserve">requested but not </w:t>
      </w:r>
      <w:r w:rsidR="0066289E">
        <w:rPr>
          <w:rFonts w:ascii="Arial" w:hAnsi="Arial" w:cs="Arial"/>
        </w:rPr>
        <w:t>provided.</w:t>
      </w:r>
    </w:p>
    <w:p w14:paraId="72ACF6BE" w14:textId="77777777" w:rsidR="0066289E" w:rsidRDefault="0066289E">
      <w:pPr>
        <w:rPr>
          <w:rFonts w:ascii="Arial" w:hAnsi="Arial" w:cs="Arial"/>
        </w:rPr>
      </w:pPr>
    </w:p>
    <w:p w14:paraId="7082BA9A" w14:textId="77777777" w:rsidR="00BE3773" w:rsidRDefault="00BE3773">
      <w:pPr>
        <w:rPr>
          <w:rFonts w:ascii="Arial" w:hAnsi="Arial" w:cs="Arial"/>
        </w:rPr>
      </w:pPr>
    </w:p>
    <w:p w14:paraId="623D8F38" w14:textId="4FC46113" w:rsidR="0066289E" w:rsidRDefault="003C522B">
      <w:pPr>
        <w:rPr>
          <w:rFonts w:ascii="Arial" w:hAnsi="Arial" w:cs="Arial"/>
        </w:rPr>
      </w:pPr>
      <w:r>
        <w:rPr>
          <w:rFonts w:ascii="Arial" w:hAnsi="Arial" w:cs="Arial"/>
          <w:b/>
        </w:rPr>
        <w:t xml:space="preserve">Rule </w:t>
      </w:r>
      <w:r w:rsidR="0066289E" w:rsidRPr="00E30BFA">
        <w:rPr>
          <w:rFonts w:ascii="Arial" w:hAnsi="Arial" w:cs="Arial"/>
          <w:b/>
        </w:rPr>
        <w:t>7</w:t>
      </w:r>
      <w:r w:rsidR="0066289E">
        <w:rPr>
          <w:rFonts w:ascii="Arial" w:hAnsi="Arial" w:cs="Arial"/>
        </w:rPr>
        <w:t xml:space="preserve"> </w:t>
      </w:r>
      <w:r w:rsidR="005C65DA">
        <w:rPr>
          <w:rFonts w:ascii="Arial" w:hAnsi="Arial" w:cs="Arial"/>
        </w:rPr>
        <w:t>relates</w:t>
      </w:r>
      <w:r w:rsidR="00F14C6A">
        <w:rPr>
          <w:rFonts w:ascii="Arial" w:hAnsi="Arial" w:cs="Arial"/>
        </w:rPr>
        <w:t xml:space="preserve"> to</w:t>
      </w:r>
      <w:r w:rsidR="009C5E53">
        <w:rPr>
          <w:rFonts w:ascii="Arial" w:hAnsi="Arial" w:cs="Arial"/>
        </w:rPr>
        <w:t xml:space="preserve"> </w:t>
      </w:r>
      <w:r w:rsidR="0066289E">
        <w:rPr>
          <w:rFonts w:ascii="Arial" w:hAnsi="Arial" w:cs="Arial"/>
        </w:rPr>
        <w:t>failure to attend a hearing</w:t>
      </w:r>
      <w:r w:rsidR="009C5E53">
        <w:rPr>
          <w:rFonts w:ascii="Arial" w:hAnsi="Arial" w:cs="Arial"/>
        </w:rPr>
        <w:t>.</w:t>
      </w:r>
    </w:p>
    <w:p w14:paraId="6EAC391F" w14:textId="77777777" w:rsidR="0066289E" w:rsidRDefault="0066289E">
      <w:pPr>
        <w:rPr>
          <w:rFonts w:ascii="Arial" w:hAnsi="Arial" w:cs="Arial"/>
        </w:rPr>
      </w:pPr>
    </w:p>
    <w:p w14:paraId="60185C09" w14:textId="4C91568C" w:rsidR="0066289E" w:rsidRDefault="003C522B">
      <w:pPr>
        <w:rPr>
          <w:rFonts w:ascii="Arial" w:hAnsi="Arial" w:cs="Arial"/>
        </w:rPr>
      </w:pPr>
      <w:r>
        <w:rPr>
          <w:rFonts w:ascii="Arial" w:hAnsi="Arial" w:cs="Arial"/>
        </w:rPr>
        <w:t>Subr</w:t>
      </w:r>
      <w:r w:rsidR="005C65DA">
        <w:rPr>
          <w:rFonts w:ascii="Arial" w:hAnsi="Arial" w:cs="Arial"/>
        </w:rPr>
        <w:t>ule 7(</w:t>
      </w:r>
      <w:r w:rsidR="0066289E">
        <w:rPr>
          <w:rFonts w:ascii="Arial" w:hAnsi="Arial" w:cs="Arial"/>
        </w:rPr>
        <w:t>1</w:t>
      </w:r>
      <w:r w:rsidR="005C65DA">
        <w:rPr>
          <w:rFonts w:ascii="Arial" w:hAnsi="Arial" w:cs="Arial"/>
        </w:rPr>
        <w:t>)</w:t>
      </w:r>
      <w:r w:rsidR="0066289E">
        <w:rPr>
          <w:rFonts w:ascii="Arial" w:hAnsi="Arial" w:cs="Arial"/>
        </w:rPr>
        <w:t xml:space="preserve"> provides that if the appellant fails to attend a hearing, the tribunal may dismiss the appeal or stay the appeal.</w:t>
      </w:r>
    </w:p>
    <w:p w14:paraId="218FB630" w14:textId="77777777" w:rsidR="0066289E" w:rsidRDefault="0066289E">
      <w:pPr>
        <w:rPr>
          <w:rFonts w:ascii="Arial" w:hAnsi="Arial" w:cs="Arial"/>
        </w:rPr>
      </w:pPr>
    </w:p>
    <w:p w14:paraId="214D1F03" w14:textId="4588D7FB" w:rsidR="0066289E" w:rsidRDefault="003C522B">
      <w:pPr>
        <w:rPr>
          <w:rFonts w:ascii="Arial" w:hAnsi="Arial" w:cs="Arial"/>
        </w:rPr>
      </w:pPr>
      <w:r>
        <w:rPr>
          <w:rFonts w:ascii="Arial" w:hAnsi="Arial" w:cs="Arial"/>
        </w:rPr>
        <w:t>Subr</w:t>
      </w:r>
      <w:r w:rsidR="005C65DA">
        <w:rPr>
          <w:rFonts w:ascii="Arial" w:hAnsi="Arial" w:cs="Arial"/>
        </w:rPr>
        <w:t>ule 7(</w:t>
      </w:r>
      <w:r w:rsidR="0066289E">
        <w:rPr>
          <w:rFonts w:ascii="Arial" w:hAnsi="Arial" w:cs="Arial"/>
        </w:rPr>
        <w:t>2</w:t>
      </w:r>
      <w:r w:rsidR="005C65DA">
        <w:rPr>
          <w:rFonts w:ascii="Arial" w:hAnsi="Arial" w:cs="Arial"/>
        </w:rPr>
        <w:t>)</w:t>
      </w:r>
      <w:r w:rsidR="0066289E">
        <w:rPr>
          <w:rFonts w:ascii="Arial" w:hAnsi="Arial" w:cs="Arial"/>
        </w:rPr>
        <w:t xml:space="preserve"> provides that if the respondent fails to attend a hearing</w:t>
      </w:r>
      <w:r w:rsidR="0066289E" w:rsidRPr="00302A52">
        <w:rPr>
          <w:rFonts w:ascii="Arial" w:hAnsi="Arial" w:cs="Arial"/>
        </w:rPr>
        <w:t xml:space="preserve"> the tribunal may </w:t>
      </w:r>
      <w:r w:rsidR="00BB0548">
        <w:rPr>
          <w:rFonts w:ascii="Arial" w:hAnsi="Arial" w:cs="Arial"/>
        </w:rPr>
        <w:t>allow the appeal and set aside the decision on review</w:t>
      </w:r>
      <w:r w:rsidR="0066289E">
        <w:rPr>
          <w:rFonts w:ascii="Arial" w:hAnsi="Arial" w:cs="Arial"/>
        </w:rPr>
        <w:t>.</w:t>
      </w:r>
    </w:p>
    <w:p w14:paraId="26AB8C2F" w14:textId="77777777" w:rsidR="0066289E" w:rsidRDefault="0066289E">
      <w:pPr>
        <w:rPr>
          <w:rFonts w:ascii="Arial" w:hAnsi="Arial" w:cs="Arial"/>
        </w:rPr>
      </w:pPr>
    </w:p>
    <w:p w14:paraId="1E2DB59A" w14:textId="62EADAA0" w:rsidR="0066289E" w:rsidRDefault="003C522B">
      <w:pPr>
        <w:rPr>
          <w:rFonts w:ascii="Arial" w:hAnsi="Arial" w:cs="Arial"/>
        </w:rPr>
      </w:pPr>
      <w:r>
        <w:rPr>
          <w:rFonts w:ascii="Arial" w:hAnsi="Arial" w:cs="Arial"/>
          <w:b/>
        </w:rPr>
        <w:t xml:space="preserve">Rule </w:t>
      </w:r>
      <w:r w:rsidR="0066289E" w:rsidRPr="00681D11">
        <w:rPr>
          <w:rFonts w:ascii="Arial" w:hAnsi="Arial" w:cs="Arial"/>
          <w:b/>
        </w:rPr>
        <w:t>8</w:t>
      </w:r>
      <w:r w:rsidR="0066289E">
        <w:rPr>
          <w:rFonts w:ascii="Arial" w:hAnsi="Arial" w:cs="Arial"/>
        </w:rPr>
        <w:t xml:space="preserve"> </w:t>
      </w:r>
      <w:r w:rsidR="009C5E53">
        <w:rPr>
          <w:rFonts w:ascii="Arial" w:hAnsi="Arial" w:cs="Arial"/>
        </w:rPr>
        <w:t>is a new rule relating</w:t>
      </w:r>
      <w:r w:rsidR="0066289E">
        <w:rPr>
          <w:rFonts w:ascii="Arial" w:hAnsi="Arial" w:cs="Arial"/>
        </w:rPr>
        <w:t xml:space="preserve"> to </w:t>
      </w:r>
      <w:r w:rsidR="005C65DA">
        <w:rPr>
          <w:rFonts w:ascii="Arial" w:hAnsi="Arial" w:cs="Arial"/>
        </w:rPr>
        <w:t xml:space="preserve">dealing with an </w:t>
      </w:r>
      <w:r w:rsidR="0066289E">
        <w:rPr>
          <w:rFonts w:ascii="Arial" w:hAnsi="Arial" w:cs="Arial"/>
        </w:rPr>
        <w:t>appeal by consent.</w:t>
      </w:r>
    </w:p>
    <w:p w14:paraId="5A9C9635" w14:textId="77777777" w:rsidR="00F61EE0" w:rsidRDefault="00F61EE0">
      <w:pPr>
        <w:rPr>
          <w:rFonts w:ascii="Arial" w:hAnsi="Arial" w:cs="Arial"/>
        </w:rPr>
      </w:pPr>
    </w:p>
    <w:p w14:paraId="443B511C" w14:textId="5A84AF82" w:rsidR="00F61EE0" w:rsidRDefault="003C522B">
      <w:pPr>
        <w:rPr>
          <w:rFonts w:ascii="Arial" w:hAnsi="Arial" w:cs="Arial"/>
        </w:rPr>
      </w:pPr>
      <w:r>
        <w:rPr>
          <w:rFonts w:ascii="Arial" w:hAnsi="Arial" w:cs="Arial"/>
        </w:rPr>
        <w:t xml:space="preserve">Subrule </w:t>
      </w:r>
      <w:r w:rsidR="005C65DA">
        <w:rPr>
          <w:rFonts w:ascii="Arial" w:hAnsi="Arial" w:cs="Arial"/>
        </w:rPr>
        <w:t>8(</w:t>
      </w:r>
      <w:r w:rsidR="00DA48D5">
        <w:rPr>
          <w:rFonts w:ascii="Arial" w:hAnsi="Arial" w:cs="Arial"/>
        </w:rPr>
        <w:t>1</w:t>
      </w:r>
      <w:r w:rsidR="005C65DA">
        <w:rPr>
          <w:rFonts w:ascii="Arial" w:hAnsi="Arial" w:cs="Arial"/>
        </w:rPr>
        <w:t>)</w:t>
      </w:r>
      <w:r w:rsidR="00DA48D5">
        <w:rPr>
          <w:rFonts w:ascii="Arial" w:hAnsi="Arial" w:cs="Arial"/>
        </w:rPr>
        <w:t xml:space="preserve"> provides that the parties may request that the </w:t>
      </w:r>
      <w:r w:rsidR="005C65DA">
        <w:rPr>
          <w:rFonts w:ascii="Arial" w:hAnsi="Arial" w:cs="Arial"/>
        </w:rPr>
        <w:t xml:space="preserve">tribunal make any orders agreed by the parties </w:t>
      </w:r>
      <w:r w:rsidR="00DA48D5">
        <w:rPr>
          <w:rFonts w:ascii="Arial" w:hAnsi="Arial" w:cs="Arial"/>
        </w:rPr>
        <w:t>by consent.</w:t>
      </w:r>
    </w:p>
    <w:p w14:paraId="32A3818E" w14:textId="77777777" w:rsidR="00DA48D5" w:rsidRDefault="00DA48D5">
      <w:pPr>
        <w:rPr>
          <w:rFonts w:ascii="Arial" w:hAnsi="Arial" w:cs="Arial"/>
        </w:rPr>
      </w:pPr>
    </w:p>
    <w:p w14:paraId="45ADEB05" w14:textId="090236B1" w:rsidR="00DA48D5" w:rsidRPr="00D76114" w:rsidRDefault="003C522B">
      <w:pPr>
        <w:rPr>
          <w:rFonts w:ascii="Arial" w:hAnsi="Arial" w:cs="Arial"/>
        </w:rPr>
      </w:pPr>
      <w:r>
        <w:rPr>
          <w:rFonts w:ascii="Arial" w:hAnsi="Arial" w:cs="Arial"/>
        </w:rPr>
        <w:t>Subr</w:t>
      </w:r>
      <w:r w:rsidR="005C65DA">
        <w:rPr>
          <w:rFonts w:ascii="Arial" w:hAnsi="Arial" w:cs="Arial"/>
        </w:rPr>
        <w:t>ule 8(</w:t>
      </w:r>
      <w:r w:rsidR="00DA48D5">
        <w:rPr>
          <w:rFonts w:ascii="Arial" w:hAnsi="Arial" w:cs="Arial"/>
        </w:rPr>
        <w:t>2</w:t>
      </w:r>
      <w:r w:rsidR="005C65DA">
        <w:rPr>
          <w:rFonts w:ascii="Arial" w:hAnsi="Arial" w:cs="Arial"/>
        </w:rPr>
        <w:t>)</w:t>
      </w:r>
      <w:r w:rsidR="009C5E53">
        <w:rPr>
          <w:rFonts w:ascii="Arial" w:hAnsi="Arial" w:cs="Arial"/>
        </w:rPr>
        <w:t xml:space="preserve"> provides that the tr</w:t>
      </w:r>
      <w:r w:rsidR="009C5E53" w:rsidRPr="00302A52">
        <w:rPr>
          <w:rFonts w:ascii="Arial" w:hAnsi="Arial" w:cs="Arial"/>
        </w:rPr>
        <w:t xml:space="preserve">ibunal </w:t>
      </w:r>
      <w:r w:rsidR="005C65DA">
        <w:rPr>
          <w:rFonts w:ascii="Arial" w:hAnsi="Arial" w:cs="Arial"/>
        </w:rPr>
        <w:t>may make the orders requested by the parties, or any other orders</w:t>
      </w:r>
      <w:r w:rsidR="009C5E53" w:rsidRPr="00302A52">
        <w:rPr>
          <w:rFonts w:ascii="Arial" w:hAnsi="Arial" w:cs="Arial"/>
        </w:rPr>
        <w:t>.</w:t>
      </w:r>
    </w:p>
    <w:sectPr w:rsidR="00DA48D5" w:rsidRPr="00D76114" w:rsidSect="00302A52">
      <w:headerReference w:type="first" r:id="rId13"/>
      <w:pgSz w:w="11907" w:h="16839" w:code="9"/>
      <w:pgMar w:top="1701" w:right="2302" w:bottom="2155" w:left="2302" w:header="709" w:footer="831"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8DB27" w14:textId="77777777" w:rsidR="00D26AE8" w:rsidRDefault="00D26AE8">
      <w:r>
        <w:separator/>
      </w:r>
    </w:p>
  </w:endnote>
  <w:endnote w:type="continuationSeparator" w:id="0">
    <w:p w14:paraId="7D5DBC43" w14:textId="77777777" w:rsidR="00D26AE8" w:rsidRDefault="00D2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A374" w14:textId="6EF9E3CB" w:rsidR="002C1A02" w:rsidRPr="002C1A02" w:rsidRDefault="002C1A02" w:rsidP="002C1A02">
    <w:pPr>
      <w:pStyle w:val="Footer"/>
      <w:jc w:val="center"/>
      <w:rPr>
        <w:sz w:val="14"/>
      </w:rPr>
    </w:pPr>
    <w:r w:rsidRPr="002C1A02">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FC356" w14:textId="70119E7C" w:rsidR="002C1A02" w:rsidRPr="002C1A02" w:rsidRDefault="002C1A02" w:rsidP="002C1A02">
    <w:pPr>
      <w:pStyle w:val="Footer"/>
      <w:jc w:val="center"/>
      <w:rPr>
        <w:sz w:val="14"/>
      </w:rPr>
    </w:pPr>
    <w:r w:rsidRPr="002C1A02">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C03B" w14:textId="1DCD826F" w:rsidR="002C1A02" w:rsidRPr="002C1A02" w:rsidRDefault="002C1A02" w:rsidP="002C1A02">
    <w:pPr>
      <w:pStyle w:val="Footer"/>
      <w:jc w:val="center"/>
      <w:rPr>
        <w:sz w:val="14"/>
      </w:rPr>
    </w:pPr>
    <w:r w:rsidRPr="002C1A02">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DEEC4" w14:textId="77777777" w:rsidR="00D26AE8" w:rsidRDefault="00D26AE8">
      <w:r>
        <w:separator/>
      </w:r>
    </w:p>
  </w:footnote>
  <w:footnote w:type="continuationSeparator" w:id="0">
    <w:p w14:paraId="1AFA3737" w14:textId="77777777" w:rsidR="00D26AE8" w:rsidRDefault="00D2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E124" w14:textId="77777777" w:rsidR="00D26AE8" w:rsidRDefault="00D26AE8" w:rsidP="00BA1E63">
    <w:pPr>
      <w:pStyle w:val="Header"/>
      <w:ind w:right="-494"/>
      <w:jc w:val="center"/>
      <w:rPr>
        <w:rFonts w:ascii="Arial" w:hAnsi="Arial" w:cs="Arial"/>
      </w:rPr>
    </w:pPr>
    <w:r>
      <w:rPr>
        <w:rFonts w:ascii="Arial" w:hAnsi="Arial" w:cs="Arial"/>
      </w:rPr>
      <w:t xml:space="preserve">Page </w:t>
    </w:r>
    <w:r w:rsidRPr="00302A52">
      <w:rPr>
        <w:rFonts w:ascii="Arial" w:hAnsi="Arial" w:cs="Arial"/>
      </w:rPr>
      <w:fldChar w:fldCharType="begin"/>
    </w:r>
    <w:r w:rsidRPr="00302A52">
      <w:rPr>
        <w:rFonts w:ascii="Arial" w:hAnsi="Arial" w:cs="Arial"/>
      </w:rPr>
      <w:instrText xml:space="preserve"> PAGE   \* MERGEFORMAT </w:instrText>
    </w:r>
    <w:r w:rsidRPr="00302A52">
      <w:rPr>
        <w:rFonts w:ascii="Arial" w:hAnsi="Arial" w:cs="Arial"/>
      </w:rPr>
      <w:fldChar w:fldCharType="separate"/>
    </w:r>
    <w:r w:rsidR="0011284B">
      <w:rPr>
        <w:rFonts w:ascii="Arial" w:hAnsi="Arial" w:cs="Arial"/>
        <w:noProof/>
      </w:rPr>
      <w:t>2</w:t>
    </w:r>
    <w:r w:rsidRPr="00302A52">
      <w:rPr>
        <w:rFonts w:ascii="Arial" w:hAnsi="Arial" w:cs="Arial"/>
        <w:noProof/>
      </w:rPr>
      <w:fldChar w:fldCharType="end"/>
    </w:r>
    <w:r>
      <w:rPr>
        <w:rFonts w:ascii="Arial" w:hAnsi="Arial" w:cs="Arial"/>
        <w:noProof/>
      </w:rPr>
      <w:t xml:space="preserve"> </w:t>
    </w:r>
    <w:r>
      <w:rPr>
        <w:rFonts w:ascii="Arial" w:hAnsi="Arial" w:cs="Arial"/>
      </w:rPr>
      <w:t xml:space="preserve">of 3 pages of the attachment to the Explanatory Statement to the </w:t>
    </w:r>
  </w:p>
  <w:p w14:paraId="2ABAEC42" w14:textId="7201348B" w:rsidR="00D26AE8" w:rsidRPr="00681D11" w:rsidRDefault="00292AE9" w:rsidP="00BA1E63">
    <w:pPr>
      <w:pStyle w:val="Header"/>
      <w:jc w:val="center"/>
      <w:rPr>
        <w:rFonts w:ascii="Arial" w:hAnsi="Arial" w:cs="Arial"/>
        <w:i/>
      </w:rPr>
    </w:pPr>
    <w:r w:rsidRPr="00292AE9">
      <w:rPr>
        <w:rFonts w:ascii="Arial" w:hAnsi="Arial" w:cs="Arial"/>
        <w:i/>
      </w:rPr>
      <w:t>Racing (Appeals Tribunal) Rules 2019 (No 1)</w:t>
    </w:r>
  </w:p>
  <w:p w14:paraId="60067312" w14:textId="77777777" w:rsidR="00D26AE8" w:rsidRDefault="00D26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44D0" w14:textId="77777777" w:rsidR="00D26AE8" w:rsidRDefault="00D26AE8" w:rsidP="00BA1E63">
    <w:pPr>
      <w:pStyle w:val="Header"/>
      <w:ind w:right="-494"/>
      <w:jc w:val="center"/>
      <w:rPr>
        <w:rFonts w:ascii="Arial" w:hAnsi="Arial" w:cs="Arial"/>
      </w:rPr>
    </w:pPr>
    <w:r>
      <w:rPr>
        <w:rFonts w:ascii="Arial" w:hAnsi="Arial" w:cs="Arial"/>
      </w:rPr>
      <w:t xml:space="preserve">Page </w:t>
    </w:r>
    <w:r w:rsidRPr="00302A52">
      <w:rPr>
        <w:rFonts w:ascii="Arial" w:hAnsi="Arial" w:cs="Arial"/>
      </w:rPr>
      <w:fldChar w:fldCharType="begin"/>
    </w:r>
    <w:r w:rsidRPr="00302A52">
      <w:rPr>
        <w:rFonts w:ascii="Arial" w:hAnsi="Arial" w:cs="Arial"/>
      </w:rPr>
      <w:instrText xml:space="preserve"> PAGE   \* MERGEFORMAT </w:instrText>
    </w:r>
    <w:r w:rsidRPr="00302A52">
      <w:rPr>
        <w:rFonts w:ascii="Arial" w:hAnsi="Arial" w:cs="Arial"/>
      </w:rPr>
      <w:fldChar w:fldCharType="separate"/>
    </w:r>
    <w:r w:rsidR="0011284B">
      <w:rPr>
        <w:rFonts w:ascii="Arial" w:hAnsi="Arial" w:cs="Arial"/>
        <w:noProof/>
      </w:rPr>
      <w:t>3</w:t>
    </w:r>
    <w:r w:rsidRPr="00302A52">
      <w:rPr>
        <w:rFonts w:ascii="Arial" w:hAnsi="Arial" w:cs="Arial"/>
        <w:noProof/>
      </w:rPr>
      <w:fldChar w:fldCharType="end"/>
    </w:r>
    <w:r>
      <w:rPr>
        <w:rFonts w:ascii="Arial" w:hAnsi="Arial" w:cs="Arial"/>
        <w:noProof/>
      </w:rPr>
      <w:t xml:space="preserve"> </w:t>
    </w:r>
    <w:r>
      <w:rPr>
        <w:rFonts w:ascii="Arial" w:hAnsi="Arial" w:cs="Arial"/>
      </w:rPr>
      <w:t xml:space="preserve">of 3 pages of the attachment to the Explanatory Statement to the </w:t>
    </w:r>
  </w:p>
  <w:p w14:paraId="4FE7B282" w14:textId="58D6A74A" w:rsidR="00D26AE8" w:rsidRPr="00681D11" w:rsidRDefault="00292AE9" w:rsidP="00BA1E63">
    <w:pPr>
      <w:pStyle w:val="Header"/>
      <w:jc w:val="center"/>
      <w:rPr>
        <w:rFonts w:ascii="Arial" w:hAnsi="Arial" w:cs="Arial"/>
        <w:i/>
      </w:rPr>
    </w:pPr>
    <w:r w:rsidRPr="00292AE9">
      <w:rPr>
        <w:rFonts w:ascii="Arial" w:hAnsi="Arial" w:cs="Arial"/>
        <w:i/>
      </w:rPr>
      <w:t>Racing (Appeals Tribunal) Rules 2019 (No 1)</w:t>
    </w:r>
  </w:p>
  <w:p w14:paraId="06B801FE" w14:textId="77777777" w:rsidR="00D26AE8" w:rsidRDefault="00D26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E6A6E" w14:textId="77777777" w:rsidR="002C1A02" w:rsidRDefault="002C1A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883B" w14:textId="77777777" w:rsidR="00D26AE8" w:rsidRDefault="00D26AE8" w:rsidP="00681D11">
    <w:pPr>
      <w:pStyle w:val="Header"/>
      <w:ind w:right="-494"/>
      <w:jc w:val="center"/>
      <w:rPr>
        <w:rFonts w:ascii="Arial" w:hAnsi="Arial" w:cs="Arial"/>
      </w:rPr>
    </w:pPr>
    <w:r>
      <w:rPr>
        <w:rFonts w:ascii="Arial" w:hAnsi="Arial" w:cs="Arial"/>
      </w:rPr>
      <w:t xml:space="preserve">Page </w:t>
    </w:r>
    <w:r w:rsidRPr="00302A52">
      <w:rPr>
        <w:rFonts w:ascii="Arial" w:hAnsi="Arial" w:cs="Arial"/>
      </w:rPr>
      <w:fldChar w:fldCharType="begin"/>
    </w:r>
    <w:r w:rsidRPr="00302A52">
      <w:rPr>
        <w:rFonts w:ascii="Arial" w:hAnsi="Arial" w:cs="Arial"/>
      </w:rPr>
      <w:instrText xml:space="preserve"> PAGE   \* MERGEFORMAT </w:instrText>
    </w:r>
    <w:r w:rsidRPr="00302A52">
      <w:rPr>
        <w:rFonts w:ascii="Arial" w:hAnsi="Arial" w:cs="Arial"/>
      </w:rPr>
      <w:fldChar w:fldCharType="separate"/>
    </w:r>
    <w:r w:rsidR="0011284B">
      <w:rPr>
        <w:rFonts w:ascii="Arial" w:hAnsi="Arial" w:cs="Arial"/>
        <w:noProof/>
      </w:rPr>
      <w:t>1</w:t>
    </w:r>
    <w:r w:rsidRPr="00302A52">
      <w:rPr>
        <w:rFonts w:ascii="Arial" w:hAnsi="Arial" w:cs="Arial"/>
        <w:noProof/>
      </w:rPr>
      <w:fldChar w:fldCharType="end"/>
    </w:r>
    <w:r>
      <w:rPr>
        <w:rFonts w:ascii="Arial" w:hAnsi="Arial" w:cs="Arial"/>
        <w:noProof/>
      </w:rPr>
      <w:t xml:space="preserve"> </w:t>
    </w:r>
    <w:r>
      <w:rPr>
        <w:rFonts w:ascii="Arial" w:hAnsi="Arial" w:cs="Arial"/>
      </w:rPr>
      <w:t xml:space="preserve">of 3 pages of the attachment to the Explanatory Statement to the </w:t>
    </w:r>
  </w:p>
  <w:p w14:paraId="375F1E85" w14:textId="4B6D5B6D" w:rsidR="00D26AE8" w:rsidRPr="00681D11" w:rsidRDefault="00292AE9" w:rsidP="00681D11">
    <w:pPr>
      <w:pStyle w:val="Header"/>
      <w:jc w:val="center"/>
      <w:rPr>
        <w:rFonts w:ascii="Arial" w:hAnsi="Arial" w:cs="Arial"/>
        <w:i/>
      </w:rPr>
    </w:pPr>
    <w:r w:rsidRPr="00292AE9">
      <w:rPr>
        <w:rFonts w:ascii="Arial" w:hAnsi="Arial" w:cs="Arial"/>
        <w:i/>
      </w:rPr>
      <w:t>Racing (Appeals Tribunal) Rules 2019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40F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multilevel"/>
    <w:tmpl w:val="2E3AC110"/>
    <w:name w:val="Lower"/>
    <w:lvl w:ilvl="0">
      <w:start w:val="1"/>
      <w:numFmt w:val="decimal"/>
      <w:suff w:val="nothing"/>
      <w:lvlText w:val="%1"/>
      <w:lvlJc w:val="left"/>
      <w:rPr>
        <w:rFonts w:ascii="Symbol" w:hAnsi="Symbol" w:cs="Times New Roman" w:hint="default"/>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lvlRestart w:val="0"/>
      <w:suff w:val="nothing"/>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3"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1592A52"/>
    <w:multiLevelType w:val="multilevel"/>
    <w:tmpl w:val="0C090029"/>
    <w:lvl w:ilvl="0">
      <w:start w:val="1"/>
      <w:numFmt w:val="decimal"/>
      <w:pStyle w:val="Heading1"/>
      <w:suff w:val="space"/>
      <w:lvlText w:val="Chapter %1"/>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2F5"/>
    <w:rsid w:val="00045C47"/>
    <w:rsid w:val="0007378B"/>
    <w:rsid w:val="000B70E8"/>
    <w:rsid w:val="000C71CD"/>
    <w:rsid w:val="000F168B"/>
    <w:rsid w:val="001031A2"/>
    <w:rsid w:val="0011284B"/>
    <w:rsid w:val="00113BC9"/>
    <w:rsid w:val="001346D3"/>
    <w:rsid w:val="001A232A"/>
    <w:rsid w:val="001C437A"/>
    <w:rsid w:val="00282760"/>
    <w:rsid w:val="00292AE9"/>
    <w:rsid w:val="002C1A02"/>
    <w:rsid w:val="00302A52"/>
    <w:rsid w:val="00330461"/>
    <w:rsid w:val="003318FC"/>
    <w:rsid w:val="003C522B"/>
    <w:rsid w:val="003D6733"/>
    <w:rsid w:val="00450EFC"/>
    <w:rsid w:val="00476ADF"/>
    <w:rsid w:val="00515294"/>
    <w:rsid w:val="005C65DA"/>
    <w:rsid w:val="005E2707"/>
    <w:rsid w:val="005E6E7E"/>
    <w:rsid w:val="00634C72"/>
    <w:rsid w:val="0066289E"/>
    <w:rsid w:val="00671BB3"/>
    <w:rsid w:val="00681D11"/>
    <w:rsid w:val="00684046"/>
    <w:rsid w:val="006E69C4"/>
    <w:rsid w:val="007843C9"/>
    <w:rsid w:val="007F50E9"/>
    <w:rsid w:val="008828EE"/>
    <w:rsid w:val="00961B0C"/>
    <w:rsid w:val="00994981"/>
    <w:rsid w:val="009A1468"/>
    <w:rsid w:val="009B7A2E"/>
    <w:rsid w:val="009C5E53"/>
    <w:rsid w:val="00AB112A"/>
    <w:rsid w:val="00AC134C"/>
    <w:rsid w:val="00AC77B6"/>
    <w:rsid w:val="00AD1D12"/>
    <w:rsid w:val="00AE34EF"/>
    <w:rsid w:val="00B83349"/>
    <w:rsid w:val="00BA1E63"/>
    <w:rsid w:val="00BB0548"/>
    <w:rsid w:val="00BB58FC"/>
    <w:rsid w:val="00BC52F5"/>
    <w:rsid w:val="00BE3773"/>
    <w:rsid w:val="00C657A4"/>
    <w:rsid w:val="00D17E3B"/>
    <w:rsid w:val="00D26AE8"/>
    <w:rsid w:val="00D76114"/>
    <w:rsid w:val="00DA48D5"/>
    <w:rsid w:val="00DB16D9"/>
    <w:rsid w:val="00DC147C"/>
    <w:rsid w:val="00DC5911"/>
    <w:rsid w:val="00DE0A1A"/>
    <w:rsid w:val="00E17A3C"/>
    <w:rsid w:val="00E30BFA"/>
    <w:rsid w:val="00F04D8F"/>
    <w:rsid w:val="00F12B57"/>
    <w:rsid w:val="00F14C6A"/>
    <w:rsid w:val="00F61EE0"/>
    <w:rsid w:val="00F73E7C"/>
    <w:rsid w:val="00FA15AC"/>
    <w:rsid w:val="00FA450B"/>
    <w:rsid w:val="00FF1A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3DDFEAD"/>
  <w15:docId w15:val="{7358064C-6DA0-41C6-B194-F0A6FB18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tabs>
        <w:tab w:val="left" w:pos="2880"/>
      </w:tabs>
      <w:autoSpaceDE w:val="0"/>
      <w:autoSpaceDN w:val="0"/>
    </w:pPr>
    <w:rPr>
      <w:sz w:val="24"/>
      <w:szCs w:val="24"/>
      <w:lang w:val="en-US" w:eastAsia="en-US"/>
    </w:rPr>
  </w:style>
  <w:style w:type="paragraph" w:styleId="Heading1">
    <w:name w:val="heading 1"/>
    <w:basedOn w:val="Normal"/>
    <w:next w:val="Normal"/>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cs="Arial"/>
      <w:sz w:val="10"/>
      <w:szCs w:val="10"/>
      <w:lang w:val="en-AU"/>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autoSpaceDE w:val="0"/>
      <w:autoSpaceDN w:val="0"/>
      <w:spacing w:before="80" w:after="60"/>
      <w:jc w:val="both"/>
    </w:pPr>
    <w:rPr>
      <w:sz w:val="24"/>
      <w:szCs w:val="24"/>
      <w:lang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spacing w:before="120" w:after="60" w:line="240" w:lineRule="exact"/>
    </w:pPr>
    <w:rPr>
      <w:rFonts w:ascii="Arial" w:hAnsi="Arial" w:cs="Arial"/>
      <w:sz w:val="18"/>
      <w:szCs w:val="18"/>
    </w:rPr>
  </w:style>
  <w:style w:type="paragraph" w:customStyle="1" w:styleId="Billname">
    <w:name w:val="Billname"/>
    <w:basedOn w:val="Normal"/>
    <w:pPr>
      <w:tabs>
        <w:tab w:val="left" w:pos="2400"/>
      </w:tabs>
      <w:spacing w:before="1220" w:after="100"/>
    </w:pPr>
    <w:rPr>
      <w:rFonts w:ascii="Arial" w:hAnsi="Arial" w:cs="Arial"/>
      <w:b/>
      <w:bCs/>
      <w:sz w:val="40"/>
      <w:szCs w:val="40"/>
      <w:lang w:val="en-AU"/>
    </w:rPr>
  </w:style>
  <w:style w:type="paragraph" w:customStyle="1" w:styleId="BillBasicHeading">
    <w:name w:val="BillBasicHeading"/>
    <w:basedOn w:val="BillBasic"/>
    <w:pPr>
      <w:tabs>
        <w:tab w:val="left" w:pos="2600"/>
      </w:tabs>
    </w:pPr>
    <w:rPr>
      <w:rFonts w:ascii="Arial" w:hAnsi="Arial" w:cs="Arial"/>
    </w:rPr>
  </w:style>
  <w:style w:type="paragraph" w:customStyle="1" w:styleId="BillName0">
    <w:name w:val="BillName"/>
    <w:basedOn w:val="BillBasicHeading"/>
    <w:pPr>
      <w:spacing w:before="1220" w:after="100"/>
      <w:jc w:val="left"/>
    </w:pPr>
    <w:rPr>
      <w:b/>
      <w:bCs/>
      <w:sz w:val="40"/>
      <w:szCs w:val="40"/>
    </w:rPr>
  </w:style>
  <w:style w:type="paragraph" w:customStyle="1" w:styleId="BillCrest">
    <w:name w:val="Bill Crest"/>
    <w:basedOn w:val="Normal"/>
    <w:next w:val="Normal"/>
    <w:pPr>
      <w:tabs>
        <w:tab w:val="center" w:pos="3160"/>
      </w:tabs>
      <w:spacing w:after="60"/>
    </w:pPr>
    <w:rPr>
      <w:sz w:val="216"/>
      <w:szCs w:val="216"/>
      <w:lang w:val="en-AU"/>
    </w:rPr>
  </w:style>
  <w:style w:type="paragraph" w:customStyle="1" w:styleId="Amain">
    <w:name w:val="A main"/>
    <w:basedOn w:val="BillBasic"/>
    <w:pPr>
      <w:tabs>
        <w:tab w:val="right" w:pos="500"/>
        <w:tab w:val="left" w:pos="700"/>
      </w:tabs>
      <w:ind w:left="700" w:hanging="700"/>
      <w:outlineLvl w:val="5"/>
    </w:pPr>
  </w:style>
  <w:style w:type="paragraph" w:customStyle="1" w:styleId="Amainreturn">
    <w:name w:val="A main return"/>
    <w:basedOn w:val="BillBasic"/>
    <w:pPr>
      <w:ind w:left="700"/>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aExam">
    <w:name w:val="aExam"/>
    <w:basedOn w:val="aNote"/>
    <w:pPr>
      <w:spacing w:before="0"/>
      <w:ind w:left="700" w:firstLine="0"/>
    </w:pPr>
  </w:style>
  <w:style w:type="paragraph" w:customStyle="1" w:styleId="aNote">
    <w:name w:val="aNote"/>
    <w:basedOn w:val="BillBasic"/>
    <w:pPr>
      <w:tabs>
        <w:tab w:val="left" w:pos="1500"/>
      </w:tabs>
      <w:ind w:left="1500" w:hanging="800"/>
    </w:pPr>
    <w:rPr>
      <w:sz w:val="20"/>
      <w:szCs w:val="20"/>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N-line3">
    <w:name w:val="N-line3"/>
    <w:basedOn w:val="BillBasic"/>
    <w:next w:val="BillBasic"/>
    <w:pPr>
      <w:pBdr>
        <w:bottom w:val="single" w:sz="12" w:space="1" w:color="auto"/>
      </w:pBdr>
      <w:spacing w:before="0" w:after="0"/>
    </w:p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customStyle="1" w:styleId="ShadedSchClause">
    <w:name w:val="Shaded Sch Clause"/>
    <w:basedOn w:val="Schclauseheading"/>
    <w:next w:val="direction"/>
    <w:pPr>
      <w:shd w:val="pct15" w:color="auto" w:fill="auto"/>
      <w:outlineLvl w:val="3"/>
    </w:pPr>
  </w:style>
  <w:style w:type="paragraph" w:customStyle="1" w:styleId="direction">
    <w:name w:val="direction"/>
    <w:basedOn w:val="BillBasic"/>
    <w:next w:val="Amainreturn"/>
    <w:pPr>
      <w:ind w:left="700"/>
    </w:pPr>
    <w:rPr>
      <w:i/>
      <w:iCs/>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Endnote1">
    <w:name w:val="Endnote 1"/>
    <w:basedOn w:val="BillBasic"/>
    <w:pPr>
      <w:keepNext/>
      <w:spacing w:before="0" w:after="160"/>
      <w:jc w:val="left"/>
    </w:pPr>
    <w:rPr>
      <w:rFonts w:ascii="Arial" w:hAnsi="Arial" w:cs="Arial"/>
      <w:b/>
      <w:bCs/>
    </w:rPr>
  </w:style>
  <w:style w:type="paragraph" w:customStyle="1" w:styleId="Endnote10">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
    <w:name w:val="Endnote2"/>
    <w:basedOn w:val="Normal"/>
    <w:pPr>
      <w:keepNext/>
      <w:tabs>
        <w:tab w:val="left" w:pos="700"/>
      </w:tabs>
      <w:spacing w:before="280" w:after="160"/>
    </w:pPr>
    <w:rPr>
      <w:rFonts w:ascii="Arial" w:hAnsi="Arial" w:cs="Arial"/>
      <w:b/>
      <w:bCs/>
      <w:lang w:val="en-AU"/>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spacing w:before="320"/>
      <w:ind w:left="2600" w:hanging="2600"/>
      <w:jc w:val="left"/>
    </w:pPr>
    <w:rPr>
      <w:b/>
      <w:bCs/>
      <w:sz w:val="34"/>
      <w:szCs w:val="34"/>
    </w:rPr>
  </w:style>
  <w:style w:type="paragraph" w:customStyle="1" w:styleId="IH2Part">
    <w:name w:val="I H2 Part"/>
    <w:basedOn w:val="BillBasicHeading"/>
    <w:next w:val="IH3Div"/>
    <w:pPr>
      <w:spacing w:before="320"/>
      <w:ind w:left="2600" w:hanging="2600"/>
      <w:jc w:val="left"/>
    </w:pPr>
    <w:rPr>
      <w:b/>
      <w:bCs/>
      <w:sz w:val="32"/>
      <w:szCs w:val="32"/>
    </w:rPr>
  </w:style>
  <w:style w:type="paragraph" w:customStyle="1" w:styleId="IH3Div">
    <w:name w:val="I H3 Div"/>
    <w:basedOn w:val="BillBasicHeading"/>
    <w:next w:val="IH5Sec"/>
    <w:pPr>
      <w:spacing w:before="180"/>
      <w:ind w:left="2600" w:hanging="2600"/>
      <w:jc w:val="left"/>
    </w:pPr>
    <w:rPr>
      <w:b/>
      <w:bCs/>
      <w:sz w:val="28"/>
      <w:szCs w:val="28"/>
    </w:rPr>
  </w:style>
  <w:style w:type="paragraph" w:customStyle="1" w:styleId="IH5Sec">
    <w:name w:val="I H5 Sec"/>
    <w:basedOn w:val="BillBasicHeading"/>
    <w:next w:val="IMain"/>
    <w:pPr>
      <w:tabs>
        <w:tab w:val="clear" w:pos="2600"/>
        <w:tab w:val="left" w:pos="700"/>
      </w:tabs>
      <w:spacing w:before="180"/>
      <w:ind w:left="700" w:hanging="700"/>
      <w:jc w:val="left"/>
    </w:pPr>
    <w:rPr>
      <w:b/>
      <w:bCs/>
    </w:rPr>
  </w:style>
  <w:style w:type="paragraph" w:customStyle="1" w:styleId="IMain">
    <w:name w:val="I Main"/>
    <w:basedOn w:val="Amain"/>
  </w:style>
  <w:style w:type="paragraph" w:customStyle="1" w:styleId="IH4SubDiv">
    <w:name w:val="I H4 SubDiv"/>
    <w:basedOn w:val="BillBasicHeading"/>
    <w:next w:val="IH5Sec"/>
    <w:pPr>
      <w:spacing w:before="180"/>
      <w:ind w:left="2600" w:hanging="2600"/>
    </w:pPr>
    <w:rPr>
      <w:b/>
      <w:bCs/>
      <w:sz w:val="26"/>
      <w:szCs w:val="26"/>
    </w:rPr>
  </w:style>
  <w:style w:type="character" w:styleId="LineNumber">
    <w:name w:val="line number"/>
    <w:semiHidden/>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spacing w:before="320"/>
      <w:ind w:left="2600" w:hanging="2600"/>
    </w:pPr>
    <w:rPr>
      <w:b/>
      <w:bCs/>
      <w:sz w:val="34"/>
      <w:szCs w:val="34"/>
    </w:rPr>
  </w:style>
  <w:style w:type="paragraph" w:customStyle="1" w:styleId="ISched-Part">
    <w:name w:val="I Sched-Part"/>
    <w:basedOn w:val="BillBasicHeading"/>
    <w:pPr>
      <w:spacing w:before="320"/>
      <w:ind w:left="2600" w:hanging="2600"/>
      <w:jc w:val="left"/>
    </w:pPr>
    <w:rPr>
      <w:b/>
      <w:bCs/>
      <w:sz w:val="32"/>
      <w:szCs w:val="32"/>
    </w:rPr>
  </w:style>
  <w:style w:type="paragraph" w:customStyle="1" w:styleId="ISched-form">
    <w:name w:val="I Sched-form"/>
    <w:basedOn w:val="BillBasicHeading"/>
    <w:pPr>
      <w:tabs>
        <w:tab w:val="right" w:pos="7200"/>
      </w:tabs>
      <w:spacing w:before="180"/>
      <w:ind w:left="2600" w:hanging="2600"/>
      <w:jc w:val="left"/>
    </w:pPr>
    <w:rPr>
      <w:b/>
      <w:bCs/>
      <w:sz w:val="28"/>
      <w:szCs w:val="28"/>
    </w:rPr>
  </w:style>
  <w:style w:type="paragraph" w:customStyle="1" w:styleId="ISchclauseheading">
    <w:name w:val="I Sch clause heading"/>
    <w:basedOn w:val="BillBasic"/>
    <w:pPr>
      <w:tabs>
        <w:tab w:val="left" w:pos="700"/>
      </w:tabs>
      <w:spacing w:before="160" w:after="0"/>
      <w:ind w:left="700" w:hanging="700"/>
      <w:jc w:val="left"/>
    </w:pPr>
    <w:rPr>
      <w:rFonts w:ascii="Arial" w:hAnsi="Arial" w:cs="Arial"/>
      <w:b/>
      <w:bCs/>
    </w:rPr>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szCs w:val="10"/>
    </w:rPr>
  </w:style>
  <w:style w:type="paragraph" w:styleId="PlainText">
    <w:name w:val="Plain Text"/>
    <w:basedOn w:val="Normal"/>
    <w:semiHidden/>
    <w:rPr>
      <w:rFonts w:ascii="Courier New" w:hAnsi="Courier New" w:cs="Courier New"/>
      <w:sz w:val="20"/>
      <w:szCs w:val="2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styleId="TOC1">
    <w:name w:val="toc 1"/>
    <w:basedOn w:val="Normal"/>
    <w:next w:val="Normal"/>
    <w:autoRedefine/>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semiHidden/>
    <w:pPr>
      <w:tabs>
        <w:tab w:val="clear" w:pos="2880"/>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semiHidden/>
    <w:pPr>
      <w:tabs>
        <w:tab w:val="clear" w:pos="2880"/>
      </w:tabs>
    </w:pPr>
  </w:style>
  <w:style w:type="paragraph" w:customStyle="1" w:styleId="Instruction">
    <w:name w:val="Instruction"/>
    <w:basedOn w:val="BillBasic"/>
    <w:pPr>
      <w:ind w:left="700"/>
    </w:pPr>
    <w:rPr>
      <w:i/>
      <w:iCs/>
    </w:rPr>
  </w:style>
  <w:style w:type="paragraph" w:styleId="Signature">
    <w:name w:val="Signature"/>
    <w:basedOn w:val="Normal"/>
    <w:semiHidden/>
    <w:pPr>
      <w:ind w:left="4252"/>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Test">
    <w:name w:val="Test"/>
    <w:basedOn w:val="Amain"/>
    <w:pPr>
      <w:ind w:left="0" w:firstLine="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Letterhead">
    <w:name w:val="Letterhead"/>
    <w:pPr>
      <w:widowControl w:val="0"/>
      <w:autoSpaceDE w:val="0"/>
      <w:autoSpaceDN w:val="0"/>
      <w:spacing w:after="180"/>
      <w:jc w:val="right"/>
    </w:pPr>
    <w:rPr>
      <w:rFonts w:ascii="Arial" w:hAnsi="Arial" w:cs="Arial"/>
      <w:sz w:val="32"/>
      <w:szCs w:val="32"/>
      <w:lang w:eastAsia="en-US"/>
    </w:rPr>
  </w:style>
  <w:style w:type="character" w:styleId="PageNumber">
    <w:name w:val="page number"/>
    <w:basedOn w:val="DefaultParagraphFont"/>
    <w:semiHidden/>
  </w:style>
  <w:style w:type="paragraph" w:customStyle="1" w:styleId="Sched-name">
    <w:name w:val="Sched-name"/>
    <w:basedOn w:val="Normal"/>
    <w:pPr>
      <w:keepNext/>
      <w:tabs>
        <w:tab w:val="center" w:pos="3600"/>
        <w:tab w:val="right" w:pos="7200"/>
      </w:tabs>
      <w:spacing w:before="160" w:after="60"/>
      <w:outlineLvl w:val="1"/>
    </w:pPr>
    <w:rPr>
      <w:rFonts w:ascii="Times" w:hAnsi="Times" w:cs="Times"/>
      <w:caps/>
      <w:lang w:val="en-AU"/>
    </w:rPr>
  </w:style>
  <w:style w:type="paragraph" w:customStyle="1" w:styleId="EnactingWordsRules">
    <w:name w:val="EnactingWordsRules"/>
    <w:basedOn w:val="EnactingWords"/>
    <w:pPr>
      <w:spacing w:before="240"/>
    </w:pPr>
  </w:style>
  <w:style w:type="paragraph" w:styleId="TOC7">
    <w:name w:val="toc 7"/>
    <w:basedOn w:val="TOC2"/>
    <w:next w:val="Normal"/>
    <w:autoRedefine/>
    <w:semiHidden/>
    <w:pPr>
      <w:tabs>
        <w:tab w:val="clear" w:pos="2880"/>
      </w:tabs>
      <w:spacing w:before="120"/>
    </w:pPr>
    <w:rPr>
      <w:sz w:val="20"/>
      <w:szCs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LongTitle">
    <w:name w:val="LongTitle"/>
    <w:basedOn w:val="BillBasic"/>
    <w:pPr>
      <w:spacing w:before="240"/>
    </w:pPr>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semiHidden/>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semiHidden/>
  </w:style>
  <w:style w:type="paragraph" w:customStyle="1" w:styleId="aNoteBullet">
    <w:name w:val="aNoteBullet"/>
    <w:basedOn w:val="aNote"/>
    <w:pPr>
      <w:tabs>
        <w:tab w:val="left" w:pos="1800"/>
      </w:tabs>
      <w:ind w:left="1800" w:hanging="300"/>
    </w:pPr>
  </w:style>
  <w:style w:type="paragraph" w:customStyle="1" w:styleId="aParaNoteBullet">
    <w:name w:val="aParaNoteBullet"/>
    <w:basedOn w:val="aParaNote"/>
    <w:pPr>
      <w:tabs>
        <w:tab w:val="left" w:pos="2300"/>
      </w:tabs>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ExplanText">
    <w:name w:val="aExplanText"/>
    <w:basedOn w:val="BillBasic"/>
    <w:rPr>
      <w:sz w:val="20"/>
      <w:szCs w:val="20"/>
    </w:rPr>
  </w:style>
  <w:style w:type="paragraph" w:customStyle="1" w:styleId="aParaNotePara">
    <w:name w:val="aParaNotePara"/>
    <w:basedOn w:val="aNotePara"/>
    <w:pPr>
      <w:tabs>
        <w:tab w:val="clear" w:pos="1740"/>
        <w:tab w:val="clear" w:pos="2000"/>
        <w:tab w:val="right" w:pos="2244"/>
      </w:tabs>
      <w:ind w:left="2520" w:hanging="1320"/>
    </w:pPr>
  </w:style>
  <w:style w:type="character" w:customStyle="1" w:styleId="charBold">
    <w:name w:val="charBold"/>
    <w:rPr>
      <w:b/>
      <w:bCs/>
    </w:rPr>
  </w:style>
  <w:style w:type="character" w:customStyle="1" w:styleId="charBoldItals">
    <w:name w:val="charBoldItals"/>
    <w:rPr>
      <w:b/>
      <w:bCs/>
      <w:i/>
      <w:iCs/>
    </w:rPr>
  </w:style>
  <w:style w:type="character" w:customStyle="1" w:styleId="charItals">
    <w:name w:val="charItals"/>
    <w:rPr>
      <w:i/>
      <w:iCs/>
    </w:rPr>
  </w:style>
  <w:style w:type="character" w:customStyle="1" w:styleId="charUnderline">
    <w:name w:val="charUnderline"/>
    <w:rPr>
      <w:u w:val="single"/>
    </w:rPr>
  </w:style>
  <w:style w:type="paragraph" w:customStyle="1" w:styleId="TableHd">
    <w:name w:val="TableHd"/>
    <w:basedOn w:val="Normal"/>
    <w:pPr>
      <w:keepNext/>
      <w:tabs>
        <w:tab w:val="clear" w:pos="2880"/>
      </w:tabs>
      <w:spacing w:before="240" w:after="120"/>
      <w:ind w:left="1200" w:hanging="1200"/>
    </w:pPr>
    <w:rPr>
      <w:rFonts w:ascii="Arial" w:hAnsi="Arial" w:cs="Arial"/>
      <w:b/>
      <w:bCs/>
      <w:sz w:val="20"/>
      <w:szCs w:val="20"/>
    </w:rPr>
  </w:style>
  <w:style w:type="paragraph" w:customStyle="1" w:styleId="TableColHd">
    <w:name w:val="TableColHd"/>
    <w:basedOn w:val="Normal"/>
    <w:pPr>
      <w:tabs>
        <w:tab w:val="clear" w:pos="2880"/>
      </w:tabs>
      <w:spacing w:after="60"/>
    </w:pPr>
    <w:rPr>
      <w:rFonts w:ascii="Arial" w:hAnsi="Arial" w:cs="Arial"/>
      <w:b/>
      <w:bCs/>
      <w:sz w:val="20"/>
      <w:szCs w:val="20"/>
    </w:rPr>
  </w:style>
  <w:style w:type="paragraph" w:styleId="TOC9">
    <w:name w:val="toc 9"/>
    <w:basedOn w:val="Normal"/>
    <w:next w:val="Normal"/>
    <w:autoRedefine/>
    <w:semiHidden/>
    <w:pPr>
      <w:tabs>
        <w:tab w:val="clear" w:pos="2880"/>
      </w:tabs>
      <w:ind w:left="1920" w:right="60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1000"/>
    </w:pPr>
    <w:rPr>
      <w:b/>
      <w:bCs/>
      <w:sz w:val="32"/>
      <w:szCs w:val="32"/>
    </w:rPr>
  </w:style>
  <w:style w:type="paragraph" w:customStyle="1" w:styleId="NewAct">
    <w:name w:val="New Act"/>
    <w:basedOn w:val="Normal"/>
    <w:next w:val="Actdetails"/>
    <w:pPr>
      <w:keepNext/>
      <w:spacing w:before="180"/>
      <w:ind w:left="700"/>
    </w:pPr>
    <w:rPr>
      <w:rFonts w:ascii="Arial" w:hAnsi="Arial" w:cs="Arial"/>
      <w:b/>
      <w:bCs/>
      <w:sz w:val="20"/>
      <w:szCs w:val="20"/>
      <w:lang w:val="en-AU"/>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CoverInForce">
    <w:name w:val="CoverInForce"/>
    <w:basedOn w:val="BillBasicHeading"/>
    <w:pPr>
      <w:spacing w:before="200"/>
    </w:pPr>
  </w:style>
  <w:style w:type="paragraph" w:styleId="Subtitle">
    <w:name w:val="Subtitle"/>
    <w:basedOn w:val="Normal"/>
    <w:qFormat/>
    <w:pPr>
      <w:spacing w:after="60"/>
      <w:jc w:val="center"/>
      <w:outlineLvl w:val="1"/>
    </w:pPr>
    <w:rPr>
      <w:rFonts w:ascii="Arial" w:hAnsi="Arial" w:cs="Arial"/>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Asamby">
    <w:name w:val="As am by"/>
    <w:basedOn w:val="Normal"/>
    <w:next w:val="NewAct"/>
    <w:pPr>
      <w:tabs>
        <w:tab w:val="clear" w:pos="2880"/>
      </w:tabs>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EndNoteTextEPS">
    <w:name w:val="EndNoteTextEPS"/>
    <w:basedOn w:val="Normal"/>
    <w:pPr>
      <w:spacing w:before="20" w:after="40"/>
      <w:ind w:left="700"/>
      <w:jc w:val="both"/>
    </w:pPr>
    <w:rPr>
      <w:sz w:val="20"/>
      <w:szCs w:val="20"/>
    </w:rPr>
  </w:style>
  <w:style w:type="paragraph" w:customStyle="1" w:styleId="NewReg">
    <w:name w:val="New Reg"/>
    <w:basedOn w:val="NewAct"/>
    <w:next w:val="Actdetails"/>
  </w:style>
  <w:style w:type="paragraph" w:customStyle="1" w:styleId="Endnote3">
    <w:name w:val="Endnote3"/>
    <w:basedOn w:val="Normal"/>
    <w:pPr>
      <w:keepNext/>
      <w:tabs>
        <w:tab w:val="clear" w:pos="2880"/>
        <w:tab w:val="left" w:pos="700"/>
      </w:tabs>
      <w:spacing w:before="120" w:after="120"/>
      <w:ind w:left="700" w:hanging="700"/>
    </w:pPr>
    <w:rPr>
      <w:rFonts w:ascii="Arial" w:hAnsi="Arial" w:cs="Arial"/>
      <w:b/>
      <w:bCs/>
      <w:color w:val="000000"/>
      <w:sz w:val="18"/>
      <w:szCs w:val="18"/>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tabs>
        <w:tab w:val="clear" w:pos="2880"/>
        <w:tab w:val="left" w:leader="dot" w:pos="2000"/>
      </w:tabs>
      <w:spacing w:before="80"/>
    </w:pPr>
    <w:rPr>
      <w:rFonts w:ascii="Arial" w:hAnsi="Arial" w:cs="Arial"/>
      <w:sz w:val="18"/>
      <w:szCs w:val="18"/>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Billcrest0">
    <w:name w:val="Billcrest"/>
    <w:basedOn w:val="Normal"/>
    <w:pPr>
      <w:spacing w:after="60"/>
      <w:ind w:left="2800"/>
    </w:pPr>
    <w:rPr>
      <w:rFonts w:ascii="ACTCrest" w:hAnsi="ACTCrest"/>
      <w:sz w:val="216"/>
      <w:szCs w:val="216"/>
      <w:lang w:val="en-AU"/>
    </w:rPr>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pPr>
      <w:tabs>
        <w:tab w:val="clear" w:pos="2200"/>
        <w:tab w:val="left" w:pos="2600"/>
      </w:tabs>
      <w:ind w:left="2800" w:hanging="2100"/>
    </w:pPr>
  </w:style>
  <w:style w:type="paragraph" w:customStyle="1" w:styleId="NewActorRegnote">
    <w:name w:val="New Act or Reg note"/>
    <w:basedOn w:val="NewAct"/>
    <w:pPr>
      <w:tabs>
        <w:tab w:val="clear" w:pos="2880"/>
      </w:tabs>
      <w:spacing w:before="60"/>
      <w:ind w:left="600"/>
    </w:pPr>
    <w:rPr>
      <w:b w:val="0"/>
      <w:bCs w:val="0"/>
      <w:sz w:val="18"/>
      <w:szCs w:val="18"/>
    </w:rPr>
  </w:style>
  <w:style w:type="paragraph" w:customStyle="1" w:styleId="PrincipalActdetails">
    <w:name w:val="Principal Act details"/>
    <w:basedOn w:val="Actdetails"/>
    <w:pPr>
      <w:tabs>
        <w:tab w:val="clear" w:pos="2880"/>
      </w:tabs>
      <w:ind w:left="600"/>
    </w:pPr>
    <w:rPr>
      <w:sz w:val="18"/>
      <w:szCs w:val="18"/>
    </w:rPr>
  </w:style>
  <w:style w:type="paragraph" w:customStyle="1" w:styleId="PenaltyPara">
    <w:name w:val="PenaltyPara"/>
    <w:basedOn w:val="Normal"/>
    <w:pPr>
      <w:tabs>
        <w:tab w:val="clear" w:pos="2880"/>
        <w:tab w:val="right" w:pos="960"/>
      </w:tabs>
      <w:ind w:left="1200" w:hanging="12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tabs>
        <w:tab w:val="clear" w:pos="2880"/>
        <w:tab w:val="left" w:pos="2200"/>
      </w:tabs>
      <w:spacing w:before="180"/>
    </w:p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AH1Chapter"/>
    <w:pPr>
      <w:tabs>
        <w:tab w:val="clear" w:pos="2600"/>
        <w:tab w:val="left" w:pos="3300"/>
      </w:tabs>
      <w:ind w:left="3300"/>
      <w:outlineLvl w:val="9"/>
    </w:pPr>
  </w:style>
  <w:style w:type="paragraph" w:customStyle="1" w:styleId="ModH2Part">
    <w:name w:val="Mod H2 Part"/>
    <w:basedOn w:val="AH2Part"/>
    <w:pPr>
      <w:tabs>
        <w:tab w:val="clear" w:pos="2600"/>
        <w:tab w:val="left" w:pos="3300"/>
      </w:tabs>
      <w:ind w:left="3300"/>
      <w:outlineLvl w:val="9"/>
    </w:pPr>
  </w:style>
  <w:style w:type="paragraph" w:customStyle="1" w:styleId="ModH3Div">
    <w:name w:val="Mod H3 Div"/>
    <w:basedOn w:val="AH3Div"/>
    <w:pPr>
      <w:tabs>
        <w:tab w:val="clear" w:pos="2600"/>
        <w:tab w:val="left" w:pos="3300"/>
      </w:tabs>
      <w:ind w:left="3300"/>
      <w:outlineLvl w:val="9"/>
    </w:pPr>
  </w:style>
  <w:style w:type="paragraph" w:customStyle="1" w:styleId="ModH4SubDiv">
    <w:name w:val="Mod H4 SubDiv"/>
    <w:basedOn w:val="AH4SubDiv"/>
    <w:pPr>
      <w:tabs>
        <w:tab w:val="clear" w:pos="2600"/>
        <w:tab w:val="left" w:pos="3300"/>
      </w:tabs>
      <w:ind w:left="3300"/>
      <w:outlineLvl w:val="9"/>
    </w:pPr>
  </w:style>
  <w:style w:type="paragraph" w:customStyle="1" w:styleId="ModH5Sec">
    <w:name w:val="Mod H5 Sec"/>
    <w:basedOn w:val="A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Status">
    <w:name w:val="Status"/>
    <w:basedOn w:val="Normal"/>
    <w:pPr>
      <w:spacing w:before="280"/>
      <w:jc w:val="center"/>
    </w:pPr>
    <w:rPr>
      <w:rFonts w:ascii="Arial" w:hAnsi="Arial" w:cs="Arial"/>
      <w:sz w:val="14"/>
      <w:szCs w:val="14"/>
    </w:rPr>
  </w:style>
  <w:style w:type="paragraph" w:styleId="BodyText">
    <w:name w:val="Body Text"/>
    <w:basedOn w:val="Normal"/>
    <w:semiHidden/>
    <w:pPr>
      <w:pBdr>
        <w:top w:val="single" w:sz="6" w:space="1" w:color="auto"/>
        <w:left w:val="single" w:sz="6" w:space="1" w:color="auto"/>
        <w:bottom w:val="single" w:sz="6" w:space="1" w:color="auto"/>
        <w:right w:val="single" w:sz="6" w:space="1" w:color="auto"/>
      </w:pBdr>
      <w:tabs>
        <w:tab w:val="clear" w:pos="2880"/>
      </w:tabs>
      <w:jc w:val="center"/>
    </w:pPr>
    <w:rPr>
      <w:b/>
      <w:bCs/>
      <w:u w:val="single"/>
      <w:lang w:val="en-AU"/>
    </w:rPr>
  </w:style>
  <w:style w:type="paragraph" w:styleId="BodyTextIndent">
    <w:name w:val="Body Text Indent"/>
    <w:basedOn w:val="Normal"/>
    <w:semiHidden/>
    <w:pPr>
      <w:tabs>
        <w:tab w:val="clear" w:pos="2880"/>
      </w:tabs>
      <w:ind w:left="1701" w:hanging="567"/>
    </w:pPr>
    <w:rPr>
      <w:rFonts w:ascii="Arial" w:hAnsi="Arial" w:cs="Arial"/>
    </w:rPr>
  </w:style>
  <w:style w:type="paragraph" w:styleId="BodyTextIndent2">
    <w:name w:val="Body Text Indent 2"/>
    <w:basedOn w:val="Normal"/>
    <w:semiHidden/>
    <w:pPr>
      <w:tabs>
        <w:tab w:val="clear" w:pos="2880"/>
        <w:tab w:val="left" w:pos="567"/>
      </w:tabs>
      <w:spacing w:line="360" w:lineRule="atLeast"/>
      <w:ind w:left="709" w:hanging="709"/>
      <w:jc w:val="both"/>
    </w:pPr>
    <w:rPr>
      <w:i/>
      <w:iCs/>
      <w:sz w:val="20"/>
      <w:szCs w:val="20"/>
    </w:rPr>
  </w:style>
  <w:style w:type="character" w:customStyle="1" w:styleId="HeaderChar">
    <w:name w:val="Header Char"/>
    <w:link w:val="Header"/>
    <w:uiPriority w:val="99"/>
    <w:locked/>
    <w:rsid w:val="00302A52"/>
    <w:rPr>
      <w:sz w:val="24"/>
      <w:szCs w:val="24"/>
      <w:lang w:val="en-US" w:eastAsia="en-US"/>
    </w:rPr>
  </w:style>
  <w:style w:type="paragraph" w:styleId="BalloonText">
    <w:name w:val="Balloon Text"/>
    <w:basedOn w:val="Normal"/>
    <w:link w:val="BalloonTextChar"/>
    <w:uiPriority w:val="99"/>
    <w:semiHidden/>
    <w:unhideWhenUsed/>
    <w:rsid w:val="00302A52"/>
    <w:rPr>
      <w:rFonts w:ascii="Segoe UI" w:hAnsi="Segoe UI" w:cs="Segoe UI"/>
      <w:sz w:val="18"/>
      <w:szCs w:val="18"/>
    </w:rPr>
  </w:style>
  <w:style w:type="character" w:customStyle="1" w:styleId="BalloonTextChar">
    <w:name w:val="Balloon Text Char"/>
    <w:link w:val="BalloonText"/>
    <w:uiPriority w:val="99"/>
    <w:semiHidden/>
    <w:rsid w:val="00302A52"/>
    <w:rPr>
      <w:rFonts w:ascii="Segoe UI" w:hAnsi="Segoe UI" w:cs="Segoe UI"/>
      <w:sz w:val="18"/>
      <w:szCs w:val="18"/>
      <w:lang w:val="en-US" w:eastAsia="en-US"/>
    </w:rPr>
  </w:style>
  <w:style w:type="character" w:styleId="CommentReference">
    <w:name w:val="annotation reference"/>
    <w:uiPriority w:val="99"/>
    <w:semiHidden/>
    <w:unhideWhenUsed/>
    <w:rsid w:val="00F14C6A"/>
    <w:rPr>
      <w:sz w:val="16"/>
      <w:szCs w:val="16"/>
    </w:rPr>
  </w:style>
  <w:style w:type="paragraph" w:styleId="CommentText">
    <w:name w:val="annotation text"/>
    <w:basedOn w:val="Normal"/>
    <w:link w:val="CommentTextChar"/>
    <w:uiPriority w:val="99"/>
    <w:semiHidden/>
    <w:unhideWhenUsed/>
    <w:rsid w:val="00F14C6A"/>
    <w:rPr>
      <w:sz w:val="20"/>
      <w:szCs w:val="20"/>
    </w:rPr>
  </w:style>
  <w:style w:type="character" w:customStyle="1" w:styleId="CommentTextChar">
    <w:name w:val="Comment Text Char"/>
    <w:link w:val="CommentText"/>
    <w:uiPriority w:val="99"/>
    <w:semiHidden/>
    <w:rsid w:val="00F14C6A"/>
    <w:rPr>
      <w:lang w:val="en-US" w:eastAsia="en-US"/>
    </w:rPr>
  </w:style>
  <w:style w:type="paragraph" w:styleId="CommentSubject">
    <w:name w:val="annotation subject"/>
    <w:basedOn w:val="CommentText"/>
    <w:next w:val="CommentText"/>
    <w:link w:val="CommentSubjectChar"/>
    <w:uiPriority w:val="99"/>
    <w:semiHidden/>
    <w:unhideWhenUsed/>
    <w:rsid w:val="00F14C6A"/>
    <w:rPr>
      <w:b/>
      <w:bCs/>
    </w:rPr>
  </w:style>
  <w:style w:type="character" w:customStyle="1" w:styleId="CommentSubjectChar">
    <w:name w:val="Comment Subject Char"/>
    <w:link w:val="CommentSubject"/>
    <w:uiPriority w:val="99"/>
    <w:semiHidden/>
    <w:rsid w:val="00F14C6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3973</Characters>
  <Application>Microsoft Office Word</Application>
  <DocSecurity>0</DocSecurity>
  <Lines>130</Lines>
  <Paragraphs>39</Paragraphs>
  <ScaleCrop>false</ScaleCrop>
  <HeadingPairs>
    <vt:vector size="2" baseType="variant">
      <vt:variant>
        <vt:lpstr>Title</vt:lpstr>
      </vt:variant>
      <vt:variant>
        <vt:i4>1</vt:i4>
      </vt:variant>
    </vt:vector>
  </HeadingPairs>
  <TitlesOfParts>
    <vt:vector size="1" baseType="lpstr">
      <vt:lpstr>Rules of the Tribunal</vt:lpstr>
    </vt:vector>
  </TitlesOfParts>
  <Manager>Gavan Desmond</Manager>
  <Company>Gambling and Racing Commission</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the Tribunal</dc:title>
  <dc:subject>Bond</dc:subject>
  <dc:creator>Gavan Desmond</dc:creator>
  <cp:keywords>2</cp:keywords>
  <dc:description/>
  <cp:lastModifiedBy>PCODCS</cp:lastModifiedBy>
  <cp:revision>4</cp:revision>
  <cp:lastPrinted>2007-07-18T01:10:00Z</cp:lastPrinted>
  <dcterms:created xsi:type="dcterms:W3CDTF">2019-10-02T06:26:00Z</dcterms:created>
  <dcterms:modified xsi:type="dcterms:W3CDTF">2019-10-02T06:26:00Z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Unauthorised version prepared by ACT Parliamentary Counsel's Office</vt:lpwstr>
  </property>
  <property fmtid="{D5CDD505-2E9C-101B-9397-08002B2CF9AE}" pid="3" name="Stage">
    <vt:lpwstr>3</vt:lpwstr>
  </property>
  <property fmtid="{D5CDD505-2E9C-101B-9397-08002B2CF9AE}" pid="4" name="Check">
    <vt:lpwstr>2</vt:lpwstr>
  </property>
  <property fmtid="{D5CDD505-2E9C-101B-9397-08002B2CF9AE}" pid="5" name="CHECKEDOUTFROMJMS">
    <vt:lpwstr/>
  </property>
  <property fmtid="{D5CDD505-2E9C-101B-9397-08002B2CF9AE}" pid="6" name="DMSID">
    <vt:lpwstr>1100393</vt:lpwstr>
  </property>
  <property fmtid="{D5CDD505-2E9C-101B-9397-08002B2CF9AE}" pid="7" name="JMSREQUIREDCHECKIN">
    <vt:lpwstr/>
  </property>
</Properties>
</file>