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BFF49" w14:textId="77777777" w:rsidR="005D70F1" w:rsidRDefault="005D70F1">
      <w:pPr>
        <w:spacing w:before="120"/>
        <w:rPr>
          <w:rFonts w:ascii="Arial" w:hAnsi="Arial" w:cs="Arial"/>
        </w:rPr>
      </w:pPr>
      <w:bookmarkStart w:id="0" w:name="_Toc44738651"/>
      <w:bookmarkStart w:id="1" w:name="_GoBack"/>
      <w:bookmarkEnd w:id="1"/>
      <w:r>
        <w:rPr>
          <w:rFonts w:ascii="Arial" w:hAnsi="Arial" w:cs="Arial"/>
        </w:rPr>
        <w:t>Australian Capital Territory</w:t>
      </w:r>
    </w:p>
    <w:p w14:paraId="034D5EAD" w14:textId="102CF815" w:rsidR="005D70F1" w:rsidRPr="002F1A2A" w:rsidRDefault="00A846CA" w:rsidP="002F1A2A">
      <w:pPr>
        <w:pStyle w:val="Heading1"/>
      </w:pPr>
      <w:r>
        <w:t>Road Transport</w:t>
      </w:r>
      <w:r w:rsidR="005D70F1" w:rsidRPr="002F1A2A">
        <w:t xml:space="preserve"> (</w:t>
      </w:r>
      <w:r>
        <w:t>General</w:t>
      </w:r>
      <w:r w:rsidR="005D70F1" w:rsidRPr="002F1A2A">
        <w:t xml:space="preserve">) </w:t>
      </w:r>
      <w:r>
        <w:t xml:space="preserve">Application of Road Transport Legislation </w:t>
      </w:r>
      <w:r w:rsidR="007B3828">
        <w:t>(Manuka Oval)</w:t>
      </w:r>
      <w:r>
        <w:t xml:space="preserve"> </w:t>
      </w:r>
      <w:r w:rsidR="007B3828">
        <w:t xml:space="preserve">Declaration </w:t>
      </w:r>
      <w:r>
        <w:t>201</w:t>
      </w:r>
      <w:r w:rsidR="00027048">
        <w:t>9</w:t>
      </w:r>
      <w:r>
        <w:t xml:space="preserve"> </w:t>
      </w:r>
      <w:r w:rsidR="005D70F1" w:rsidRPr="002F1A2A">
        <w:t xml:space="preserve">(No </w:t>
      </w:r>
      <w:r w:rsidR="007B3828">
        <w:t>2</w:t>
      </w:r>
      <w:r w:rsidR="005D70F1" w:rsidRPr="002F1A2A">
        <w:t>)</w:t>
      </w:r>
    </w:p>
    <w:p w14:paraId="4A35CD71" w14:textId="4AA5B1F7" w:rsidR="005D70F1" w:rsidRPr="002F1A2A" w:rsidRDefault="005D70F1" w:rsidP="002F1A2A">
      <w:pPr>
        <w:pStyle w:val="Heading2"/>
      </w:pPr>
      <w:r w:rsidRPr="002F1A2A">
        <w:t>Disallowable instrument DI</w:t>
      </w:r>
      <w:r w:rsidR="00A846CA">
        <w:t>201</w:t>
      </w:r>
      <w:r w:rsidR="00027048">
        <w:t>9</w:t>
      </w:r>
      <w:r w:rsidRPr="002F1A2A">
        <w:t>–</w:t>
      </w:r>
      <w:r w:rsidR="00EE3129">
        <w:t>235</w:t>
      </w:r>
    </w:p>
    <w:p w14:paraId="0D17438B" w14:textId="77777777" w:rsidR="005D70F1" w:rsidRDefault="005D70F1">
      <w:pPr>
        <w:pStyle w:val="madeunder"/>
        <w:spacing w:before="240" w:after="120"/>
      </w:pPr>
      <w:r>
        <w:t xml:space="preserve">made under the  </w:t>
      </w:r>
    </w:p>
    <w:p w14:paraId="5086EDA8" w14:textId="77777777" w:rsidR="005D70F1" w:rsidRDefault="00A846CA">
      <w:pPr>
        <w:pStyle w:val="CoverActName"/>
        <w:rPr>
          <w:rFonts w:cs="Arial"/>
          <w:sz w:val="20"/>
        </w:rPr>
      </w:pPr>
      <w:r w:rsidRPr="00263F9D">
        <w:rPr>
          <w:rFonts w:cs="Arial"/>
          <w:i/>
          <w:iCs/>
          <w:sz w:val="20"/>
        </w:rPr>
        <w:t>Road Transport (General) Act 1999</w:t>
      </w:r>
      <w:r w:rsidR="005D70F1" w:rsidRPr="00263F9D">
        <w:rPr>
          <w:rFonts w:cs="Arial"/>
          <w:i/>
          <w:iCs/>
          <w:sz w:val="20"/>
        </w:rPr>
        <w:t>,</w:t>
      </w:r>
      <w:r>
        <w:rPr>
          <w:rFonts w:cs="Arial"/>
          <w:sz w:val="20"/>
        </w:rPr>
        <w:t xml:space="preserve"> section 12</w:t>
      </w:r>
      <w:r w:rsidR="005D70F1">
        <w:rPr>
          <w:rFonts w:cs="Arial"/>
          <w:sz w:val="20"/>
        </w:rPr>
        <w:t xml:space="preserve"> </w:t>
      </w:r>
      <w:r>
        <w:rPr>
          <w:rFonts w:cs="Arial"/>
          <w:sz w:val="20"/>
        </w:rPr>
        <w:t>(Power to include or exclude areas in road transport legislation)</w:t>
      </w:r>
    </w:p>
    <w:p w14:paraId="63582EC7" w14:textId="77777777" w:rsidR="005D70F1" w:rsidRPr="002F1A2A" w:rsidRDefault="005D70F1" w:rsidP="002F1A2A">
      <w:pPr>
        <w:pStyle w:val="Heading3"/>
      </w:pPr>
      <w:r w:rsidRPr="002F1A2A">
        <w:t>EXPLANATORY STATEMENT</w:t>
      </w:r>
    </w:p>
    <w:p w14:paraId="490785F3" w14:textId="77777777" w:rsidR="005D70F1" w:rsidRDefault="005D70F1">
      <w:pPr>
        <w:pStyle w:val="N-line3"/>
        <w:pBdr>
          <w:bottom w:val="none" w:sz="0" w:space="0" w:color="auto"/>
        </w:pBdr>
      </w:pPr>
    </w:p>
    <w:p w14:paraId="40AA8635" w14:textId="77777777" w:rsidR="005D70F1" w:rsidRDefault="005D70F1">
      <w:pPr>
        <w:pStyle w:val="N-line3"/>
        <w:pBdr>
          <w:top w:val="single" w:sz="12" w:space="1" w:color="auto"/>
          <w:bottom w:val="none" w:sz="0" w:space="0" w:color="auto"/>
        </w:pBdr>
      </w:pPr>
    </w:p>
    <w:bookmarkEnd w:id="0"/>
    <w:p w14:paraId="68EB6B4E" w14:textId="179B71DE" w:rsidR="00A846CA" w:rsidRDefault="00A846CA" w:rsidP="00A846CA">
      <w:r>
        <w:t>Section 12</w:t>
      </w:r>
      <w:r w:rsidR="00027048">
        <w:t xml:space="preserve"> </w:t>
      </w:r>
      <w:r>
        <w:t>(1)</w:t>
      </w:r>
      <w:r w:rsidR="00027048">
        <w:t xml:space="preserve"> </w:t>
      </w:r>
      <w:r>
        <w:t xml:space="preserve">(b) of the </w:t>
      </w:r>
      <w:r>
        <w:rPr>
          <w:i/>
        </w:rPr>
        <w:t>Road Transport (General) Act 1999</w:t>
      </w:r>
      <w:r>
        <w:t xml:space="preserve"> (the Act) empowers the Minister to declare that a provision of the road transport legislation does not apply t</w:t>
      </w:r>
      <w:r w:rsidR="00D51579">
        <w:t xml:space="preserve">o a road or road related area. </w:t>
      </w:r>
      <w:r>
        <w:t>Section 12</w:t>
      </w:r>
      <w:r w:rsidR="00027048">
        <w:t xml:space="preserve"> </w:t>
      </w:r>
      <w:r>
        <w:t>(3) of the Act makes such a declaration a disallowable instrument.</w:t>
      </w:r>
    </w:p>
    <w:p w14:paraId="2A807730" w14:textId="609A784D" w:rsidR="005D70F1" w:rsidRDefault="005D70F1"/>
    <w:p w14:paraId="1D693CD7" w14:textId="5724B86B" w:rsidR="00A846CA" w:rsidRDefault="00A846CA" w:rsidP="00FA2002">
      <w:r>
        <w:t xml:space="preserve">Section 6 of the Act provides that </w:t>
      </w:r>
      <w:r w:rsidRPr="0070058F">
        <w:t>road transport legislation</w:t>
      </w:r>
      <w:r>
        <w:t xml:space="preserve"> includes the </w:t>
      </w:r>
      <w:r w:rsidRPr="00905831">
        <w:rPr>
          <w:i/>
        </w:rPr>
        <w:t>Road Transport (Safety and Traffic Management) Act 1999</w:t>
      </w:r>
      <w:r>
        <w:t xml:space="preserve">. Section 104 of the </w:t>
      </w:r>
      <w:r>
        <w:rPr>
          <w:i/>
        </w:rPr>
        <w:t xml:space="preserve">Legislation Act 2001 </w:t>
      </w:r>
      <w:r>
        <w:t xml:space="preserve">states that a reference to an Act includes a reference to the statutory instruments made or in force under the Act, including any regulation. Section </w:t>
      </w:r>
      <w:r w:rsidR="00FA2002">
        <w:t>33</w:t>
      </w:r>
      <w:r>
        <w:t xml:space="preserve"> of the </w:t>
      </w:r>
      <w:r w:rsidRPr="00905831">
        <w:rPr>
          <w:i/>
        </w:rPr>
        <w:t xml:space="preserve">Road Transport </w:t>
      </w:r>
      <w:r w:rsidR="00FA2002" w:rsidRPr="009D20F3">
        <w:rPr>
          <w:i/>
        </w:rPr>
        <w:t xml:space="preserve">(Safety and Traffic Management) Act 1999 </w:t>
      </w:r>
      <w:r w:rsidR="00FA2002" w:rsidRPr="009D20F3">
        <w:t>incorporates</w:t>
      </w:r>
      <w:r w:rsidR="00FA2002">
        <w:t xml:space="preserve"> the </w:t>
      </w:r>
      <w:r w:rsidR="00FA2002" w:rsidRPr="00F1627A">
        <w:rPr>
          <w:i/>
        </w:rPr>
        <w:t xml:space="preserve">Road Transport (Road Rules) Regulation 2017 </w:t>
      </w:r>
      <w:r w:rsidR="00FA2002">
        <w:t>which forms part of the road transport legislation</w:t>
      </w:r>
      <w:r>
        <w:t xml:space="preserve">. </w:t>
      </w:r>
    </w:p>
    <w:p w14:paraId="694FB3C2" w14:textId="77777777" w:rsidR="00A846CA" w:rsidRDefault="00A846CA"/>
    <w:p w14:paraId="31B00766" w14:textId="44B13199" w:rsidR="00A846CA" w:rsidRDefault="00A846CA">
      <w:r>
        <w:t xml:space="preserve">This declaration is made to support parking arrangements for </w:t>
      </w:r>
      <w:r w:rsidR="00D864D4">
        <w:t xml:space="preserve">major </w:t>
      </w:r>
      <w:r w:rsidR="00FA2002">
        <w:t>cricket</w:t>
      </w:r>
      <w:r w:rsidR="00D864D4">
        <w:t xml:space="preserve"> events</w:t>
      </w:r>
      <w:r>
        <w:t xml:space="preserve"> at Manuka Oval </w:t>
      </w:r>
      <w:r w:rsidR="00D864D4">
        <w:t>in 201</w:t>
      </w:r>
      <w:r w:rsidR="00027048">
        <w:t>9</w:t>
      </w:r>
      <w:r w:rsidR="00D864D4">
        <w:t xml:space="preserve"> and 20</w:t>
      </w:r>
      <w:r w:rsidR="00027048">
        <w:t>20</w:t>
      </w:r>
      <w:r>
        <w:t xml:space="preserve">. The effect of the declaration is to allow motorists attending </w:t>
      </w:r>
      <w:r w:rsidR="00D864D4">
        <w:t xml:space="preserve">major </w:t>
      </w:r>
      <w:r w:rsidR="00FA2002">
        <w:t>cricket</w:t>
      </w:r>
      <w:r w:rsidR="00D864D4">
        <w:t xml:space="preserve"> events</w:t>
      </w:r>
      <w:r>
        <w:t xml:space="preserve"> at Manuka Oval on the dates specified in </w:t>
      </w:r>
      <w:r w:rsidR="00027048">
        <w:t xml:space="preserve">clause </w:t>
      </w:r>
      <w:r>
        <w:t xml:space="preserve">4 of the instrument to park in non-pay time limited parking spaces near Manuka Oval for a longer period of time than </w:t>
      </w:r>
      <w:r w:rsidR="002D54B8">
        <w:t xml:space="preserve">is </w:t>
      </w:r>
      <w:r>
        <w:t xml:space="preserve">specified on the relevant parking </w:t>
      </w:r>
      <w:r w:rsidR="00487B60">
        <w:t xml:space="preserve">sign. </w:t>
      </w:r>
    </w:p>
    <w:p w14:paraId="49189970" w14:textId="77777777" w:rsidR="00AE2AA1" w:rsidRDefault="00AE2AA1"/>
    <w:p w14:paraId="4FC33F2B" w14:textId="77777777" w:rsidR="00AE2AA1" w:rsidRDefault="00AE2AA1" w:rsidP="00AE2AA1">
      <w:pPr>
        <w:pStyle w:val="BodyText"/>
        <w:rPr>
          <w:b/>
        </w:rPr>
      </w:pPr>
      <w:r>
        <w:rPr>
          <w:b/>
        </w:rPr>
        <w:t>Outline of provisions</w:t>
      </w:r>
    </w:p>
    <w:p w14:paraId="105B3A87" w14:textId="6E800B88" w:rsidR="00AE2AA1" w:rsidRDefault="00AE2AA1" w:rsidP="00AE2AA1">
      <w:pPr>
        <w:pStyle w:val="BodyText"/>
        <w:rPr>
          <w:i/>
          <w:iCs/>
        </w:rPr>
      </w:pPr>
      <w:r>
        <w:rPr>
          <w:b/>
        </w:rPr>
        <w:t>Clause</w:t>
      </w:r>
      <w:r w:rsidRPr="00551A1A">
        <w:rPr>
          <w:b/>
        </w:rPr>
        <w:t xml:space="preserve"> 1 </w:t>
      </w:r>
      <w:r>
        <w:t xml:space="preserve">names the instrument the </w:t>
      </w:r>
      <w:r w:rsidRPr="00B06140">
        <w:rPr>
          <w:i/>
          <w:iCs/>
        </w:rPr>
        <w:t xml:space="preserve">Road Transport (General) Application of Road Transport Legislation </w:t>
      </w:r>
      <w:r w:rsidR="00AC4CF0">
        <w:rPr>
          <w:i/>
          <w:iCs/>
        </w:rPr>
        <w:t xml:space="preserve">(Manuka Oval) </w:t>
      </w:r>
      <w:r w:rsidRPr="00B06140">
        <w:rPr>
          <w:i/>
          <w:iCs/>
        </w:rPr>
        <w:t>Declaration 201</w:t>
      </w:r>
      <w:r w:rsidR="0094175F">
        <w:rPr>
          <w:i/>
          <w:iCs/>
        </w:rPr>
        <w:t>9</w:t>
      </w:r>
      <w:r>
        <w:rPr>
          <w:i/>
          <w:iCs/>
        </w:rPr>
        <w:t xml:space="preserve"> </w:t>
      </w:r>
      <w:r w:rsidRPr="00B06140">
        <w:rPr>
          <w:i/>
          <w:iCs/>
        </w:rPr>
        <w:t>(No</w:t>
      </w:r>
      <w:r>
        <w:rPr>
          <w:i/>
          <w:iCs/>
        </w:rPr>
        <w:t xml:space="preserve"> </w:t>
      </w:r>
      <w:r w:rsidR="00AC4CF0">
        <w:rPr>
          <w:i/>
          <w:iCs/>
        </w:rPr>
        <w:t>2</w:t>
      </w:r>
      <w:r w:rsidRPr="00B06140">
        <w:rPr>
          <w:i/>
          <w:iCs/>
        </w:rPr>
        <w:t>)</w:t>
      </w:r>
      <w:r>
        <w:rPr>
          <w:i/>
          <w:iCs/>
        </w:rPr>
        <w:t>.</w:t>
      </w:r>
    </w:p>
    <w:p w14:paraId="16E101B8" w14:textId="761D1CDC" w:rsidR="00AE2AA1" w:rsidRPr="00E772F1" w:rsidRDefault="00AE2AA1" w:rsidP="00AE2AA1">
      <w:pPr>
        <w:pStyle w:val="BodyText"/>
        <w:rPr>
          <w:iCs/>
        </w:rPr>
      </w:pPr>
      <w:r>
        <w:rPr>
          <w:b/>
          <w:iCs/>
        </w:rPr>
        <w:t>Clause</w:t>
      </w:r>
      <w:r w:rsidRPr="00551A1A">
        <w:rPr>
          <w:b/>
        </w:rPr>
        <w:t xml:space="preserve"> 2</w:t>
      </w:r>
      <w:r>
        <w:t xml:space="preserve"> states that the instrument </w:t>
      </w:r>
      <w:r w:rsidR="00E772F1">
        <w:t xml:space="preserve">is taken to have commenced on 24 October 2019. This retrospective commencement is non-prejudicial and is necessary to ensure that the disapplication of section 205 (Parking for longer than indicated) of the </w:t>
      </w:r>
      <w:r w:rsidR="00E772F1">
        <w:rPr>
          <w:i/>
        </w:rPr>
        <w:t>Road Transport (Road Rules) Regulation 2017</w:t>
      </w:r>
      <w:r w:rsidR="00E772F1">
        <w:rPr>
          <w:iCs/>
        </w:rPr>
        <w:t xml:space="preserve"> to the areas i</w:t>
      </w:r>
      <w:r w:rsidR="000F2E86">
        <w:rPr>
          <w:iCs/>
        </w:rPr>
        <w:t>dentified in the s</w:t>
      </w:r>
      <w:r w:rsidR="00E772F1">
        <w:rPr>
          <w:iCs/>
        </w:rPr>
        <w:t>chedule is in place for the first event to which this instrument applies.</w:t>
      </w:r>
    </w:p>
    <w:p w14:paraId="2CA1F9AB" w14:textId="77777777" w:rsidR="00E772F1" w:rsidRPr="00C948DB" w:rsidRDefault="00E772F1" w:rsidP="00AE2AA1">
      <w:pPr>
        <w:pStyle w:val="BodyText"/>
        <w:rPr>
          <w:i/>
          <w:iCs/>
        </w:rPr>
      </w:pPr>
    </w:p>
    <w:p w14:paraId="510BBDEB" w14:textId="6DA2CA2D" w:rsidR="00AE2AA1" w:rsidRDefault="00AE2AA1" w:rsidP="00AE2AA1">
      <w:pPr>
        <w:pStyle w:val="BodyText"/>
      </w:pPr>
      <w:r w:rsidRPr="00551A1A">
        <w:rPr>
          <w:b/>
        </w:rPr>
        <w:lastRenderedPageBreak/>
        <w:t>Clause 3</w:t>
      </w:r>
      <w:r>
        <w:t xml:space="preserve"> declares that </w:t>
      </w:r>
      <w:r w:rsidR="00397C84">
        <w:t>for the period</w:t>
      </w:r>
      <w:r w:rsidR="002D54B8">
        <w:t>s</w:t>
      </w:r>
      <w:r w:rsidR="00397C84">
        <w:t xml:space="preserve"> set out in clause 4, section</w:t>
      </w:r>
      <w:r>
        <w:t xml:space="preserve"> 205 (Parking for longer than indicated)</w:t>
      </w:r>
      <w:r w:rsidR="00397C84">
        <w:t xml:space="preserve"> of the </w:t>
      </w:r>
      <w:r w:rsidR="00397C84">
        <w:rPr>
          <w:i/>
        </w:rPr>
        <w:t>Road Transport (Road Rules) Regulation 2017</w:t>
      </w:r>
      <w:r>
        <w:t xml:space="preserve"> does not apply to a road or road related area where a time limited permissive parking sign applies, within the area identified in the schedule. </w:t>
      </w:r>
    </w:p>
    <w:p w14:paraId="4A81C48D" w14:textId="77777777" w:rsidR="00AE2AA1" w:rsidRDefault="00AE2AA1" w:rsidP="00AE2AA1">
      <w:pPr>
        <w:spacing w:before="60"/>
      </w:pPr>
      <w:r w:rsidRPr="00551A1A">
        <w:rPr>
          <w:b/>
        </w:rPr>
        <w:t>Clause 4</w:t>
      </w:r>
      <w:r>
        <w:t xml:space="preserve"> provides that the declaration has effect during the following periods:</w:t>
      </w:r>
      <w:r w:rsidRPr="00B31122">
        <w:t xml:space="preserve"> </w:t>
      </w:r>
    </w:p>
    <w:p w14:paraId="0EE440A9" w14:textId="77777777" w:rsidR="00AC4CF0" w:rsidRDefault="00AC4CF0" w:rsidP="00AC4CF0">
      <w:pPr>
        <w:numPr>
          <w:ilvl w:val="0"/>
          <w:numId w:val="13"/>
        </w:numPr>
        <w:spacing w:before="120" w:after="120"/>
        <w:ind w:firstLine="839"/>
        <w:rPr>
          <w:sz w:val="22"/>
        </w:rPr>
      </w:pPr>
      <w:r>
        <w:t>11am and 11:59pm on Thursday 24 October 2019</w:t>
      </w:r>
    </w:p>
    <w:p w14:paraId="6591575A" w14:textId="77777777" w:rsidR="00AC4CF0" w:rsidRDefault="00AC4CF0" w:rsidP="00AC4CF0">
      <w:pPr>
        <w:numPr>
          <w:ilvl w:val="0"/>
          <w:numId w:val="13"/>
        </w:numPr>
        <w:spacing w:before="120" w:after="120"/>
        <w:ind w:firstLine="839"/>
      </w:pPr>
      <w:r>
        <w:t>2pm and 11.59pm on Tuesday 5 November 2019</w:t>
      </w:r>
    </w:p>
    <w:p w14:paraId="13D10E3C" w14:textId="77777777" w:rsidR="00AC4CF0" w:rsidRDefault="00AC4CF0" w:rsidP="00AC4CF0">
      <w:pPr>
        <w:numPr>
          <w:ilvl w:val="0"/>
          <w:numId w:val="13"/>
        </w:numPr>
        <w:spacing w:before="120" w:after="120"/>
        <w:ind w:firstLine="839"/>
      </w:pPr>
      <w:r>
        <w:t>11am and 7pm on Wednesday 27 November 2019</w:t>
      </w:r>
    </w:p>
    <w:p w14:paraId="561BD4E9" w14:textId="77777777" w:rsidR="00AC4CF0" w:rsidRDefault="00AC4CF0" w:rsidP="00AC4CF0">
      <w:pPr>
        <w:numPr>
          <w:ilvl w:val="0"/>
          <w:numId w:val="13"/>
        </w:numPr>
        <w:spacing w:before="120" w:after="120"/>
        <w:ind w:firstLine="839"/>
      </w:pPr>
      <w:r>
        <w:t>12pm and 11:59pm on Friday 21 December 2019</w:t>
      </w:r>
    </w:p>
    <w:p w14:paraId="04C3C291" w14:textId="77777777" w:rsidR="00AC4CF0" w:rsidRDefault="00AC4CF0" w:rsidP="00AC4CF0">
      <w:pPr>
        <w:numPr>
          <w:ilvl w:val="0"/>
          <w:numId w:val="13"/>
        </w:numPr>
        <w:spacing w:before="120" w:after="120"/>
        <w:ind w:firstLine="839"/>
      </w:pPr>
      <w:r>
        <w:t>2pm and 11:59pm on Wednesday 15 January 2020</w:t>
      </w:r>
    </w:p>
    <w:p w14:paraId="650BF8EF" w14:textId="77777777" w:rsidR="00AC4CF0" w:rsidRDefault="00AC4CF0" w:rsidP="00AC4CF0">
      <w:pPr>
        <w:numPr>
          <w:ilvl w:val="0"/>
          <w:numId w:val="13"/>
        </w:numPr>
        <w:spacing w:before="120" w:after="120"/>
        <w:ind w:firstLine="839"/>
      </w:pPr>
      <w:r>
        <w:t xml:space="preserve">11am and 7pm on Friday 31 January 2020 </w:t>
      </w:r>
    </w:p>
    <w:p w14:paraId="1759D4E0" w14:textId="77777777" w:rsidR="00AC4CF0" w:rsidRDefault="00AC4CF0" w:rsidP="00AC4CF0">
      <w:pPr>
        <w:numPr>
          <w:ilvl w:val="0"/>
          <w:numId w:val="13"/>
        </w:numPr>
        <w:spacing w:before="120" w:after="120"/>
        <w:ind w:firstLine="839"/>
      </w:pPr>
      <w:r>
        <w:t>11am and 7pm on Saturday 1 February 2020</w:t>
      </w:r>
    </w:p>
    <w:p w14:paraId="6C484600" w14:textId="77777777" w:rsidR="00AC4CF0" w:rsidRDefault="00AC4CF0" w:rsidP="00AC4CF0">
      <w:pPr>
        <w:numPr>
          <w:ilvl w:val="0"/>
          <w:numId w:val="13"/>
        </w:numPr>
        <w:spacing w:before="120" w:after="120"/>
        <w:ind w:firstLine="839"/>
      </w:pPr>
      <w:r>
        <w:t xml:space="preserve">11am and 7pm on Sunday 2 February 2020 </w:t>
      </w:r>
    </w:p>
    <w:p w14:paraId="2BB269C8" w14:textId="77777777" w:rsidR="00AC4CF0" w:rsidRDefault="00AC4CF0" w:rsidP="00AC4CF0">
      <w:pPr>
        <w:numPr>
          <w:ilvl w:val="0"/>
          <w:numId w:val="13"/>
        </w:numPr>
        <w:spacing w:before="120" w:after="120"/>
        <w:ind w:firstLine="839"/>
      </w:pPr>
      <w:r>
        <w:t xml:space="preserve">11am and 11.59pm on Wednesday 26 February 2020 </w:t>
      </w:r>
    </w:p>
    <w:p w14:paraId="7690FA31" w14:textId="77777777" w:rsidR="00AC4CF0" w:rsidRDefault="00AC4CF0" w:rsidP="00AC4CF0">
      <w:pPr>
        <w:numPr>
          <w:ilvl w:val="0"/>
          <w:numId w:val="13"/>
        </w:numPr>
        <w:spacing w:before="120" w:after="120"/>
        <w:ind w:firstLine="839"/>
      </w:pPr>
      <w:r>
        <w:t>11am and 11:59pm on Thursday 27 February 2020</w:t>
      </w:r>
    </w:p>
    <w:p w14:paraId="439E629E" w14:textId="77777777" w:rsidR="00AC4CF0" w:rsidRDefault="00AC4CF0" w:rsidP="00AC4CF0">
      <w:pPr>
        <w:numPr>
          <w:ilvl w:val="0"/>
          <w:numId w:val="13"/>
        </w:numPr>
        <w:spacing w:before="120" w:after="120"/>
        <w:ind w:firstLine="839"/>
      </w:pPr>
      <w:r>
        <w:t>11am and 11:59pm on Friday 28 February 2020</w:t>
      </w:r>
    </w:p>
    <w:p w14:paraId="7C59BCC6" w14:textId="22CD9373" w:rsidR="00AE2AA1" w:rsidRDefault="00AE2AA1" w:rsidP="00AC4CF0">
      <w:pPr>
        <w:pStyle w:val="BodyText"/>
        <w:spacing w:before="240"/>
      </w:pPr>
      <w:r w:rsidRPr="002C7278">
        <w:rPr>
          <w:b/>
        </w:rPr>
        <w:t>Clause 5</w:t>
      </w:r>
      <w:r w:rsidRPr="002C7278">
        <w:t xml:space="preserve"> provides t</w:t>
      </w:r>
      <w:r>
        <w:t xml:space="preserve">hat the declaration expires on </w:t>
      </w:r>
      <w:r w:rsidR="006F5319">
        <w:t>1</w:t>
      </w:r>
      <w:r w:rsidR="00FA2002">
        <w:t xml:space="preserve"> </w:t>
      </w:r>
      <w:r w:rsidR="00377925">
        <w:t xml:space="preserve">March </w:t>
      </w:r>
      <w:r w:rsidR="006F5319">
        <w:t>20</w:t>
      </w:r>
      <w:r w:rsidR="00377925">
        <w:t>20</w:t>
      </w:r>
      <w:r w:rsidRPr="002C7278">
        <w:t>.</w:t>
      </w:r>
    </w:p>
    <w:p w14:paraId="19AC0060" w14:textId="30F7546F" w:rsidR="00AE2AA1" w:rsidRPr="00CA4A76" w:rsidRDefault="00AE2AA1" w:rsidP="00AE2AA1">
      <w:r>
        <w:t>A regulatory impact statement is not required as this instrument does not impose appreciable costs on the community or a part of the community (see s 34</w:t>
      </w:r>
      <w:r w:rsidR="00B32E5F">
        <w:t xml:space="preserve"> </w:t>
      </w:r>
      <w:r>
        <w:t xml:space="preserve">(1) </w:t>
      </w:r>
      <w:r w:rsidRPr="00C0194C">
        <w:rPr>
          <w:i/>
        </w:rPr>
        <w:t>Legislation Act</w:t>
      </w:r>
      <w:r>
        <w:rPr>
          <w:i/>
        </w:rPr>
        <w:t xml:space="preserve"> 2001</w:t>
      </w:r>
      <w:r>
        <w:t>). Further, the temporary suspension of parking rules to support major events at Manuka Oval does not operate to the disadvantage of anyone by adversely affecting their rights or imposing liabilities on the person (see s 36</w:t>
      </w:r>
      <w:r w:rsidR="00B32E5F">
        <w:t xml:space="preserve"> </w:t>
      </w:r>
      <w:r>
        <w:t xml:space="preserve">(1) </w:t>
      </w:r>
      <w:r w:rsidRPr="00C0194C">
        <w:rPr>
          <w:i/>
        </w:rPr>
        <w:t>Legislation Act</w:t>
      </w:r>
      <w:r w:rsidRPr="004B4403">
        <w:t>)</w:t>
      </w:r>
      <w:r>
        <w:t>.</w:t>
      </w:r>
    </w:p>
    <w:p w14:paraId="769733DF" w14:textId="77777777" w:rsidR="00AE2AA1" w:rsidRDefault="00AE2AA1"/>
    <w:sectPr w:rsidR="00AE2AA1" w:rsidSect="004C4A40">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654D9" w14:textId="77777777" w:rsidR="0028058A" w:rsidRDefault="0028058A">
      <w:r>
        <w:separator/>
      </w:r>
    </w:p>
  </w:endnote>
  <w:endnote w:type="continuationSeparator" w:id="0">
    <w:p w14:paraId="3A8358F4" w14:textId="77777777" w:rsidR="0028058A" w:rsidRDefault="0028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F8EA7" w14:textId="77777777" w:rsidR="009E1EAF" w:rsidRDefault="009E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22D1" w14:textId="3071527B" w:rsidR="00487B60" w:rsidRPr="009E1EAF" w:rsidRDefault="009E1EAF" w:rsidP="009E1EAF">
    <w:pPr>
      <w:pStyle w:val="Footer"/>
      <w:spacing w:before="0" w:after="0" w:line="240" w:lineRule="auto"/>
      <w:jc w:val="center"/>
      <w:rPr>
        <w:rFonts w:cs="Arial"/>
        <w:sz w:val="14"/>
      </w:rPr>
    </w:pPr>
    <w:r w:rsidRPr="009E1EA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A067" w14:textId="77777777" w:rsidR="009E1EAF" w:rsidRDefault="009E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CF48A" w14:textId="77777777" w:rsidR="0028058A" w:rsidRDefault="0028058A">
      <w:r>
        <w:separator/>
      </w:r>
    </w:p>
  </w:footnote>
  <w:footnote w:type="continuationSeparator" w:id="0">
    <w:p w14:paraId="4D17F0B8" w14:textId="77777777" w:rsidR="0028058A" w:rsidRDefault="0028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4ECB" w14:textId="77777777" w:rsidR="009E1EAF" w:rsidRDefault="009E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F558" w14:textId="77777777" w:rsidR="009E1EAF" w:rsidRDefault="009E1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E9A9" w14:textId="77777777" w:rsidR="009E1EAF" w:rsidRDefault="009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635DBA"/>
    <w:multiLevelType w:val="multilevel"/>
    <w:tmpl w:val="F48E7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8640F6"/>
    <w:multiLevelType w:val="hybridMultilevel"/>
    <w:tmpl w:val="B268BD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3D0E6E"/>
    <w:multiLevelType w:val="hybridMultilevel"/>
    <w:tmpl w:val="7B2CD8D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5AA1E6F"/>
    <w:multiLevelType w:val="hybridMultilevel"/>
    <w:tmpl w:val="4CC0DF84"/>
    <w:lvl w:ilvl="0" w:tplc="0C09001B">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9"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0"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1" w15:restartNumberingAfterBreak="0">
    <w:nsid w:val="37F56D36"/>
    <w:multiLevelType w:val="hybridMultilevel"/>
    <w:tmpl w:val="3DC889B8"/>
    <w:lvl w:ilvl="0" w:tplc="A544CB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0"/>
  </w:num>
  <w:num w:numId="5">
    <w:abstractNumId w:val="12"/>
  </w:num>
  <w:num w:numId="6">
    <w:abstractNumId w:val="2"/>
  </w:num>
  <w:num w:numId="7">
    <w:abstractNumId w:val="8"/>
  </w:num>
  <w:num w:numId="8">
    <w:abstractNumId w:val="9"/>
  </w:num>
  <w:num w:numId="9">
    <w:abstractNumId w:val="7"/>
  </w:num>
  <w:num w:numId="10">
    <w:abstractNumId w:val="6"/>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27048"/>
    <w:rsid w:val="00043CB4"/>
    <w:rsid w:val="00045031"/>
    <w:rsid w:val="00081CA7"/>
    <w:rsid w:val="000B1BA3"/>
    <w:rsid w:val="000F2E86"/>
    <w:rsid w:val="00105143"/>
    <w:rsid w:val="00112484"/>
    <w:rsid w:val="00123B3E"/>
    <w:rsid w:val="00144A73"/>
    <w:rsid w:val="001D2618"/>
    <w:rsid w:val="001D7A67"/>
    <w:rsid w:val="00211668"/>
    <w:rsid w:val="00231FAE"/>
    <w:rsid w:val="00263F9D"/>
    <w:rsid w:val="0028058A"/>
    <w:rsid w:val="002A71D2"/>
    <w:rsid w:val="002D0554"/>
    <w:rsid w:val="002D54B8"/>
    <w:rsid w:val="002F1A2A"/>
    <w:rsid w:val="00322BCE"/>
    <w:rsid w:val="00377925"/>
    <w:rsid w:val="00397C84"/>
    <w:rsid w:val="003B072F"/>
    <w:rsid w:val="003D5530"/>
    <w:rsid w:val="003F381E"/>
    <w:rsid w:val="00471C05"/>
    <w:rsid w:val="00487B60"/>
    <w:rsid w:val="004C4A40"/>
    <w:rsid w:val="004D3300"/>
    <w:rsid w:val="0053114D"/>
    <w:rsid w:val="005348DF"/>
    <w:rsid w:val="00550787"/>
    <w:rsid w:val="005D70F1"/>
    <w:rsid w:val="006D28F2"/>
    <w:rsid w:val="006F5319"/>
    <w:rsid w:val="007333CF"/>
    <w:rsid w:val="00743475"/>
    <w:rsid w:val="007456AD"/>
    <w:rsid w:val="00776D1A"/>
    <w:rsid w:val="007B3828"/>
    <w:rsid w:val="0084715B"/>
    <w:rsid w:val="0094175F"/>
    <w:rsid w:val="00941D71"/>
    <w:rsid w:val="009555A2"/>
    <w:rsid w:val="009E1EAF"/>
    <w:rsid w:val="00A846CA"/>
    <w:rsid w:val="00AC4CF0"/>
    <w:rsid w:val="00AE2AA1"/>
    <w:rsid w:val="00AF22D6"/>
    <w:rsid w:val="00B32E5F"/>
    <w:rsid w:val="00B54842"/>
    <w:rsid w:val="00B55DD9"/>
    <w:rsid w:val="00BC7EF2"/>
    <w:rsid w:val="00BE5D09"/>
    <w:rsid w:val="00BE6C7E"/>
    <w:rsid w:val="00C41AB9"/>
    <w:rsid w:val="00C4252F"/>
    <w:rsid w:val="00CD0551"/>
    <w:rsid w:val="00D02AE1"/>
    <w:rsid w:val="00D227F0"/>
    <w:rsid w:val="00D2792D"/>
    <w:rsid w:val="00D51579"/>
    <w:rsid w:val="00D864D4"/>
    <w:rsid w:val="00DE7303"/>
    <w:rsid w:val="00E772F1"/>
    <w:rsid w:val="00EE3129"/>
    <w:rsid w:val="00F42F05"/>
    <w:rsid w:val="00F54F8E"/>
    <w:rsid w:val="00FA2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1FACE"/>
  <w15:chartTrackingRefBased/>
  <w15:docId w15:val="{5B4D3389-6010-4DF1-9B4C-82758114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1"/>
      </w:numPr>
      <w:spacing w:before="80" w:after="60"/>
      <w:jc w:val="both"/>
      <w:outlineLvl w:val="6"/>
    </w:pPr>
  </w:style>
  <w:style w:type="paragraph" w:customStyle="1" w:styleId="Asubpara">
    <w:name w:val="A subpara"/>
    <w:basedOn w:val="Normal"/>
    <w:pPr>
      <w:numPr>
        <w:ilvl w:val="7"/>
        <w:numId w:val="11"/>
      </w:numPr>
      <w:spacing w:before="80" w:after="60"/>
      <w:jc w:val="both"/>
      <w:outlineLvl w:val="7"/>
    </w:pPr>
  </w:style>
  <w:style w:type="paragraph" w:customStyle="1" w:styleId="Asubsubpara">
    <w:name w:val="A subsubpara"/>
    <w:basedOn w:val="Normal"/>
    <w:pPr>
      <w:numPr>
        <w:ilvl w:val="8"/>
        <w:numId w:val="11"/>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odyText">
    <w:name w:val="Body Text"/>
    <w:basedOn w:val="Normal"/>
    <w:link w:val="BodyTextChar"/>
    <w:uiPriority w:val="99"/>
    <w:rsid w:val="00AE2AA1"/>
    <w:pPr>
      <w:spacing w:after="120"/>
    </w:pPr>
  </w:style>
  <w:style w:type="character" w:customStyle="1" w:styleId="BodyTextChar">
    <w:name w:val="Body Text Char"/>
    <w:link w:val="BodyText"/>
    <w:uiPriority w:val="99"/>
    <w:rsid w:val="00AE2AA1"/>
    <w:rPr>
      <w:sz w:val="24"/>
      <w:lang w:eastAsia="en-US"/>
    </w:rPr>
  </w:style>
  <w:style w:type="character" w:styleId="CommentReference">
    <w:name w:val="annotation reference"/>
    <w:rsid w:val="00045031"/>
    <w:rPr>
      <w:sz w:val="16"/>
      <w:szCs w:val="16"/>
    </w:rPr>
  </w:style>
  <w:style w:type="paragraph" w:styleId="CommentText">
    <w:name w:val="annotation text"/>
    <w:basedOn w:val="Normal"/>
    <w:link w:val="CommentTextChar"/>
    <w:rsid w:val="00045031"/>
    <w:rPr>
      <w:sz w:val="20"/>
    </w:rPr>
  </w:style>
  <w:style w:type="character" w:customStyle="1" w:styleId="CommentTextChar">
    <w:name w:val="Comment Text Char"/>
    <w:link w:val="CommentText"/>
    <w:rsid w:val="00045031"/>
    <w:rPr>
      <w:lang w:eastAsia="en-US"/>
    </w:rPr>
  </w:style>
  <w:style w:type="paragraph" w:styleId="CommentSubject">
    <w:name w:val="annotation subject"/>
    <w:basedOn w:val="CommentText"/>
    <w:next w:val="CommentText"/>
    <w:link w:val="CommentSubjectChar"/>
    <w:rsid w:val="00045031"/>
    <w:rPr>
      <w:b/>
      <w:bCs/>
    </w:rPr>
  </w:style>
  <w:style w:type="character" w:customStyle="1" w:styleId="CommentSubjectChar">
    <w:name w:val="Comment Subject Char"/>
    <w:link w:val="CommentSubject"/>
    <w:rsid w:val="00045031"/>
    <w:rPr>
      <w:b/>
      <w:bCs/>
      <w:lang w:eastAsia="en-US"/>
    </w:rPr>
  </w:style>
  <w:style w:type="paragraph" w:styleId="BalloonText">
    <w:name w:val="Balloon Text"/>
    <w:basedOn w:val="Normal"/>
    <w:link w:val="BalloonTextChar"/>
    <w:rsid w:val="00045031"/>
    <w:rPr>
      <w:rFonts w:ascii="Tahoma" w:hAnsi="Tahoma" w:cs="Tahoma"/>
      <w:sz w:val="16"/>
      <w:szCs w:val="16"/>
    </w:rPr>
  </w:style>
  <w:style w:type="character" w:customStyle="1" w:styleId="BalloonTextChar">
    <w:name w:val="Balloon Text Char"/>
    <w:link w:val="BalloonText"/>
    <w:rsid w:val="000450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6D20-55DB-4816-AE39-0DFBD747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2880</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cp:lastModifiedBy>PCODCS</cp:lastModifiedBy>
  <cp:revision>4</cp:revision>
  <cp:lastPrinted>2006-03-31T04:28:00Z</cp:lastPrinted>
  <dcterms:created xsi:type="dcterms:W3CDTF">2019-10-23T21:35:00Z</dcterms:created>
  <dcterms:modified xsi:type="dcterms:W3CDTF">2019-10-23T21:35:00Z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A16746939</vt:lpwstr>
  </property>
  <property fmtid="{D5CDD505-2E9C-101B-9397-08002B2CF9AE}" pid="3" name="Objective-Title">
    <vt:lpwstr>Attachment B - Explanatory Statement - Manuka Oval Cricket Fixtures 2018-19</vt:lpwstr>
  </property>
  <property fmtid="{D5CDD505-2E9C-101B-9397-08002B2CF9AE}" pid="4" name="Objective-Comment">
    <vt:lpwstr/>
  </property>
  <property fmtid="{D5CDD505-2E9C-101B-9397-08002B2CF9AE}" pid="5" name="Objective-CreationStamp">
    <vt:filetime>2018-09-14T04:38:27Z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2018-09-20T00:28:19Z</vt:filetime>
  </property>
  <property fmtid="{D5CDD505-2E9C-101B-9397-08002B2CF9AE}" pid="9" name="Objective-ModificationStamp">
    <vt:filetime>2018-09-20T00:28:19Z</vt:filetime>
  </property>
  <property fmtid="{D5CDD505-2E9C-101B-9397-08002B2CF9AE}" pid="10" name="Objective-Owner">
    <vt:lpwstr>Rebecca Bamford</vt:lpwstr>
  </property>
  <property fmtid="{D5CDD505-2E9C-101B-9397-08002B2CF9AE}" pid="11" name="Objective-Path">
    <vt:lpwstr>Whole of ACT Government:EPSDD - Environment Planning and Sustainable Development Directorate:07. Ministerial, Cabinet and Government Relations:06. Ministerials:2018 - Ministerial and Chief Ministerial Briefs / Correspondence:Planning Policy:18/26000 - 18/</vt:lpwstr>
  </property>
  <property fmtid="{D5CDD505-2E9C-101B-9397-08002B2CF9AE}" pid="12" name="Objective-Parent">
    <vt:lpwstr>18/27178 - Ministerial Information Brief - Disallowable Instrument - Manuka Oval cricket fixtures parking 2018-19</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1-2018/27178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