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520" w:rsidRDefault="00613520">
      <w:pPr>
        <w:pStyle w:val="BodyText"/>
        <w:rPr>
          <w:rFonts w:ascii="Times New Roman"/>
          <w:sz w:val="20"/>
        </w:rPr>
      </w:pPr>
      <w:bookmarkStart w:id="0" w:name="_GoBack"/>
      <w:bookmarkEnd w:id="0"/>
    </w:p>
    <w:p w:rsidR="00613520" w:rsidRDefault="00DF3424">
      <w:pPr>
        <w:pStyle w:val="Heading1"/>
        <w:spacing w:before="204"/>
        <w:ind w:left="462"/>
      </w:pPr>
      <w:r>
        <w:t>2019</w:t>
      </w: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spacing w:before="6"/>
        <w:rPr>
          <w:b/>
          <w:sz w:val="26"/>
        </w:rPr>
      </w:pPr>
    </w:p>
    <w:p w:rsidR="00613520" w:rsidRDefault="00DF3424">
      <w:pPr>
        <w:ind w:left="463" w:right="480"/>
        <w:jc w:val="center"/>
        <w:rPr>
          <w:b/>
          <w:sz w:val="28"/>
        </w:rPr>
      </w:pPr>
      <w:r>
        <w:rPr>
          <w:b/>
          <w:sz w:val="28"/>
        </w:rPr>
        <w:t>THE LEGISLATIVE ASSEMBLY FOR THE AUSTRALIAN CAPITAL TERRITORY</w:t>
      </w: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spacing w:before="3"/>
        <w:rPr>
          <w:b/>
          <w:sz w:val="26"/>
        </w:rPr>
      </w:pPr>
    </w:p>
    <w:p w:rsidR="00613520" w:rsidRDefault="00DF3424">
      <w:pPr>
        <w:ind w:left="460" w:right="480"/>
        <w:jc w:val="center"/>
        <w:rPr>
          <w:b/>
          <w:sz w:val="28"/>
        </w:rPr>
      </w:pPr>
      <w:r>
        <w:rPr>
          <w:b/>
          <w:sz w:val="28"/>
        </w:rPr>
        <w:t>Long Service Leave (Portable Schemes) Amendment Bill 2019</w:t>
      </w: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DF3424">
      <w:pPr>
        <w:spacing w:before="233"/>
        <w:ind w:left="463" w:right="478"/>
        <w:jc w:val="center"/>
        <w:rPr>
          <w:b/>
          <w:sz w:val="28"/>
        </w:rPr>
      </w:pPr>
      <w:r>
        <w:rPr>
          <w:b/>
          <w:sz w:val="28"/>
        </w:rPr>
        <w:t>EXPLANATORY STATEMENT</w:t>
      </w: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rPr>
          <w:b/>
          <w:sz w:val="28"/>
        </w:rPr>
      </w:pPr>
    </w:p>
    <w:p w:rsidR="00613520" w:rsidRDefault="00613520">
      <w:pPr>
        <w:pStyle w:val="BodyText"/>
        <w:spacing w:before="5"/>
        <w:rPr>
          <w:b/>
          <w:sz w:val="39"/>
        </w:rPr>
      </w:pPr>
    </w:p>
    <w:p w:rsidR="00613520" w:rsidRDefault="00DF3424">
      <w:pPr>
        <w:spacing w:line="415" w:lineRule="auto"/>
        <w:ind w:left="7107" w:right="113" w:firstLine="494"/>
        <w:jc w:val="right"/>
        <w:rPr>
          <w:b/>
          <w:sz w:val="28"/>
        </w:rPr>
      </w:pPr>
      <w:r>
        <w:rPr>
          <w:b/>
          <w:sz w:val="28"/>
        </w:rPr>
        <w:t>Presented</w:t>
      </w:r>
      <w:r>
        <w:rPr>
          <w:b/>
          <w:spacing w:val="-3"/>
          <w:sz w:val="28"/>
        </w:rPr>
        <w:t xml:space="preserve"> </w:t>
      </w:r>
      <w:r>
        <w:rPr>
          <w:b/>
          <w:spacing w:val="-6"/>
          <w:sz w:val="28"/>
        </w:rPr>
        <w:t>by</w:t>
      </w:r>
      <w:r>
        <w:rPr>
          <w:b/>
          <w:sz w:val="28"/>
        </w:rPr>
        <w:t xml:space="preserve"> </w:t>
      </w:r>
      <w:r>
        <w:rPr>
          <w:b/>
          <w:sz w:val="28"/>
        </w:rPr>
        <w:t>Suzanne Orr</w:t>
      </w:r>
      <w:r>
        <w:rPr>
          <w:b/>
          <w:spacing w:val="1"/>
          <w:sz w:val="28"/>
        </w:rPr>
        <w:t xml:space="preserve"> </w:t>
      </w:r>
      <w:r>
        <w:rPr>
          <w:b/>
          <w:spacing w:val="-7"/>
          <w:sz w:val="28"/>
        </w:rPr>
        <w:t>MLA</w:t>
      </w:r>
    </w:p>
    <w:p w:rsidR="00613520" w:rsidRDefault="00DF3424">
      <w:pPr>
        <w:spacing w:before="3"/>
        <w:ind w:right="118"/>
        <w:jc w:val="right"/>
        <w:rPr>
          <w:b/>
          <w:sz w:val="28"/>
        </w:rPr>
      </w:pPr>
      <w:r>
        <w:rPr>
          <w:b/>
          <w:sz w:val="28"/>
        </w:rPr>
        <w:t>Minister for Employment and Workplace</w:t>
      </w:r>
      <w:r>
        <w:rPr>
          <w:b/>
          <w:spacing w:val="-18"/>
          <w:sz w:val="28"/>
        </w:rPr>
        <w:t xml:space="preserve"> </w:t>
      </w:r>
      <w:r>
        <w:rPr>
          <w:b/>
          <w:sz w:val="28"/>
        </w:rPr>
        <w:t>Relations</w:t>
      </w:r>
    </w:p>
    <w:p w:rsidR="00613520" w:rsidRDefault="00613520">
      <w:pPr>
        <w:jc w:val="right"/>
        <w:rPr>
          <w:sz w:val="28"/>
        </w:rPr>
        <w:sectPr w:rsidR="00613520">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1320" w:bottom="280" w:left="1340" w:header="720" w:footer="720" w:gutter="0"/>
          <w:cols w:space="720"/>
        </w:sectPr>
      </w:pPr>
    </w:p>
    <w:p w:rsidR="00613520" w:rsidRDefault="00DF3424">
      <w:pPr>
        <w:spacing w:before="21"/>
        <w:ind w:left="1367"/>
        <w:rPr>
          <w:b/>
          <w:sz w:val="28"/>
        </w:rPr>
      </w:pPr>
      <w:r>
        <w:rPr>
          <w:b/>
          <w:sz w:val="28"/>
        </w:rPr>
        <w:lastRenderedPageBreak/>
        <w:t>Long Service Leave (Portable Schemes) Amendment Bill 2019</w:t>
      </w:r>
    </w:p>
    <w:p w:rsidR="00613520" w:rsidRDefault="00DF3424">
      <w:pPr>
        <w:pStyle w:val="Heading2"/>
        <w:spacing w:before="239"/>
        <w:rPr>
          <w:u w:val="none"/>
        </w:rPr>
      </w:pPr>
      <w:r>
        <w:t>Purpose of the Bill</w:t>
      </w:r>
    </w:p>
    <w:p w:rsidR="00613520" w:rsidRDefault="00DF3424">
      <w:pPr>
        <w:pStyle w:val="BodyText"/>
        <w:spacing w:before="167" w:line="276" w:lineRule="auto"/>
        <w:ind w:left="100" w:right="385"/>
      </w:pPr>
      <w:r>
        <w:t xml:space="preserve">The </w:t>
      </w:r>
      <w:r>
        <w:rPr>
          <w:i/>
        </w:rPr>
        <w:t xml:space="preserve">Long Service Leave (Portable Schemes) Act 2009 </w:t>
      </w:r>
      <w:r>
        <w:t>(the Act) provides portable long service leave for workers in f</w:t>
      </w:r>
      <w:r>
        <w:t>our covered industries in the ACT: building and construction; contract cleaning; security; and community services. Employers who have workers in the covered industries are required to pay a levy to fund the relevant scheme.</w:t>
      </w:r>
    </w:p>
    <w:p w:rsidR="00613520" w:rsidRDefault="00613520">
      <w:pPr>
        <w:pStyle w:val="BodyText"/>
        <w:spacing w:before="7"/>
        <w:rPr>
          <w:sz w:val="16"/>
        </w:rPr>
      </w:pPr>
    </w:p>
    <w:p w:rsidR="00613520" w:rsidRDefault="00DF3424">
      <w:pPr>
        <w:pStyle w:val="BodyText"/>
        <w:spacing w:line="276" w:lineRule="auto"/>
        <w:ind w:left="100" w:right="163"/>
      </w:pPr>
      <w:r>
        <w:t xml:space="preserve">The purpose of the Long Service Leave (Portable Schemes) Amendment Bill 2019 is to provide better protection for worker entitlements, remove administrative inconsistencies and provide more clarity for employers. The Bill strengthens compliance measures by </w:t>
      </w:r>
      <w:r>
        <w:t>modernising inspector powers, providing interest is payable on any levies that remain unpaid after the due date, and by inserting a new provision to enable the Authority to pursue company directors in situations where a levy remains unpaid and phoenix acti</w:t>
      </w:r>
      <w:r>
        <w:t>vity is involved. The Bill also make minor technical amendments to provide clarity, improve accuracy and correct omissions.</w:t>
      </w:r>
    </w:p>
    <w:p w:rsidR="00613520" w:rsidRDefault="00613520">
      <w:pPr>
        <w:pStyle w:val="BodyText"/>
        <w:spacing w:before="6"/>
        <w:rPr>
          <w:sz w:val="16"/>
        </w:rPr>
      </w:pPr>
    </w:p>
    <w:p w:rsidR="00613520" w:rsidRDefault="00DF3424">
      <w:pPr>
        <w:pStyle w:val="Heading2"/>
        <w:rPr>
          <w:u w:val="none"/>
        </w:rPr>
      </w:pPr>
      <w:r>
        <w:t>Human Rights Considerations</w:t>
      </w:r>
    </w:p>
    <w:p w:rsidR="00613520" w:rsidRDefault="00DF3424">
      <w:pPr>
        <w:spacing w:before="167" w:line="273" w:lineRule="auto"/>
        <w:ind w:left="100" w:right="278"/>
      </w:pPr>
      <w:r>
        <w:t xml:space="preserve">The amendments to the Act may engage the following rights under the </w:t>
      </w:r>
      <w:r>
        <w:rPr>
          <w:i/>
        </w:rPr>
        <w:t xml:space="preserve">Human Rights Act 2004 </w:t>
      </w:r>
      <w:r>
        <w:t>(HR Act):</w:t>
      </w:r>
    </w:p>
    <w:p w:rsidR="00613520" w:rsidRDefault="00613520">
      <w:pPr>
        <w:pStyle w:val="BodyText"/>
        <w:spacing w:before="8"/>
        <w:rPr>
          <w:sz w:val="16"/>
        </w:rPr>
      </w:pPr>
    </w:p>
    <w:p w:rsidR="00613520" w:rsidRDefault="00DF3424">
      <w:pPr>
        <w:pStyle w:val="ListParagraph"/>
        <w:numPr>
          <w:ilvl w:val="0"/>
          <w:numId w:val="1"/>
        </w:numPr>
        <w:tabs>
          <w:tab w:val="left" w:pos="820"/>
          <w:tab w:val="left" w:pos="821"/>
        </w:tabs>
      </w:pPr>
      <w:r>
        <w:t>se</w:t>
      </w:r>
      <w:r>
        <w:t>ction 12 (right to privacy and</w:t>
      </w:r>
      <w:r>
        <w:rPr>
          <w:spacing w:val="-6"/>
        </w:rPr>
        <w:t xml:space="preserve"> </w:t>
      </w:r>
      <w:r>
        <w:t>reputation);</w:t>
      </w:r>
    </w:p>
    <w:p w:rsidR="00613520" w:rsidRDefault="00DF3424">
      <w:pPr>
        <w:pStyle w:val="ListParagraph"/>
        <w:numPr>
          <w:ilvl w:val="0"/>
          <w:numId w:val="1"/>
        </w:numPr>
        <w:tabs>
          <w:tab w:val="left" w:pos="820"/>
          <w:tab w:val="left" w:pos="821"/>
        </w:tabs>
        <w:spacing w:before="42"/>
      </w:pPr>
      <w:r>
        <w:t>section 21 (right to fair trial);</w:t>
      </w:r>
      <w:r>
        <w:rPr>
          <w:spacing w:val="-2"/>
        </w:rPr>
        <w:t xml:space="preserve"> </w:t>
      </w:r>
      <w:r>
        <w:t>and</w:t>
      </w:r>
    </w:p>
    <w:p w:rsidR="00613520" w:rsidRDefault="00DF3424">
      <w:pPr>
        <w:pStyle w:val="ListParagraph"/>
        <w:numPr>
          <w:ilvl w:val="0"/>
          <w:numId w:val="1"/>
        </w:numPr>
        <w:tabs>
          <w:tab w:val="left" w:pos="820"/>
          <w:tab w:val="left" w:pos="821"/>
        </w:tabs>
        <w:spacing w:before="41"/>
      </w:pPr>
      <w:r>
        <w:t>section 22 (rights in criminal</w:t>
      </w:r>
      <w:r>
        <w:rPr>
          <w:spacing w:val="-4"/>
        </w:rPr>
        <w:t xml:space="preserve"> </w:t>
      </w:r>
      <w:r>
        <w:t>proceedings).</w:t>
      </w:r>
    </w:p>
    <w:p w:rsidR="00613520" w:rsidRDefault="00DF3424">
      <w:pPr>
        <w:pStyle w:val="BodyText"/>
        <w:spacing w:before="238" w:line="276" w:lineRule="auto"/>
        <w:ind w:left="100" w:right="624"/>
      </w:pPr>
      <w:r>
        <w:t>Human rights are subject to reasonable limits which are demonstrably justifiable, as outlined in section 28(2) of the HR Act.</w:t>
      </w:r>
    </w:p>
    <w:p w:rsidR="00613520" w:rsidRDefault="00613520">
      <w:pPr>
        <w:pStyle w:val="BodyText"/>
        <w:spacing w:before="6"/>
        <w:rPr>
          <w:sz w:val="16"/>
        </w:rPr>
      </w:pPr>
    </w:p>
    <w:p w:rsidR="00613520" w:rsidRDefault="00DF3424">
      <w:pPr>
        <w:pStyle w:val="Heading3"/>
        <w:rPr>
          <w:u w:val="none"/>
        </w:rPr>
      </w:pPr>
      <w:r>
        <w:t>Liability of company directors to pay levy</w:t>
      </w:r>
    </w:p>
    <w:p w:rsidR="00613520" w:rsidRDefault="00DF3424">
      <w:pPr>
        <w:pStyle w:val="BodyText"/>
        <w:spacing w:before="165" w:line="276" w:lineRule="auto"/>
        <w:ind w:left="100" w:right="259"/>
      </w:pPr>
      <w:r>
        <w:t>Clause 13 of the Bill introduces a new debt recovery provision which allows the Author</w:t>
      </w:r>
      <w:r>
        <w:t>ity to pursue the former director/s of a company that has an outstanding debt to the Authority in situations where phoenix activity is</w:t>
      </w:r>
      <w:r>
        <w:rPr>
          <w:spacing w:val="-5"/>
        </w:rPr>
        <w:t xml:space="preserve"> </w:t>
      </w:r>
      <w:r>
        <w:t>involved.</w:t>
      </w:r>
    </w:p>
    <w:p w:rsidR="00613520" w:rsidRDefault="00613520">
      <w:pPr>
        <w:pStyle w:val="BodyText"/>
        <w:spacing w:before="8"/>
        <w:rPr>
          <w:sz w:val="19"/>
        </w:rPr>
      </w:pPr>
    </w:p>
    <w:p w:rsidR="00613520" w:rsidRDefault="00DF3424">
      <w:pPr>
        <w:pStyle w:val="Heading4"/>
      </w:pPr>
      <w:r>
        <w:t>The nature of the right</w:t>
      </w:r>
      <w:r>
        <w:rPr>
          <w:spacing w:val="-11"/>
        </w:rPr>
        <w:t xml:space="preserve"> </w:t>
      </w:r>
      <w:r>
        <w:t>affected</w:t>
      </w:r>
    </w:p>
    <w:p w:rsidR="00613520" w:rsidRDefault="00DF3424">
      <w:pPr>
        <w:pStyle w:val="BodyText"/>
        <w:spacing w:before="103" w:line="276" w:lineRule="auto"/>
        <w:ind w:left="100" w:right="237"/>
      </w:pPr>
      <w:r>
        <w:t>The right to a fair trial includes all proceedings in a court or tribunal and</w:t>
      </w:r>
      <w:r>
        <w:t xml:space="preserve"> all stages of proceedings. It is concerned with procedural fairness, that is, the right of all parties in proceedings to be heard and respond to any allegations, and the requirement that the court be unbiased and independent. The nature of the right may b</w:t>
      </w:r>
      <w:r>
        <w:t>e absolute in itself, in that it can never be justified to hold an unfair trial, but many of the principles that characterise a fair trial are not absolute.</w:t>
      </w:r>
    </w:p>
    <w:p w:rsidR="00613520" w:rsidRDefault="00613520">
      <w:pPr>
        <w:pStyle w:val="BodyText"/>
        <w:spacing w:before="6"/>
        <w:rPr>
          <w:sz w:val="16"/>
        </w:rPr>
      </w:pPr>
    </w:p>
    <w:p w:rsidR="00613520" w:rsidRDefault="00DF3424">
      <w:pPr>
        <w:pStyle w:val="BodyText"/>
        <w:spacing w:line="276" w:lineRule="auto"/>
        <w:ind w:left="100" w:right="688"/>
      </w:pPr>
      <w:r>
        <w:t>The existence of unpaid levies is not affected by the amendments and there is substantial opportunity afforded to the registered employer to affect the commencement of any recovery actions taken by the Authority.</w:t>
      </w:r>
    </w:p>
    <w:p w:rsidR="00613520" w:rsidRDefault="00613520">
      <w:pPr>
        <w:pStyle w:val="BodyText"/>
        <w:spacing w:before="4"/>
        <w:rPr>
          <w:sz w:val="16"/>
        </w:rPr>
      </w:pPr>
    </w:p>
    <w:p w:rsidR="00613520" w:rsidRDefault="00DF3424">
      <w:pPr>
        <w:pStyle w:val="BodyText"/>
        <w:spacing w:line="276" w:lineRule="auto"/>
        <w:ind w:left="100" w:right="645"/>
      </w:pPr>
      <w:r>
        <w:t>Section 22(1) of the HR Act reads “everyon</w:t>
      </w:r>
      <w:r>
        <w:t>e charged with a criminal offence has the right to be presumed innocent until proven guilty according to the law”.</w:t>
      </w:r>
    </w:p>
    <w:p w:rsidR="00613520" w:rsidRDefault="00613520">
      <w:pPr>
        <w:spacing w:line="276" w:lineRule="auto"/>
        <w:sectPr w:rsidR="00613520">
          <w:pgSz w:w="11910" w:h="16840"/>
          <w:pgMar w:top="1400" w:right="1320" w:bottom="280" w:left="1340" w:header="720" w:footer="720" w:gutter="0"/>
          <w:cols w:space="720"/>
        </w:sectPr>
      </w:pPr>
    </w:p>
    <w:p w:rsidR="00613520" w:rsidRDefault="00DF3424">
      <w:pPr>
        <w:pStyle w:val="BodyText"/>
        <w:spacing w:before="41" w:line="276" w:lineRule="auto"/>
        <w:ind w:left="100" w:right="171"/>
      </w:pPr>
      <w:r>
        <w:lastRenderedPageBreak/>
        <w:t>Rights in criminal proceedings are not considered non-derogable and are capable of being subject to reasonable limitations, dem</w:t>
      </w:r>
      <w:r>
        <w:t>onstrably justified in a free and democratic society, pursuant to</w:t>
      </w:r>
    </w:p>
    <w:p w:rsidR="00613520" w:rsidRDefault="00DF3424">
      <w:pPr>
        <w:pStyle w:val="BodyText"/>
        <w:spacing w:line="268" w:lineRule="exact"/>
        <w:ind w:left="100"/>
      </w:pPr>
      <w:r>
        <w:t>section 28 of the HR Act.</w:t>
      </w:r>
    </w:p>
    <w:p w:rsidR="00613520" w:rsidRDefault="00613520">
      <w:pPr>
        <w:pStyle w:val="BodyText"/>
        <w:rPr>
          <w:sz w:val="23"/>
        </w:rPr>
      </w:pPr>
    </w:p>
    <w:p w:rsidR="00613520" w:rsidRDefault="00DF3424">
      <w:pPr>
        <w:pStyle w:val="Heading4"/>
      </w:pPr>
      <w:r>
        <w:t>The importance of the purpose of the limitation</w:t>
      </w:r>
    </w:p>
    <w:p w:rsidR="00613520" w:rsidRDefault="00DF3424">
      <w:pPr>
        <w:pStyle w:val="BodyText"/>
        <w:spacing w:before="103" w:line="276" w:lineRule="auto"/>
        <w:ind w:left="100" w:right="134"/>
      </w:pPr>
      <w:r>
        <w:t>Once a company is put into liquidation it can be difficult to recover debts. This is especially the case where a co</w:t>
      </w:r>
      <w:r>
        <w:t>mpany disposes of property in a way that has the effect of preventing the property from becoming available or hindering or significantly delaying the process of making the property available for the benefit of the company’s creditors in the winding-up of t</w:t>
      </w:r>
      <w:r>
        <w:t>he company. The limitation acknowledges that a company does not act independently to its directors and is intended to target company directors who engage in phoenix activity to deliberately avoid their legal</w:t>
      </w:r>
      <w:r>
        <w:rPr>
          <w:spacing w:val="-15"/>
        </w:rPr>
        <w:t xml:space="preserve"> </w:t>
      </w:r>
      <w:r>
        <w:t>obligations.</w:t>
      </w:r>
    </w:p>
    <w:p w:rsidR="00613520" w:rsidRDefault="00613520">
      <w:pPr>
        <w:pStyle w:val="BodyText"/>
        <w:spacing w:before="10"/>
        <w:rPr>
          <w:sz w:val="19"/>
        </w:rPr>
      </w:pPr>
    </w:p>
    <w:p w:rsidR="00613520" w:rsidRDefault="00DF3424">
      <w:pPr>
        <w:pStyle w:val="Heading4"/>
      </w:pPr>
      <w:r>
        <w:t>The nature and extent of the limit</w:t>
      </w:r>
      <w:r>
        <w:t>ation</w:t>
      </w:r>
    </w:p>
    <w:p w:rsidR="00613520" w:rsidRDefault="00DF3424">
      <w:pPr>
        <w:pStyle w:val="BodyText"/>
        <w:spacing w:before="104" w:line="276" w:lineRule="auto"/>
        <w:ind w:left="100" w:right="125"/>
      </w:pPr>
      <w:r>
        <w:t>The amendments involve minimal limitation on protected rights and these limitations will only apply in specific and limited circumstances. Namely, the new debt recovery provision will only apply where a person, who is the director of a phoenix compan</w:t>
      </w:r>
      <w:r>
        <w:t>y, was also a director of a defunct company at the time the company made a creditor-defeating disposition and the levy by the defunct company remains unpaid.</w:t>
      </w:r>
    </w:p>
    <w:p w:rsidR="00613520" w:rsidRDefault="00613520">
      <w:pPr>
        <w:pStyle w:val="BodyText"/>
        <w:spacing w:before="9"/>
        <w:rPr>
          <w:sz w:val="19"/>
        </w:rPr>
      </w:pPr>
    </w:p>
    <w:p w:rsidR="00613520" w:rsidRDefault="00DF3424">
      <w:pPr>
        <w:pStyle w:val="Heading4"/>
      </w:pPr>
      <w:r>
        <w:t>The relationship between the limitation and its purpose</w:t>
      </w:r>
    </w:p>
    <w:p w:rsidR="00613520" w:rsidRDefault="00DF3424">
      <w:pPr>
        <w:pStyle w:val="BodyText"/>
        <w:spacing w:before="103" w:line="276" w:lineRule="auto"/>
        <w:ind w:left="100" w:right="221"/>
      </w:pPr>
      <w:r>
        <w:t>The overarching intent of the new debt recovery provision is to protect portable long service leave revenue, which ultimately funds long service leave for workers in the covered industries, from phoenix practices. Debt recovery action also ensures that reg</w:t>
      </w:r>
      <w:r>
        <w:t>istered employers who pay their levies correctly and on time are not disadvantaged in relation to recalcitrant employers who avoid this obligation.</w:t>
      </w:r>
    </w:p>
    <w:p w:rsidR="00613520" w:rsidRDefault="00613520">
      <w:pPr>
        <w:pStyle w:val="BodyText"/>
        <w:spacing w:before="3"/>
        <w:rPr>
          <w:sz w:val="16"/>
        </w:rPr>
      </w:pPr>
    </w:p>
    <w:p w:rsidR="00613520" w:rsidRDefault="00DF3424">
      <w:pPr>
        <w:pStyle w:val="BodyText"/>
        <w:spacing w:before="1" w:line="276" w:lineRule="auto"/>
        <w:ind w:left="100" w:right="242"/>
      </w:pPr>
      <w:r>
        <w:t>While there is currently no legal definition of phoenix activity, it is generally understood to be the proc</w:t>
      </w:r>
      <w:r>
        <w:t>ess of ‘rebirthing’ an enterprise by stripping an insolvent company of any remaining assets and transferring them into a new entity which is essentially the same business. According to the Australian Tax Office, phoenix activity is particularly prevalent i</w:t>
      </w:r>
      <w:r>
        <w:t>n major centres in building and construction, labour hire, payroll services and security services. Two of these industries – building and construction and security services – are industries covered by portable long service leave in the ACT.</w:t>
      </w:r>
    </w:p>
    <w:p w:rsidR="00613520" w:rsidRDefault="00613520">
      <w:pPr>
        <w:pStyle w:val="BodyText"/>
        <w:spacing w:before="11"/>
        <w:rPr>
          <w:sz w:val="19"/>
        </w:rPr>
      </w:pPr>
    </w:p>
    <w:p w:rsidR="00613520" w:rsidRDefault="00DF3424">
      <w:pPr>
        <w:pStyle w:val="Heading4"/>
        <w:spacing w:line="276" w:lineRule="auto"/>
        <w:ind w:right="269"/>
      </w:pPr>
      <w:r>
        <w:t>The least rest</w:t>
      </w:r>
      <w:r>
        <w:t xml:space="preserve">rictive means reasonably available to achieve the purpose the limitation seeks </w:t>
      </w:r>
      <w:r>
        <w:t>to achieve</w:t>
      </w:r>
    </w:p>
    <w:p w:rsidR="00613520" w:rsidRDefault="00DF3424">
      <w:pPr>
        <w:pStyle w:val="BodyText"/>
        <w:spacing w:before="58" w:line="276" w:lineRule="auto"/>
        <w:ind w:left="100" w:right="580"/>
      </w:pPr>
      <w:r>
        <w:t>This is considered the least restrictive means reasonably available to protect Long Service Leave revenue from phoenix activity.</w:t>
      </w:r>
    </w:p>
    <w:p w:rsidR="00613520" w:rsidRDefault="00613520">
      <w:pPr>
        <w:pStyle w:val="BodyText"/>
        <w:spacing w:before="6"/>
        <w:rPr>
          <w:sz w:val="16"/>
        </w:rPr>
      </w:pPr>
    </w:p>
    <w:p w:rsidR="00613520" w:rsidRDefault="00DF3424">
      <w:pPr>
        <w:pStyle w:val="Heading3"/>
        <w:rPr>
          <w:u w:val="none"/>
        </w:rPr>
      </w:pPr>
      <w:r>
        <w:t>Inspector powers – privacy and reput</w:t>
      </w:r>
      <w:r>
        <w:t>ation</w:t>
      </w:r>
    </w:p>
    <w:p w:rsidR="00613520" w:rsidRDefault="00DF3424">
      <w:pPr>
        <w:pStyle w:val="BodyText"/>
        <w:spacing w:before="163" w:line="276" w:lineRule="auto"/>
        <w:ind w:left="100" w:right="401"/>
      </w:pPr>
      <w:r>
        <w:t xml:space="preserve">Clause 15 of the Bill provides that a portable long service leave inspector may, in writing, require certain parties to give the inspector information, or produce documents or anything else, that the person has, or has access to, that are reasonably </w:t>
      </w:r>
      <w:r>
        <w:t>required by the inspector for the Act.</w:t>
      </w:r>
    </w:p>
    <w:p w:rsidR="00613520" w:rsidRDefault="00613520">
      <w:pPr>
        <w:pStyle w:val="BodyText"/>
        <w:spacing w:before="3"/>
        <w:rPr>
          <w:sz w:val="16"/>
        </w:rPr>
      </w:pPr>
    </w:p>
    <w:p w:rsidR="00613520" w:rsidRDefault="00DF3424">
      <w:pPr>
        <w:pStyle w:val="BodyText"/>
        <w:spacing w:before="1"/>
        <w:ind w:left="100"/>
      </w:pPr>
      <w:r>
        <w:t>Section 12(a) of the HR Act states that –</w:t>
      </w:r>
    </w:p>
    <w:p w:rsidR="00613520" w:rsidRDefault="00613520">
      <w:pPr>
        <w:sectPr w:rsidR="00613520">
          <w:pgSz w:w="11910" w:h="16840"/>
          <w:pgMar w:top="1380" w:right="1320" w:bottom="280" w:left="1340" w:header="720" w:footer="720" w:gutter="0"/>
          <w:cols w:space="720"/>
        </w:sectPr>
      </w:pPr>
    </w:p>
    <w:p w:rsidR="00613520" w:rsidRDefault="00DF3424">
      <w:pPr>
        <w:spacing w:before="41" w:line="276" w:lineRule="auto"/>
        <w:ind w:left="100" w:right="154"/>
        <w:rPr>
          <w:i/>
        </w:rPr>
      </w:pPr>
      <w:r>
        <w:rPr>
          <w:i/>
        </w:rPr>
        <w:lastRenderedPageBreak/>
        <w:t>Everyone has the right not to have his or her privacy, family, home or correspondence interfered with unlawfully or arbitrarily.</w:t>
      </w:r>
    </w:p>
    <w:p w:rsidR="00613520" w:rsidRDefault="00613520">
      <w:pPr>
        <w:pStyle w:val="BodyText"/>
        <w:spacing w:before="10"/>
        <w:rPr>
          <w:i/>
          <w:sz w:val="19"/>
        </w:rPr>
      </w:pPr>
    </w:p>
    <w:p w:rsidR="00613520" w:rsidRDefault="00DF3424">
      <w:pPr>
        <w:pStyle w:val="Heading4"/>
      </w:pPr>
      <w:r>
        <w:t>The nature of the right affect</w:t>
      </w:r>
      <w:r>
        <w:t>ed</w:t>
      </w:r>
    </w:p>
    <w:p w:rsidR="00613520" w:rsidRDefault="00DF3424">
      <w:pPr>
        <w:pStyle w:val="BodyText"/>
        <w:spacing w:before="103" w:line="276" w:lineRule="auto"/>
        <w:ind w:left="100" w:right="123"/>
      </w:pPr>
      <w:r>
        <w:t>Section 12 of the HR Act gives effect to Article 17 of the International Covenant on Civil and Political Rights and protects individuals from unlawful and arbitrary interference with privacy relating to their family, home or correspondence. An interference</w:t>
      </w:r>
      <w:r>
        <w:t xml:space="preserve"> that is lawful may still be arbitrary if it is unreasonable or unjustified in all the circumstances of the case.</w:t>
      </w:r>
    </w:p>
    <w:p w:rsidR="00613520" w:rsidRDefault="00613520">
      <w:pPr>
        <w:pStyle w:val="BodyText"/>
        <w:spacing w:before="8"/>
        <w:rPr>
          <w:sz w:val="19"/>
        </w:rPr>
      </w:pPr>
    </w:p>
    <w:p w:rsidR="00613520" w:rsidRDefault="00DF3424">
      <w:pPr>
        <w:pStyle w:val="Heading4"/>
        <w:spacing w:before="1"/>
      </w:pPr>
      <w:r>
        <w:t>The importance of the purpose of the limitation</w:t>
      </w:r>
    </w:p>
    <w:p w:rsidR="00613520" w:rsidRDefault="00DF3424">
      <w:pPr>
        <w:pStyle w:val="BodyText"/>
        <w:spacing w:before="102" w:line="276" w:lineRule="auto"/>
        <w:ind w:left="100" w:right="110"/>
      </w:pPr>
      <w:r>
        <w:t>A long service leave inspector who enters premises under Part 8 of the Act may, in relation t</w:t>
      </w:r>
      <w:r>
        <w:t xml:space="preserve">o the premises or anything at the premises, require the occupier, or an employee or agent of the occupier, to give the inspector records, or copies of records, that the occupier, employee or agent has, or has access to, that are reasonably required by the </w:t>
      </w:r>
      <w:r>
        <w:t xml:space="preserve">inspector for the Act. This is currently the only way an inspector can require a registered employer to produce information on request. The process of obtaining information through firstly visiting a workplace is considered outdated and an inefficient use </w:t>
      </w:r>
      <w:r>
        <w:t>of limited resources. Clause 15 modernises inspector powers by providing inspectors can request the same type of information they would otherwise be able to obtain, inspect or copy, as part of an inspection carried out at a workplace, without having to fir</w:t>
      </w:r>
      <w:r>
        <w:t>stly attend that workplace.</w:t>
      </w:r>
    </w:p>
    <w:p w:rsidR="00613520" w:rsidRDefault="00613520">
      <w:pPr>
        <w:pStyle w:val="BodyText"/>
        <w:spacing w:before="9"/>
        <w:rPr>
          <w:sz w:val="19"/>
        </w:rPr>
      </w:pPr>
    </w:p>
    <w:p w:rsidR="00613520" w:rsidRDefault="00DF3424">
      <w:pPr>
        <w:pStyle w:val="Heading4"/>
      </w:pPr>
      <w:r>
        <w:t>The nature and extent of the limitation</w:t>
      </w:r>
    </w:p>
    <w:p w:rsidR="00613520" w:rsidRDefault="00DF3424">
      <w:pPr>
        <w:pStyle w:val="BodyText"/>
        <w:spacing w:before="103" w:line="276" w:lineRule="auto"/>
        <w:ind w:left="100" w:right="133"/>
      </w:pPr>
      <w:r>
        <w:t>The Bill provides for modernised inspector powers to obtain, inspect and copy records. The operation of the modernised powers under the Bill have incorporated safeguards and limitations on their use to ensure that, wherever possible, the impact of these po</w:t>
      </w:r>
      <w:r>
        <w:t>wers on individual rights is restricted. Accordingly, clause 15 provides the power to obtain, inspect and copy records can only be exercised by inspectors appointed under section 71 of the Act and is limited to records required by the inspector for the Act</w:t>
      </w:r>
      <w:r>
        <w:t>. Further, requests for records must be in writing and can only be given to the parties prescribed in the</w:t>
      </w:r>
      <w:r>
        <w:rPr>
          <w:spacing w:val="-1"/>
        </w:rPr>
        <w:t xml:space="preserve"> </w:t>
      </w:r>
      <w:r>
        <w:t>Bill.</w:t>
      </w:r>
    </w:p>
    <w:p w:rsidR="00613520" w:rsidRDefault="00613520">
      <w:pPr>
        <w:pStyle w:val="BodyText"/>
        <w:spacing w:before="4"/>
        <w:rPr>
          <w:sz w:val="16"/>
        </w:rPr>
      </w:pPr>
    </w:p>
    <w:p w:rsidR="00613520" w:rsidRDefault="00DF3424">
      <w:pPr>
        <w:pStyle w:val="BodyText"/>
        <w:spacing w:before="1" w:line="276" w:lineRule="auto"/>
        <w:ind w:left="100" w:right="111"/>
      </w:pPr>
      <w:r>
        <w:t>In addition, regard has been had to the right to privacy and the fact that there is a long-standing expectation that businesses and undertaking</w:t>
      </w:r>
      <w:r>
        <w:t xml:space="preserve">s will be scrutinised with respect to compliance. The use or disclosure of personal information obtained under the Act must also be read and applied in the context of the </w:t>
      </w:r>
      <w:r>
        <w:rPr>
          <w:i/>
        </w:rPr>
        <w:t>Privacy Act 2014</w:t>
      </w:r>
      <w:r>
        <w:t>.</w:t>
      </w:r>
    </w:p>
    <w:p w:rsidR="00613520" w:rsidRDefault="00613520">
      <w:pPr>
        <w:pStyle w:val="BodyText"/>
        <w:spacing w:before="11"/>
        <w:rPr>
          <w:sz w:val="19"/>
        </w:rPr>
      </w:pPr>
    </w:p>
    <w:p w:rsidR="00613520" w:rsidRDefault="00DF3424">
      <w:pPr>
        <w:pStyle w:val="Heading4"/>
      </w:pPr>
      <w:r>
        <w:t>The relationship between the limitation and its purpose</w:t>
      </w:r>
    </w:p>
    <w:p w:rsidR="00613520" w:rsidRDefault="00DF3424">
      <w:pPr>
        <w:pStyle w:val="BodyText"/>
        <w:spacing w:before="103" w:line="276" w:lineRule="auto"/>
        <w:ind w:left="100" w:right="270"/>
      </w:pPr>
      <w:r>
        <w:t>The need f</w:t>
      </w:r>
      <w:r>
        <w:t>or an inspector to firstly enter a workplace in order to exercise powers to obtain, inspect and copy records is time consuming and impacts the Authority’s capacity to efficiently perform its regulatory compliance functions. By providing that inspectors can</w:t>
      </w:r>
      <w:r>
        <w:t xml:space="preserve"> request records without firstly needing to enter a workplace, the limitation represents a proportionate measure for obtaining necessary records as it significantly increases the effectiveness and efficiency of the Authority’s regulatory operations.</w:t>
      </w:r>
    </w:p>
    <w:p w:rsidR="00613520" w:rsidRDefault="00613520">
      <w:pPr>
        <w:spacing w:line="276" w:lineRule="auto"/>
        <w:sectPr w:rsidR="00613520">
          <w:pgSz w:w="11910" w:h="16840"/>
          <w:pgMar w:top="1380" w:right="1320" w:bottom="280" w:left="1340" w:header="720" w:footer="720" w:gutter="0"/>
          <w:cols w:space="720"/>
        </w:sectPr>
      </w:pPr>
    </w:p>
    <w:p w:rsidR="00613520" w:rsidRDefault="00DF3424">
      <w:pPr>
        <w:pStyle w:val="Heading4"/>
        <w:spacing w:before="41" w:line="276" w:lineRule="auto"/>
        <w:ind w:right="269"/>
      </w:pPr>
      <w:r>
        <w:lastRenderedPageBreak/>
        <w:t xml:space="preserve">The least restrictive means reasonably available to achieve the purpose the limitation seeks </w:t>
      </w:r>
      <w:r>
        <w:t>to achieve</w:t>
      </w:r>
    </w:p>
    <w:p w:rsidR="00613520" w:rsidRDefault="00DF3424">
      <w:pPr>
        <w:pStyle w:val="BodyText"/>
        <w:spacing w:before="61" w:line="276" w:lineRule="auto"/>
        <w:ind w:left="100" w:right="473"/>
      </w:pPr>
      <w:r>
        <w:t>This is considered the least restrictive means reasonably available for the Authority to obtain, inspect and copy the records necessary for the effective and efficient administration, compliance and enforcement of the Act.</w:t>
      </w:r>
    </w:p>
    <w:p w:rsidR="00613520" w:rsidRDefault="00613520">
      <w:pPr>
        <w:pStyle w:val="BodyText"/>
        <w:spacing w:before="3"/>
        <w:rPr>
          <w:sz w:val="16"/>
        </w:rPr>
      </w:pPr>
    </w:p>
    <w:p w:rsidR="00613520" w:rsidRDefault="00DF3424">
      <w:pPr>
        <w:pStyle w:val="Heading2"/>
        <w:spacing w:before="1"/>
        <w:rPr>
          <w:u w:val="none"/>
        </w:rPr>
      </w:pPr>
      <w:r>
        <w:t>Climate Change Vulnerability Ass</w:t>
      </w:r>
      <w:r>
        <w:t>essment</w:t>
      </w:r>
    </w:p>
    <w:p w:rsidR="00613520" w:rsidRDefault="00DF3424">
      <w:pPr>
        <w:pStyle w:val="BodyText"/>
        <w:spacing w:before="167"/>
        <w:ind w:left="100"/>
      </w:pPr>
      <w:r>
        <w:t>There are no climate change implications associated with the Bill.</w:t>
      </w:r>
    </w:p>
    <w:p w:rsidR="00613520" w:rsidRDefault="00613520">
      <w:pPr>
        <w:sectPr w:rsidR="00613520">
          <w:pgSz w:w="11910" w:h="16840"/>
          <w:pgMar w:top="1380" w:right="1320" w:bottom="280" w:left="1340" w:header="720" w:footer="720" w:gutter="0"/>
          <w:cols w:space="720"/>
        </w:sectPr>
      </w:pPr>
    </w:p>
    <w:p w:rsidR="00613520" w:rsidRDefault="00DF3424">
      <w:pPr>
        <w:pStyle w:val="Heading1"/>
        <w:spacing w:before="21"/>
        <w:ind w:right="471"/>
      </w:pPr>
      <w:r>
        <w:lastRenderedPageBreak/>
        <w:t>SUMMARY OF CLAUSES</w:t>
      </w:r>
    </w:p>
    <w:p w:rsidR="00613520" w:rsidRDefault="00613520">
      <w:pPr>
        <w:pStyle w:val="BodyText"/>
        <w:rPr>
          <w:b/>
          <w:sz w:val="15"/>
        </w:rPr>
      </w:pPr>
    </w:p>
    <w:p w:rsidR="00613520" w:rsidRDefault="00DF3424">
      <w:pPr>
        <w:pStyle w:val="Heading5"/>
        <w:tabs>
          <w:tab w:val="left" w:pos="1540"/>
        </w:tabs>
        <w:spacing w:before="56"/>
      </w:pPr>
      <w:r>
        <w:t>Clause</w:t>
      </w:r>
      <w:r>
        <w:rPr>
          <w:spacing w:val="-4"/>
        </w:rPr>
        <w:t xml:space="preserve"> </w:t>
      </w:r>
      <w:r>
        <w:t>1</w:t>
      </w:r>
      <w:r>
        <w:tab/>
        <w:t>Name of</w:t>
      </w:r>
      <w:r>
        <w:rPr>
          <w:spacing w:val="-2"/>
        </w:rPr>
        <w:t xml:space="preserve"> </w:t>
      </w:r>
      <w:r>
        <w:t>Act</w:t>
      </w:r>
    </w:p>
    <w:p w:rsidR="00613520" w:rsidRDefault="00613520">
      <w:pPr>
        <w:pStyle w:val="BodyText"/>
        <w:spacing w:before="8"/>
        <w:rPr>
          <w:b/>
          <w:sz w:val="19"/>
        </w:rPr>
      </w:pPr>
    </w:p>
    <w:p w:rsidR="00613520" w:rsidRDefault="00DF3424">
      <w:pPr>
        <w:spacing w:line="276" w:lineRule="auto"/>
        <w:ind w:left="100" w:right="310"/>
      </w:pPr>
      <w:r>
        <w:t xml:space="preserve">This is a technical clause that sets out the name of the Bill, once enacted, as </w:t>
      </w:r>
      <w:r>
        <w:rPr>
          <w:i/>
        </w:rPr>
        <w:t>the Long Service Leave (Portable Schemes) Ame</w:t>
      </w:r>
      <w:r>
        <w:rPr>
          <w:i/>
        </w:rPr>
        <w:t xml:space="preserve">ndment Act 2019 </w:t>
      </w:r>
      <w:r>
        <w:t>(the Act).</w:t>
      </w:r>
    </w:p>
    <w:p w:rsidR="00613520" w:rsidRDefault="00613520">
      <w:pPr>
        <w:pStyle w:val="BodyText"/>
        <w:spacing w:before="5"/>
        <w:rPr>
          <w:sz w:val="16"/>
        </w:rPr>
      </w:pPr>
    </w:p>
    <w:p w:rsidR="00613520" w:rsidRDefault="00DF3424">
      <w:pPr>
        <w:pStyle w:val="Heading5"/>
        <w:tabs>
          <w:tab w:val="left" w:pos="1540"/>
        </w:tabs>
        <w:spacing w:before="1"/>
      </w:pPr>
      <w:r>
        <w:t>Clause</w:t>
      </w:r>
      <w:r>
        <w:rPr>
          <w:spacing w:val="-4"/>
        </w:rPr>
        <w:t xml:space="preserve"> </w:t>
      </w:r>
      <w:r>
        <w:t>2</w:t>
      </w:r>
      <w:r>
        <w:tab/>
        <w:t>Commencement</w:t>
      </w:r>
    </w:p>
    <w:p w:rsidR="00613520" w:rsidRDefault="00613520">
      <w:pPr>
        <w:pStyle w:val="BodyText"/>
        <w:spacing w:before="8"/>
        <w:rPr>
          <w:b/>
          <w:sz w:val="19"/>
        </w:rPr>
      </w:pPr>
    </w:p>
    <w:p w:rsidR="00613520" w:rsidRDefault="00DF3424">
      <w:pPr>
        <w:pStyle w:val="BodyText"/>
        <w:ind w:left="100"/>
      </w:pPr>
      <w:r>
        <w:t>This clause provides that the Act commences on 1 January 2020.</w:t>
      </w:r>
    </w:p>
    <w:p w:rsidR="00613520" w:rsidRDefault="00613520">
      <w:pPr>
        <w:pStyle w:val="BodyText"/>
        <w:spacing w:before="8"/>
        <w:rPr>
          <w:sz w:val="19"/>
        </w:rPr>
      </w:pPr>
    </w:p>
    <w:p w:rsidR="00613520" w:rsidRDefault="00DF3424">
      <w:pPr>
        <w:pStyle w:val="Heading5"/>
        <w:tabs>
          <w:tab w:val="left" w:pos="1540"/>
        </w:tabs>
      </w:pPr>
      <w:r>
        <w:t>Clause</w:t>
      </w:r>
      <w:r>
        <w:rPr>
          <w:spacing w:val="-4"/>
        </w:rPr>
        <w:t xml:space="preserve"> </w:t>
      </w:r>
      <w:r>
        <w:t>3</w:t>
      </w:r>
      <w:r>
        <w:tab/>
        <w:t>Legislation</w:t>
      </w:r>
      <w:r>
        <w:rPr>
          <w:spacing w:val="-1"/>
        </w:rPr>
        <w:t xml:space="preserve"> </w:t>
      </w:r>
      <w:r>
        <w:t>amended</w:t>
      </w:r>
    </w:p>
    <w:p w:rsidR="00613520" w:rsidRDefault="00613520">
      <w:pPr>
        <w:pStyle w:val="BodyText"/>
        <w:spacing w:before="8"/>
        <w:rPr>
          <w:b/>
          <w:sz w:val="19"/>
        </w:rPr>
      </w:pPr>
    </w:p>
    <w:p w:rsidR="00613520" w:rsidRDefault="00DF3424">
      <w:pPr>
        <w:spacing w:before="1"/>
        <w:ind w:left="100"/>
        <w:rPr>
          <w:i/>
        </w:rPr>
      </w:pPr>
      <w:r>
        <w:t xml:space="preserve">This clause provides that the Act amends the </w:t>
      </w:r>
      <w:r>
        <w:rPr>
          <w:i/>
        </w:rPr>
        <w:t>Long Service Leave (Portable Schemes) Act 2009</w:t>
      </w:r>
    </w:p>
    <w:p w:rsidR="00613520" w:rsidRDefault="00DF3424">
      <w:pPr>
        <w:pStyle w:val="BodyText"/>
        <w:spacing w:before="41"/>
        <w:ind w:left="100"/>
      </w:pPr>
      <w:r>
        <w:t>(the Act).</w:t>
      </w:r>
    </w:p>
    <w:p w:rsidR="00613520" w:rsidRDefault="00613520">
      <w:pPr>
        <w:pStyle w:val="BodyText"/>
        <w:spacing w:before="8"/>
        <w:rPr>
          <w:sz w:val="19"/>
        </w:rPr>
      </w:pPr>
    </w:p>
    <w:p w:rsidR="00613520" w:rsidRDefault="00DF3424">
      <w:pPr>
        <w:pStyle w:val="Heading5"/>
        <w:tabs>
          <w:tab w:val="left" w:pos="1540"/>
        </w:tabs>
        <w:spacing w:before="1"/>
      </w:pPr>
      <w:r>
        <w:t>Clause</w:t>
      </w:r>
      <w:r>
        <w:rPr>
          <w:spacing w:val="-4"/>
        </w:rPr>
        <w:t xml:space="preserve"> </w:t>
      </w:r>
      <w:r>
        <w:t>4</w:t>
      </w:r>
      <w:r>
        <w:tab/>
        <w:t>Section</w:t>
      </w:r>
      <w:r>
        <w:rPr>
          <w:spacing w:val="-1"/>
        </w:rPr>
        <w:t xml:space="preserve"> </w:t>
      </w:r>
      <w:r>
        <w:t>10</w:t>
      </w:r>
    </w:p>
    <w:p w:rsidR="00613520" w:rsidRDefault="00613520">
      <w:pPr>
        <w:pStyle w:val="BodyText"/>
        <w:spacing w:before="8"/>
        <w:rPr>
          <w:b/>
          <w:sz w:val="19"/>
        </w:rPr>
      </w:pPr>
    </w:p>
    <w:p w:rsidR="00613520" w:rsidRDefault="00DF3424">
      <w:pPr>
        <w:pStyle w:val="BodyText"/>
        <w:ind w:left="100"/>
      </w:pPr>
      <w:r>
        <w:t>Workers covered by the Act are currently classified as either an ‘employee’ or a ‘contractor’ (a</w:t>
      </w:r>
    </w:p>
    <w:p w:rsidR="00613520" w:rsidRDefault="00DF3424">
      <w:pPr>
        <w:pStyle w:val="BodyText"/>
        <w:spacing w:before="41" w:line="273" w:lineRule="auto"/>
        <w:ind w:left="100" w:right="199"/>
      </w:pPr>
      <w:r>
        <w:t xml:space="preserve">‘working director’ is currently classified as a ‘contractor’). This clause introduces the term ‘voluntary member’, which is a </w:t>
      </w:r>
      <w:r>
        <w:t>more appropriate term to cover both contractors and working directors.</w:t>
      </w:r>
    </w:p>
    <w:p w:rsidR="00613520" w:rsidRDefault="00613520">
      <w:pPr>
        <w:pStyle w:val="BodyText"/>
        <w:spacing w:before="8"/>
        <w:rPr>
          <w:sz w:val="16"/>
        </w:rPr>
      </w:pPr>
    </w:p>
    <w:p w:rsidR="00613520" w:rsidRDefault="00DF3424">
      <w:pPr>
        <w:pStyle w:val="BodyText"/>
        <w:ind w:left="100"/>
      </w:pPr>
      <w:r>
        <w:t>The definitions given to ‘contractor’ and ‘working member’ are unchanged.</w:t>
      </w:r>
    </w:p>
    <w:p w:rsidR="00613520" w:rsidRDefault="00613520">
      <w:pPr>
        <w:pStyle w:val="BodyText"/>
        <w:spacing w:before="8"/>
        <w:rPr>
          <w:sz w:val="19"/>
        </w:rPr>
      </w:pPr>
    </w:p>
    <w:p w:rsidR="00613520" w:rsidRDefault="00DF3424">
      <w:pPr>
        <w:pStyle w:val="Heading5"/>
        <w:tabs>
          <w:tab w:val="left" w:pos="1540"/>
        </w:tabs>
        <w:spacing w:before="1"/>
      </w:pPr>
      <w:r>
        <w:t>Clause</w:t>
      </w:r>
      <w:r>
        <w:rPr>
          <w:spacing w:val="-4"/>
        </w:rPr>
        <w:t xml:space="preserve"> </w:t>
      </w:r>
      <w:r>
        <w:t>5</w:t>
      </w:r>
      <w:r>
        <w:tab/>
        <w:t>Service credit – employee’s prior service</w:t>
      </w:r>
    </w:p>
    <w:p w:rsidR="00613520" w:rsidRDefault="00DF3424">
      <w:pPr>
        <w:spacing w:before="41"/>
        <w:ind w:left="1540"/>
        <w:rPr>
          <w:b/>
        </w:rPr>
      </w:pPr>
      <w:r>
        <w:rPr>
          <w:b/>
        </w:rPr>
        <w:t>Section 47(1)</w:t>
      </w:r>
    </w:p>
    <w:p w:rsidR="00613520" w:rsidRDefault="00613520">
      <w:pPr>
        <w:pStyle w:val="BodyText"/>
        <w:spacing w:before="8"/>
        <w:rPr>
          <w:b/>
          <w:sz w:val="19"/>
        </w:rPr>
      </w:pPr>
    </w:p>
    <w:p w:rsidR="00613520" w:rsidRDefault="00DF3424">
      <w:pPr>
        <w:pStyle w:val="BodyText"/>
        <w:spacing w:line="276" w:lineRule="auto"/>
        <w:ind w:left="100" w:right="104"/>
      </w:pPr>
      <w:r>
        <w:t>This clause removes a four-year time limit for an employee’s service credit prior to registration, in a covered industry, allowing for an unlimited amount of unrecorded service to be recognised in certain situations, at the discretion of the Registrar. Thi</w:t>
      </w:r>
      <w:r>
        <w:t>s is to ensure an individual is not unfairly disadvantaged by the current legislative timeframe and only applies in situations where the</w:t>
      </w:r>
    </w:p>
    <w:p w:rsidR="00613520" w:rsidRDefault="00DF3424">
      <w:pPr>
        <w:pStyle w:val="BodyText"/>
        <w:spacing w:before="1" w:line="276" w:lineRule="auto"/>
        <w:ind w:left="100" w:right="617"/>
        <w:jc w:val="both"/>
      </w:pPr>
      <w:r>
        <w:t>individual’s employer complies with section 49 (Quarterly returns by employers) and section 50 (Levy payments by employ</w:t>
      </w:r>
      <w:r>
        <w:t>ers) under the Act in relation to the individual. Where one or both of these requirements have not been met, section 47 (3) continues to apply.</w:t>
      </w:r>
    </w:p>
    <w:p w:rsidR="00613520" w:rsidRDefault="00613520">
      <w:pPr>
        <w:pStyle w:val="BodyText"/>
        <w:spacing w:before="4"/>
        <w:rPr>
          <w:sz w:val="16"/>
        </w:rPr>
      </w:pPr>
    </w:p>
    <w:p w:rsidR="00613520" w:rsidRDefault="00DF3424">
      <w:pPr>
        <w:pStyle w:val="Heading5"/>
        <w:tabs>
          <w:tab w:val="left" w:pos="1540"/>
        </w:tabs>
      </w:pPr>
      <w:r>
        <w:t>Clause</w:t>
      </w:r>
      <w:r>
        <w:rPr>
          <w:spacing w:val="-4"/>
        </w:rPr>
        <w:t xml:space="preserve"> </w:t>
      </w:r>
      <w:r>
        <w:t>6</w:t>
      </w:r>
      <w:r>
        <w:tab/>
        <w:t>Section 47(3) and example and</w:t>
      </w:r>
      <w:r>
        <w:rPr>
          <w:spacing w:val="-3"/>
        </w:rPr>
        <w:t xml:space="preserve"> </w:t>
      </w:r>
      <w:r>
        <w:t>note</w:t>
      </w:r>
    </w:p>
    <w:p w:rsidR="00613520" w:rsidRDefault="00613520">
      <w:pPr>
        <w:pStyle w:val="BodyText"/>
        <w:spacing w:before="8"/>
        <w:rPr>
          <w:b/>
          <w:sz w:val="19"/>
        </w:rPr>
      </w:pPr>
    </w:p>
    <w:p w:rsidR="00613520" w:rsidRDefault="00DF3424">
      <w:pPr>
        <w:pStyle w:val="BodyText"/>
        <w:spacing w:line="276" w:lineRule="auto"/>
        <w:ind w:left="100" w:right="232"/>
      </w:pPr>
      <w:r>
        <w:t>This clause ensures that up to a maximum of one year of unrecorded service of an employee can be credited by the Authority in certain circumstances where the employee was employed in the covered industry.</w:t>
      </w:r>
    </w:p>
    <w:p w:rsidR="00613520" w:rsidRDefault="00613520">
      <w:pPr>
        <w:pStyle w:val="BodyText"/>
        <w:spacing w:before="4"/>
        <w:rPr>
          <w:sz w:val="16"/>
        </w:rPr>
      </w:pPr>
    </w:p>
    <w:p w:rsidR="00613520" w:rsidRDefault="00DF3424">
      <w:pPr>
        <w:pStyle w:val="Heading5"/>
        <w:tabs>
          <w:tab w:val="left" w:pos="1540"/>
        </w:tabs>
      </w:pPr>
      <w:r>
        <w:t>Clause</w:t>
      </w:r>
      <w:r>
        <w:rPr>
          <w:spacing w:val="-4"/>
        </w:rPr>
        <w:t xml:space="preserve"> </w:t>
      </w:r>
      <w:r>
        <w:t>7</w:t>
      </w:r>
      <w:r>
        <w:tab/>
        <w:t>New section</w:t>
      </w:r>
      <w:r>
        <w:rPr>
          <w:spacing w:val="-2"/>
        </w:rPr>
        <w:t xml:space="preserve"> </w:t>
      </w:r>
      <w:r>
        <w:t>47A</w:t>
      </w:r>
    </w:p>
    <w:p w:rsidR="00613520" w:rsidRDefault="00613520">
      <w:pPr>
        <w:pStyle w:val="BodyText"/>
        <w:spacing w:before="11"/>
        <w:rPr>
          <w:b/>
          <w:sz w:val="19"/>
        </w:rPr>
      </w:pPr>
    </w:p>
    <w:p w:rsidR="00613520" w:rsidRDefault="00DF3424">
      <w:pPr>
        <w:pStyle w:val="BodyText"/>
        <w:spacing w:line="276" w:lineRule="auto"/>
        <w:ind w:left="100" w:right="113"/>
      </w:pPr>
      <w:r>
        <w:t>This clause inserts a ne</w:t>
      </w:r>
      <w:r>
        <w:t>w section which applies to a registered employee who has unrecorded service in a covered industry because their employer ceases to trade or operate in the ACT. Accordingly, the Registrar may credit a registered employee with one day of service in the worke</w:t>
      </w:r>
      <w:r>
        <w:t>rs register for a covered industry for each day of service up to a maximum of one year of unrecorded service where the employee was employed in the covered industry.</w:t>
      </w:r>
    </w:p>
    <w:p w:rsidR="00613520" w:rsidRDefault="00613520">
      <w:pPr>
        <w:spacing w:line="276" w:lineRule="auto"/>
        <w:sectPr w:rsidR="00613520">
          <w:pgSz w:w="11910" w:h="16840"/>
          <w:pgMar w:top="1400" w:right="1320" w:bottom="280" w:left="1340" w:header="720" w:footer="720" w:gutter="0"/>
          <w:cols w:space="720"/>
        </w:sectPr>
      </w:pPr>
    </w:p>
    <w:p w:rsidR="00613520" w:rsidRDefault="00DF3424">
      <w:pPr>
        <w:pStyle w:val="Heading5"/>
        <w:tabs>
          <w:tab w:val="left" w:pos="1540"/>
        </w:tabs>
        <w:spacing w:before="41"/>
      </w:pPr>
      <w:r>
        <w:lastRenderedPageBreak/>
        <w:t>Clause</w:t>
      </w:r>
      <w:r>
        <w:rPr>
          <w:spacing w:val="-4"/>
        </w:rPr>
        <w:t xml:space="preserve"> </w:t>
      </w:r>
      <w:r>
        <w:t>8</w:t>
      </w:r>
      <w:r>
        <w:tab/>
        <w:t>Section</w:t>
      </w:r>
      <w:r>
        <w:rPr>
          <w:spacing w:val="-1"/>
        </w:rPr>
        <w:t xml:space="preserve"> </w:t>
      </w:r>
      <w:r>
        <w:t>49</w:t>
      </w:r>
    </w:p>
    <w:p w:rsidR="00613520" w:rsidRDefault="00613520">
      <w:pPr>
        <w:pStyle w:val="BodyText"/>
        <w:spacing w:before="8"/>
        <w:rPr>
          <w:b/>
          <w:sz w:val="19"/>
        </w:rPr>
      </w:pPr>
    </w:p>
    <w:p w:rsidR="00613520" w:rsidRDefault="00DF3424">
      <w:pPr>
        <w:pStyle w:val="BodyText"/>
        <w:ind w:left="100"/>
      </w:pPr>
      <w:r>
        <w:t>This clause amends section 49 of the Act and introduces</w:t>
      </w:r>
      <w:r>
        <w:t xml:space="preserve"> a new section 49A.</w:t>
      </w:r>
    </w:p>
    <w:p w:rsidR="00613520" w:rsidRDefault="00613520">
      <w:pPr>
        <w:pStyle w:val="BodyText"/>
        <w:spacing w:before="8"/>
        <w:rPr>
          <w:sz w:val="19"/>
        </w:rPr>
      </w:pPr>
    </w:p>
    <w:p w:rsidR="00613520" w:rsidRDefault="00DF3424">
      <w:pPr>
        <w:pStyle w:val="BodyText"/>
        <w:spacing w:before="1" w:line="276" w:lineRule="auto"/>
        <w:ind w:left="100" w:right="209"/>
      </w:pPr>
      <w:r>
        <w:t xml:space="preserve">It would amend the penalty structure to shift the strict liability criminal offence from being in relation to subsection (1) for breaching the requirement to lodge a return to a strict liability offence that would apply if a return is </w:t>
      </w:r>
      <w:r>
        <w:t>not lodged within three months after the end of a quarter. This will facilitate the imposition of an infringement notice penalty on non-compliance at three months after the end of the quarter.</w:t>
      </w:r>
    </w:p>
    <w:p w:rsidR="00613520" w:rsidRDefault="00613520">
      <w:pPr>
        <w:pStyle w:val="BodyText"/>
        <w:spacing w:before="5"/>
        <w:rPr>
          <w:sz w:val="16"/>
        </w:rPr>
      </w:pPr>
    </w:p>
    <w:p w:rsidR="00613520" w:rsidRDefault="00DF3424">
      <w:pPr>
        <w:pStyle w:val="BodyText"/>
        <w:spacing w:line="276" w:lineRule="auto"/>
        <w:ind w:left="100" w:right="141"/>
      </w:pPr>
      <w:r>
        <w:t>Section 49A would carry across an existing provision (currentl</w:t>
      </w:r>
      <w:r>
        <w:t>y located under section 52 of the Act) relating to where an employer for a covered industry fails to give the Authority a return for a quarter by the due date. This new section will apply late fees to non-compliance with the requirement to lodge a quarterl</w:t>
      </w:r>
      <w:r>
        <w:t>y return at the end of a quarter. The application of a late fee is used as a regulatory incentive to encourage employers to lodge their quarterly returns on time. Regulatory incentives also acknowledge that where employers are late in lodging a return ther</w:t>
      </w:r>
      <w:r>
        <w:t>e are administrative costs associated with regulatory activities of the</w:t>
      </w:r>
      <w:r>
        <w:rPr>
          <w:spacing w:val="-6"/>
        </w:rPr>
        <w:t xml:space="preserve"> </w:t>
      </w:r>
      <w:r>
        <w:t>Authority.</w:t>
      </w:r>
    </w:p>
    <w:p w:rsidR="00613520" w:rsidRDefault="00613520">
      <w:pPr>
        <w:pStyle w:val="BodyText"/>
        <w:spacing w:before="5"/>
        <w:rPr>
          <w:sz w:val="16"/>
        </w:rPr>
      </w:pPr>
    </w:p>
    <w:p w:rsidR="00613520" w:rsidRDefault="00DF3424">
      <w:pPr>
        <w:pStyle w:val="BodyText"/>
        <w:spacing w:line="276" w:lineRule="auto"/>
        <w:ind w:left="100" w:right="843"/>
      </w:pPr>
      <w:r>
        <w:t>As a result, late fees will no longer apply to non-compliance with section 50 in relation to the payment of levies.</w:t>
      </w:r>
    </w:p>
    <w:p w:rsidR="00613520" w:rsidRDefault="00613520">
      <w:pPr>
        <w:pStyle w:val="BodyText"/>
        <w:spacing w:before="5"/>
        <w:rPr>
          <w:sz w:val="16"/>
        </w:rPr>
      </w:pPr>
    </w:p>
    <w:p w:rsidR="00613520" w:rsidRDefault="00DF3424">
      <w:pPr>
        <w:pStyle w:val="Heading5"/>
        <w:tabs>
          <w:tab w:val="left" w:pos="1540"/>
        </w:tabs>
      </w:pPr>
      <w:r>
        <w:t>Clause</w:t>
      </w:r>
      <w:r>
        <w:rPr>
          <w:spacing w:val="-4"/>
        </w:rPr>
        <w:t xml:space="preserve"> </w:t>
      </w:r>
      <w:r>
        <w:t>9</w:t>
      </w:r>
      <w:r>
        <w:tab/>
        <w:t>Section</w:t>
      </w:r>
      <w:r>
        <w:rPr>
          <w:spacing w:val="-1"/>
        </w:rPr>
        <w:t xml:space="preserve"> </w:t>
      </w:r>
      <w:r>
        <w:t>52</w:t>
      </w:r>
    </w:p>
    <w:p w:rsidR="00613520" w:rsidRDefault="00613520">
      <w:pPr>
        <w:pStyle w:val="BodyText"/>
        <w:spacing w:before="9"/>
        <w:rPr>
          <w:b/>
          <w:sz w:val="19"/>
        </w:rPr>
      </w:pPr>
    </w:p>
    <w:p w:rsidR="00613520" w:rsidRDefault="00DF3424">
      <w:pPr>
        <w:pStyle w:val="BodyText"/>
        <w:spacing w:line="276" w:lineRule="auto"/>
        <w:ind w:left="100" w:right="584"/>
      </w:pPr>
      <w:r>
        <w:t>The long service leave portable schemes are funded through levies on employers in covered industries. Where an employer fails to pay the levy on time or at all, the shortfall is absorbed by compliant employers.</w:t>
      </w:r>
    </w:p>
    <w:p w:rsidR="00613520" w:rsidRDefault="00613520">
      <w:pPr>
        <w:pStyle w:val="BodyText"/>
        <w:spacing w:before="3"/>
        <w:rPr>
          <w:sz w:val="16"/>
        </w:rPr>
      </w:pPr>
    </w:p>
    <w:p w:rsidR="00613520" w:rsidRDefault="00DF3424">
      <w:pPr>
        <w:pStyle w:val="BodyText"/>
        <w:spacing w:line="276" w:lineRule="auto"/>
        <w:ind w:left="100" w:right="133"/>
      </w:pPr>
      <w:r>
        <w:t>This section has been amended to apply an in</w:t>
      </w:r>
      <w:r>
        <w:t>terest rate to be determined by the Long Service Leave Governing Board in accordance with Guidelines made by the Minister. This would provide employers with a greater incentive to lodge their return and pay levies on time as interest would be apportioned a</w:t>
      </w:r>
      <w:r>
        <w:t>nd commensurate with the outstanding debt. The Registrar maintains the power to waive all or part of the additional payment (interest) in certain circumstances, as specified in the Bill.</w:t>
      </w:r>
    </w:p>
    <w:p w:rsidR="00613520" w:rsidRDefault="00613520">
      <w:pPr>
        <w:pStyle w:val="BodyText"/>
        <w:spacing w:before="6"/>
        <w:rPr>
          <w:sz w:val="16"/>
        </w:rPr>
      </w:pPr>
    </w:p>
    <w:p w:rsidR="00613520" w:rsidRDefault="00DF3424">
      <w:pPr>
        <w:pStyle w:val="BodyText"/>
        <w:ind w:left="100"/>
      </w:pPr>
      <w:r>
        <w:t>The new interest regime will come into force on 1 January 2020.</w:t>
      </w:r>
    </w:p>
    <w:p w:rsidR="00613520" w:rsidRDefault="00613520">
      <w:pPr>
        <w:pStyle w:val="BodyText"/>
        <w:spacing w:before="8"/>
        <w:rPr>
          <w:sz w:val="19"/>
        </w:rPr>
      </w:pPr>
    </w:p>
    <w:p w:rsidR="00613520" w:rsidRDefault="00DF3424">
      <w:pPr>
        <w:pStyle w:val="Heading5"/>
        <w:tabs>
          <w:tab w:val="left" w:pos="1540"/>
        </w:tabs>
      </w:pPr>
      <w:r>
        <w:t>Cla</w:t>
      </w:r>
      <w:r>
        <w:t>use</w:t>
      </w:r>
      <w:r>
        <w:rPr>
          <w:spacing w:val="-3"/>
        </w:rPr>
        <w:t xml:space="preserve"> </w:t>
      </w:r>
      <w:r>
        <w:t>10</w:t>
      </w:r>
      <w:r>
        <w:tab/>
        <w:t>Quarterly returns by</w:t>
      </w:r>
      <w:r>
        <w:rPr>
          <w:spacing w:val="-1"/>
        </w:rPr>
        <w:t xml:space="preserve"> </w:t>
      </w:r>
      <w:r>
        <w:t>contractors</w:t>
      </w:r>
    </w:p>
    <w:p w:rsidR="00613520" w:rsidRDefault="00DF3424">
      <w:pPr>
        <w:spacing w:before="39"/>
        <w:ind w:left="1540"/>
        <w:rPr>
          <w:b/>
        </w:rPr>
      </w:pPr>
      <w:r>
        <w:rPr>
          <w:b/>
        </w:rPr>
        <w:t xml:space="preserve">Section 54(4), definition of </w:t>
      </w:r>
      <w:r>
        <w:rPr>
          <w:b/>
          <w:i/>
        </w:rPr>
        <w:t>required information</w:t>
      </w:r>
      <w:r>
        <w:rPr>
          <w:b/>
        </w:rPr>
        <w:t>, paragraph (a)</w:t>
      </w:r>
    </w:p>
    <w:p w:rsidR="00613520" w:rsidRDefault="00613520">
      <w:pPr>
        <w:pStyle w:val="BodyText"/>
        <w:spacing w:before="8"/>
        <w:rPr>
          <w:b/>
          <w:sz w:val="19"/>
        </w:rPr>
      </w:pPr>
    </w:p>
    <w:p w:rsidR="00613520" w:rsidRDefault="00DF3424">
      <w:pPr>
        <w:pStyle w:val="BodyText"/>
        <w:ind w:left="100"/>
      </w:pPr>
      <w:r>
        <w:t>This clause makes a minor technical amendment to ensure consistent wording throughout the Act.</w:t>
      </w:r>
    </w:p>
    <w:p w:rsidR="00613520" w:rsidRDefault="00613520">
      <w:pPr>
        <w:pStyle w:val="BodyText"/>
        <w:spacing w:before="9"/>
        <w:rPr>
          <w:sz w:val="19"/>
        </w:rPr>
      </w:pPr>
    </w:p>
    <w:p w:rsidR="00613520" w:rsidRDefault="00DF3424">
      <w:pPr>
        <w:pStyle w:val="Heading5"/>
        <w:tabs>
          <w:tab w:val="left" w:pos="1540"/>
        </w:tabs>
        <w:spacing w:line="276" w:lineRule="auto"/>
        <w:ind w:left="1540" w:right="3037" w:hanging="1440"/>
      </w:pPr>
      <w:r>
        <w:t>Clause</w:t>
      </w:r>
      <w:r>
        <w:rPr>
          <w:spacing w:val="-3"/>
        </w:rPr>
        <w:t xml:space="preserve"> </w:t>
      </w:r>
      <w:r>
        <w:t>11</w:t>
      </w:r>
      <w:r>
        <w:tab/>
      </w:r>
      <w:r>
        <w:t>Minor changes to levy—employers and contractors Section 56A (2) and (3) and</w:t>
      </w:r>
      <w:r>
        <w:rPr>
          <w:spacing w:val="-4"/>
        </w:rPr>
        <w:t xml:space="preserve"> </w:t>
      </w:r>
      <w:r>
        <w:t>note</w:t>
      </w:r>
    </w:p>
    <w:p w:rsidR="00613520" w:rsidRDefault="00613520">
      <w:pPr>
        <w:pStyle w:val="BodyText"/>
        <w:spacing w:before="6"/>
        <w:rPr>
          <w:b/>
          <w:sz w:val="16"/>
        </w:rPr>
      </w:pPr>
    </w:p>
    <w:p w:rsidR="00613520" w:rsidRDefault="00DF3424">
      <w:pPr>
        <w:pStyle w:val="BodyText"/>
        <w:spacing w:line="276" w:lineRule="auto"/>
        <w:ind w:left="100" w:right="199"/>
      </w:pPr>
      <w:r>
        <w:t>This clause substitutes the current section 56A (2) and (3) to provide that a minor change in the levy as determined by the Board under section 56A would be a disallowable in</w:t>
      </w:r>
      <w:r>
        <w:t>strument and revokes a levy determination made by the Minister under section 51 or section 56. This is to ensure that there is no confusion about the applicable levy rate.</w:t>
      </w:r>
    </w:p>
    <w:p w:rsidR="00613520" w:rsidRDefault="00613520">
      <w:pPr>
        <w:pStyle w:val="BodyText"/>
        <w:spacing w:before="4"/>
        <w:rPr>
          <w:sz w:val="16"/>
        </w:rPr>
      </w:pPr>
    </w:p>
    <w:p w:rsidR="00613520" w:rsidRDefault="00DF3424">
      <w:pPr>
        <w:pStyle w:val="Heading5"/>
        <w:tabs>
          <w:tab w:val="left" w:pos="1540"/>
        </w:tabs>
      </w:pPr>
      <w:r>
        <w:t>Clause</w:t>
      </w:r>
      <w:r>
        <w:rPr>
          <w:spacing w:val="-3"/>
        </w:rPr>
        <w:t xml:space="preserve"> </w:t>
      </w:r>
      <w:r>
        <w:t>12</w:t>
      </w:r>
      <w:r>
        <w:tab/>
        <w:t>Employers to keep</w:t>
      </w:r>
      <w:r>
        <w:rPr>
          <w:spacing w:val="-5"/>
        </w:rPr>
        <w:t xml:space="preserve"> </w:t>
      </w:r>
      <w:r>
        <w:t>records</w:t>
      </w:r>
    </w:p>
    <w:p w:rsidR="00613520" w:rsidRDefault="00613520">
      <w:pPr>
        <w:sectPr w:rsidR="00613520">
          <w:pgSz w:w="11910" w:h="16840"/>
          <w:pgMar w:top="1380" w:right="1320" w:bottom="280" w:left="1340" w:header="720" w:footer="720" w:gutter="0"/>
          <w:cols w:space="720"/>
        </w:sectPr>
      </w:pPr>
    </w:p>
    <w:p w:rsidR="00613520" w:rsidRDefault="00DF3424">
      <w:pPr>
        <w:spacing w:before="41"/>
        <w:ind w:left="1540"/>
        <w:rPr>
          <w:b/>
        </w:rPr>
      </w:pPr>
      <w:r>
        <w:rPr>
          <w:b/>
        </w:rPr>
        <w:lastRenderedPageBreak/>
        <w:t>Section 57(2)</w:t>
      </w:r>
    </w:p>
    <w:p w:rsidR="00613520" w:rsidRDefault="00613520">
      <w:pPr>
        <w:pStyle w:val="BodyText"/>
        <w:spacing w:before="8"/>
        <w:rPr>
          <w:b/>
          <w:sz w:val="19"/>
        </w:rPr>
      </w:pPr>
    </w:p>
    <w:p w:rsidR="00613520" w:rsidRDefault="00DF3424">
      <w:pPr>
        <w:pStyle w:val="BodyText"/>
        <w:spacing w:line="276" w:lineRule="auto"/>
        <w:ind w:left="100" w:right="169"/>
      </w:pPr>
      <w:r>
        <w:t>This clause increases the time that the employer must keep records from 6 years to 7 years, which is consistent with relevant taxation law obligations.</w:t>
      </w:r>
    </w:p>
    <w:p w:rsidR="00613520" w:rsidRDefault="00613520">
      <w:pPr>
        <w:pStyle w:val="BodyText"/>
        <w:spacing w:before="6"/>
        <w:rPr>
          <w:sz w:val="16"/>
        </w:rPr>
      </w:pPr>
    </w:p>
    <w:p w:rsidR="00613520" w:rsidRDefault="00DF3424">
      <w:pPr>
        <w:pStyle w:val="Heading5"/>
        <w:tabs>
          <w:tab w:val="left" w:pos="1540"/>
        </w:tabs>
      </w:pPr>
      <w:r>
        <w:t>Clause</w:t>
      </w:r>
      <w:r>
        <w:rPr>
          <w:spacing w:val="-3"/>
        </w:rPr>
        <w:t xml:space="preserve"> </w:t>
      </w:r>
      <w:r>
        <w:t>13</w:t>
      </w:r>
      <w:r>
        <w:tab/>
        <w:t>New part</w:t>
      </w:r>
      <w:r>
        <w:rPr>
          <w:spacing w:val="2"/>
        </w:rPr>
        <w:t xml:space="preserve"> </w:t>
      </w:r>
      <w:r>
        <w:t>5A</w:t>
      </w:r>
    </w:p>
    <w:p w:rsidR="00613520" w:rsidRDefault="00613520">
      <w:pPr>
        <w:pStyle w:val="BodyText"/>
        <w:spacing w:before="8"/>
        <w:rPr>
          <w:b/>
          <w:sz w:val="19"/>
        </w:rPr>
      </w:pPr>
    </w:p>
    <w:p w:rsidR="00613520" w:rsidRDefault="00DF3424">
      <w:pPr>
        <w:pStyle w:val="BodyText"/>
        <w:spacing w:line="276" w:lineRule="auto"/>
        <w:ind w:left="100" w:right="226"/>
      </w:pPr>
      <w:r>
        <w:t>Once a company is put into liquidation it can be difficult to recover debts. Thi</w:t>
      </w:r>
      <w:r>
        <w:t>s clause introduces a new debt recovery provision which allows the Authority to pursue the former director/s of a company that has an outstanding debt to the Authority in situations where phoenix activity is involved. The purpose of this provision is to he</w:t>
      </w:r>
      <w:r>
        <w:t>lp ensure that registered employers who pay their levies correctly and on time are not disadvantaged by funding the liabilities of employers who avoid their obligations.</w:t>
      </w:r>
    </w:p>
    <w:p w:rsidR="00613520" w:rsidRDefault="00613520">
      <w:pPr>
        <w:pStyle w:val="BodyText"/>
        <w:spacing w:before="4"/>
        <w:rPr>
          <w:sz w:val="16"/>
        </w:rPr>
      </w:pPr>
    </w:p>
    <w:p w:rsidR="00613520" w:rsidRDefault="00DF3424">
      <w:pPr>
        <w:pStyle w:val="BodyText"/>
        <w:spacing w:line="276" w:lineRule="auto"/>
        <w:ind w:left="100" w:right="185"/>
      </w:pPr>
      <w:r>
        <w:t>This new provision will only apply where a person, who is the director of a covered c</w:t>
      </w:r>
      <w:r>
        <w:t>ompany, was also a director of a defunct company at the time the company made a creditor-defeating disposition and the levy by the defunct company remains unpaid.</w:t>
      </w:r>
    </w:p>
    <w:p w:rsidR="00613520" w:rsidRDefault="00613520">
      <w:pPr>
        <w:pStyle w:val="BodyText"/>
        <w:spacing w:before="6"/>
        <w:rPr>
          <w:sz w:val="16"/>
        </w:rPr>
      </w:pPr>
    </w:p>
    <w:p w:rsidR="00613520" w:rsidRDefault="00DF3424">
      <w:pPr>
        <w:pStyle w:val="Heading5"/>
        <w:tabs>
          <w:tab w:val="left" w:pos="1540"/>
        </w:tabs>
        <w:spacing w:line="273" w:lineRule="auto"/>
        <w:ind w:left="1540" w:right="4075" w:hanging="1440"/>
      </w:pPr>
      <w:r>
        <w:t>Clause</w:t>
      </w:r>
      <w:r>
        <w:rPr>
          <w:spacing w:val="-3"/>
        </w:rPr>
        <w:t xml:space="preserve"> </w:t>
      </w:r>
      <w:r>
        <w:t>14</w:t>
      </w:r>
      <w:r>
        <w:tab/>
        <w:t>Removing people from workers register New Section 65 (3)</w:t>
      </w:r>
      <w:r>
        <w:rPr>
          <w:spacing w:val="-9"/>
        </w:rPr>
        <w:t xml:space="preserve"> </w:t>
      </w:r>
      <w:r>
        <w:t>(d)</w:t>
      </w:r>
    </w:p>
    <w:p w:rsidR="00613520" w:rsidRDefault="00613520">
      <w:pPr>
        <w:pStyle w:val="BodyText"/>
        <w:spacing w:before="9"/>
        <w:rPr>
          <w:b/>
          <w:sz w:val="16"/>
        </w:rPr>
      </w:pPr>
    </w:p>
    <w:p w:rsidR="00613520" w:rsidRDefault="00DF3424">
      <w:pPr>
        <w:pStyle w:val="BodyText"/>
        <w:spacing w:line="276" w:lineRule="auto"/>
        <w:ind w:left="100" w:right="138"/>
      </w:pPr>
      <w:r>
        <w:t>Section 65 (1) of th</w:t>
      </w:r>
      <w:r>
        <w:t>e Act provides that the Registrar must remove a person from the workers register if the person has not been credited under the Act or a corresponding law with at least 1 day of service for 4 consecutive years. Under section 65 (2), where a person is remove</w:t>
      </w:r>
      <w:r>
        <w:t>d from the register in accordance with section 65 (1), the person is not entitled to apply for, or to be paid an amount for or instead of, long service leave for any days of service entered in the register before the day the person stopped being a register</w:t>
      </w:r>
      <w:r>
        <w:t>ed worker.</w:t>
      </w:r>
    </w:p>
    <w:p w:rsidR="00613520" w:rsidRDefault="00613520">
      <w:pPr>
        <w:pStyle w:val="BodyText"/>
        <w:spacing w:before="6"/>
        <w:rPr>
          <w:sz w:val="16"/>
        </w:rPr>
      </w:pPr>
    </w:p>
    <w:p w:rsidR="00613520" w:rsidRDefault="00DF3424">
      <w:pPr>
        <w:pStyle w:val="BodyText"/>
        <w:spacing w:line="276" w:lineRule="auto"/>
        <w:ind w:left="100" w:right="258"/>
      </w:pPr>
      <w:r>
        <w:t>Clause 14 inserts a new paragraph to provide that section 65 (2) does not apply if the person would have been entitled to payment for the period under schedule 4, section 4.9 of the Act, had the person not ceased being registered. This amendment ensures th</w:t>
      </w:r>
      <w:r>
        <w:t>at, if the Governing Board is satisfied a registered worker for the security industry has five years recognised service and the worker has left the industry because of total incapacity, has reached the prescribed retiring age or has died, the worker is ent</w:t>
      </w:r>
      <w:r>
        <w:t>itled to payment instead of long service leave. This is consistent with the other three industry schemes established by the Act.</w:t>
      </w:r>
    </w:p>
    <w:p w:rsidR="00613520" w:rsidRDefault="00613520">
      <w:pPr>
        <w:pStyle w:val="BodyText"/>
        <w:spacing w:before="5"/>
        <w:rPr>
          <w:sz w:val="16"/>
        </w:rPr>
      </w:pPr>
    </w:p>
    <w:p w:rsidR="00613520" w:rsidRDefault="00DF3424">
      <w:pPr>
        <w:pStyle w:val="Heading5"/>
        <w:tabs>
          <w:tab w:val="left" w:pos="1540"/>
        </w:tabs>
      </w:pPr>
      <w:r>
        <w:t>Clause</w:t>
      </w:r>
      <w:r>
        <w:rPr>
          <w:spacing w:val="-3"/>
        </w:rPr>
        <w:t xml:space="preserve"> </w:t>
      </w:r>
      <w:r>
        <w:t>15</w:t>
      </w:r>
      <w:r>
        <w:tab/>
        <w:t>Section</w:t>
      </w:r>
      <w:r>
        <w:rPr>
          <w:spacing w:val="-1"/>
        </w:rPr>
        <w:t xml:space="preserve"> </w:t>
      </w:r>
      <w:r>
        <w:t>76</w:t>
      </w:r>
    </w:p>
    <w:p w:rsidR="00613520" w:rsidRDefault="00613520">
      <w:pPr>
        <w:pStyle w:val="BodyText"/>
        <w:spacing w:before="8"/>
        <w:rPr>
          <w:b/>
          <w:sz w:val="19"/>
        </w:rPr>
      </w:pPr>
    </w:p>
    <w:p w:rsidR="00613520" w:rsidRDefault="00DF3424">
      <w:pPr>
        <w:pStyle w:val="BodyText"/>
        <w:spacing w:line="276" w:lineRule="auto"/>
        <w:ind w:left="100" w:right="154"/>
      </w:pPr>
      <w:r>
        <w:t>This clause provides an inspector may, in writing, require certain persons (as specified in the Bill) to</w:t>
      </w:r>
      <w:r>
        <w:t xml:space="preserve"> give the inspector information, or produce documents or anything else, that the person has, or has access to, that are reasonably required by the inspector for the Act. This amendment modernises inspector powers by providing that an inspector can request </w:t>
      </w:r>
      <w:r>
        <w:t>(e.g. via email) information, documents or anything else reasonably required by the inspector for the Act without firstly needing to enter the relevant premises. In doing so, it preserves employers’ rights in relation to self-incrimination.</w:t>
      </w:r>
    </w:p>
    <w:p w:rsidR="00613520" w:rsidRDefault="00613520">
      <w:pPr>
        <w:spacing w:line="276" w:lineRule="auto"/>
        <w:sectPr w:rsidR="00613520">
          <w:pgSz w:w="11910" w:h="16840"/>
          <w:pgMar w:top="1380" w:right="1320" w:bottom="280" w:left="1340" w:header="720" w:footer="720" w:gutter="0"/>
          <w:cols w:space="720"/>
        </w:sectPr>
      </w:pPr>
    </w:p>
    <w:p w:rsidR="00613520" w:rsidRDefault="00DF3424">
      <w:pPr>
        <w:pStyle w:val="Heading5"/>
        <w:tabs>
          <w:tab w:val="left" w:pos="1540"/>
        </w:tabs>
        <w:spacing w:before="41" w:line="276" w:lineRule="auto"/>
        <w:ind w:left="1540" w:right="3481" w:hanging="1440"/>
      </w:pPr>
      <w:r>
        <w:lastRenderedPageBreak/>
        <w:t>C</w:t>
      </w:r>
      <w:r>
        <w:t>lause</w:t>
      </w:r>
      <w:r>
        <w:rPr>
          <w:spacing w:val="-3"/>
        </w:rPr>
        <w:t xml:space="preserve"> </w:t>
      </w:r>
      <w:r>
        <w:t>16</w:t>
      </w:r>
      <w:r>
        <w:tab/>
        <w:t>Authority reimbursement of certain payments Section 89A</w:t>
      </w:r>
      <w:r>
        <w:rPr>
          <w:spacing w:val="-4"/>
        </w:rPr>
        <w:t xml:space="preserve"> </w:t>
      </w:r>
      <w:r>
        <w:t>(2)</w:t>
      </w:r>
    </w:p>
    <w:p w:rsidR="00613520" w:rsidRDefault="00613520">
      <w:pPr>
        <w:pStyle w:val="BodyText"/>
        <w:spacing w:before="5"/>
        <w:rPr>
          <w:b/>
          <w:sz w:val="16"/>
        </w:rPr>
      </w:pPr>
    </w:p>
    <w:p w:rsidR="00613520" w:rsidRDefault="00DF3424">
      <w:pPr>
        <w:pStyle w:val="BodyText"/>
        <w:spacing w:line="276" w:lineRule="auto"/>
        <w:ind w:left="100" w:right="119"/>
      </w:pPr>
      <w:r>
        <w:t>This clause rewords the existing provision to provide that, where an employer has paid a long service leave entitlement to their employee under a corresponding law, the Registrar may rei</w:t>
      </w:r>
      <w:r>
        <w:t>mburse the employer the lesser of the amount the employer paid the employee or the amount the Authority would have paid the employee. This ensures that the Authority does not reimburse an employer more than the amount the employer paid the employee.</w:t>
      </w:r>
    </w:p>
    <w:p w:rsidR="00613520" w:rsidRDefault="00613520">
      <w:pPr>
        <w:pStyle w:val="BodyText"/>
        <w:spacing w:before="3"/>
        <w:rPr>
          <w:sz w:val="16"/>
        </w:rPr>
      </w:pPr>
    </w:p>
    <w:p w:rsidR="00613520" w:rsidRDefault="00DF3424">
      <w:pPr>
        <w:pStyle w:val="Heading5"/>
        <w:tabs>
          <w:tab w:val="left" w:pos="1540"/>
        </w:tabs>
      </w:pPr>
      <w:r>
        <w:t>Claus</w:t>
      </w:r>
      <w:r>
        <w:t>e</w:t>
      </w:r>
      <w:r>
        <w:rPr>
          <w:spacing w:val="-3"/>
        </w:rPr>
        <w:t xml:space="preserve"> </w:t>
      </w:r>
      <w:r>
        <w:t>17</w:t>
      </w:r>
      <w:r>
        <w:tab/>
        <w:t>Schedule 1, section</w:t>
      </w:r>
      <w:r>
        <w:rPr>
          <w:spacing w:val="-6"/>
        </w:rPr>
        <w:t xml:space="preserve"> </w:t>
      </w:r>
      <w:r>
        <w:t>1.5</w:t>
      </w:r>
    </w:p>
    <w:p w:rsidR="00613520" w:rsidRDefault="00613520">
      <w:pPr>
        <w:pStyle w:val="BodyText"/>
        <w:spacing w:before="8"/>
        <w:rPr>
          <w:b/>
          <w:sz w:val="19"/>
        </w:rPr>
      </w:pPr>
    </w:p>
    <w:p w:rsidR="00613520" w:rsidRDefault="00DF3424">
      <w:pPr>
        <w:pStyle w:val="BodyText"/>
        <w:spacing w:before="1" w:line="276" w:lineRule="auto"/>
        <w:ind w:left="100" w:right="441"/>
      </w:pPr>
      <w:r>
        <w:t>Under the Act, there are two formulas for calculating leave payments for service as a registered employee for the building and construction industry – one relates to service that occurred before 20 December 1996 and the other relates to service that occurr</w:t>
      </w:r>
      <w:r>
        <w:t>ed after this period. Currently only one of these formulas is listed under schedule 1, section 1.5.</w:t>
      </w:r>
    </w:p>
    <w:p w:rsidR="00613520" w:rsidRDefault="00613520">
      <w:pPr>
        <w:pStyle w:val="BodyText"/>
        <w:spacing w:before="7"/>
        <w:rPr>
          <w:sz w:val="16"/>
        </w:rPr>
      </w:pPr>
    </w:p>
    <w:p w:rsidR="00613520" w:rsidRDefault="00DF3424">
      <w:pPr>
        <w:pStyle w:val="BodyText"/>
        <w:spacing w:line="273" w:lineRule="auto"/>
        <w:ind w:left="100" w:right="215"/>
      </w:pPr>
      <w:r>
        <w:t>Clause 17 inserts the other formula for completeness and consistency with the provisions under the Act. Neither formula has been changed.</w:t>
      </w:r>
    </w:p>
    <w:p w:rsidR="00613520" w:rsidRDefault="00613520">
      <w:pPr>
        <w:pStyle w:val="BodyText"/>
        <w:spacing w:before="8"/>
        <w:rPr>
          <w:sz w:val="16"/>
        </w:rPr>
      </w:pPr>
    </w:p>
    <w:p w:rsidR="00613520" w:rsidRDefault="00DF3424">
      <w:pPr>
        <w:pStyle w:val="Heading5"/>
        <w:tabs>
          <w:tab w:val="left" w:pos="1540"/>
        </w:tabs>
        <w:spacing w:before="1"/>
      </w:pPr>
      <w:r>
        <w:t>Clause</w:t>
      </w:r>
      <w:r>
        <w:rPr>
          <w:spacing w:val="-3"/>
        </w:rPr>
        <w:t xml:space="preserve"> </w:t>
      </w:r>
      <w:r>
        <w:t>18</w:t>
      </w:r>
      <w:r>
        <w:tab/>
      </w:r>
      <w:r>
        <w:t>How are leave payments worked out for the building and construction</w:t>
      </w:r>
      <w:r>
        <w:rPr>
          <w:spacing w:val="-24"/>
        </w:rPr>
        <w:t xml:space="preserve"> </w:t>
      </w:r>
      <w:r>
        <w:t>industry?</w:t>
      </w:r>
    </w:p>
    <w:p w:rsidR="00613520" w:rsidRDefault="00DF3424">
      <w:pPr>
        <w:spacing w:before="41"/>
        <w:ind w:left="1540"/>
        <w:rPr>
          <w:b/>
        </w:rPr>
      </w:pPr>
      <w:r>
        <w:rPr>
          <w:b/>
        </w:rPr>
        <w:t>Schedule 1, section 1.11, example and note</w:t>
      </w:r>
    </w:p>
    <w:p w:rsidR="00613520" w:rsidRDefault="00613520">
      <w:pPr>
        <w:pStyle w:val="BodyText"/>
        <w:spacing w:before="8"/>
        <w:rPr>
          <w:b/>
          <w:sz w:val="19"/>
        </w:rPr>
      </w:pPr>
    </w:p>
    <w:p w:rsidR="00613520" w:rsidRDefault="00DF3424">
      <w:pPr>
        <w:pStyle w:val="BodyText"/>
        <w:ind w:left="100"/>
      </w:pPr>
      <w:r>
        <w:t xml:space="preserve">As a consequence of amendments in clause 4, this clause substitutes references to </w:t>
      </w:r>
      <w:r>
        <w:rPr>
          <w:i/>
        </w:rPr>
        <w:t xml:space="preserve">contractor </w:t>
      </w:r>
      <w:r>
        <w:t>with</w:t>
      </w:r>
    </w:p>
    <w:p w:rsidR="00613520" w:rsidRDefault="00DF3424">
      <w:pPr>
        <w:spacing w:before="41"/>
        <w:ind w:left="100"/>
      </w:pPr>
      <w:r>
        <w:rPr>
          <w:i/>
        </w:rPr>
        <w:t>voluntary member</w:t>
      </w:r>
      <w:r>
        <w:t>.</w:t>
      </w:r>
    </w:p>
    <w:p w:rsidR="00613520" w:rsidRDefault="00613520">
      <w:pPr>
        <w:pStyle w:val="BodyText"/>
        <w:spacing w:before="8"/>
        <w:rPr>
          <w:sz w:val="19"/>
        </w:rPr>
      </w:pPr>
    </w:p>
    <w:p w:rsidR="00613520" w:rsidRDefault="00DF3424">
      <w:pPr>
        <w:pStyle w:val="Heading5"/>
        <w:tabs>
          <w:tab w:val="left" w:pos="1540"/>
        </w:tabs>
        <w:spacing w:line="273" w:lineRule="auto"/>
        <w:ind w:left="1540" w:right="460" w:hanging="1440"/>
      </w:pPr>
      <w:r>
        <w:t>Clause</w:t>
      </w:r>
      <w:r>
        <w:rPr>
          <w:spacing w:val="-3"/>
        </w:rPr>
        <w:t xml:space="preserve"> </w:t>
      </w:r>
      <w:r>
        <w:t>19</w:t>
      </w:r>
      <w:r>
        <w:tab/>
        <w:t>Leave p</w:t>
      </w:r>
      <w:r>
        <w:t>ayments for service as registered contractor—building and construction industry</w:t>
      </w:r>
    </w:p>
    <w:p w:rsidR="00613520" w:rsidRDefault="00DF3424">
      <w:pPr>
        <w:spacing w:before="5"/>
        <w:ind w:left="1540"/>
        <w:rPr>
          <w:b/>
          <w:i/>
        </w:rPr>
      </w:pPr>
      <w:r>
        <w:rPr>
          <w:b/>
        </w:rPr>
        <w:t xml:space="preserve">Schedule 1, section 1.13 (4), definitions of </w:t>
      </w:r>
      <w:r>
        <w:rPr>
          <w:b/>
          <w:i/>
        </w:rPr>
        <w:t>FB</w:t>
      </w:r>
      <w:r>
        <w:rPr>
          <w:b/>
        </w:rPr>
        <w:t xml:space="preserve">, </w:t>
      </w:r>
      <w:r>
        <w:rPr>
          <w:b/>
          <w:i/>
        </w:rPr>
        <w:t>FE</w:t>
      </w:r>
      <w:r>
        <w:rPr>
          <w:b/>
        </w:rPr>
        <w:t xml:space="preserve">, </w:t>
      </w:r>
      <w:r>
        <w:rPr>
          <w:b/>
          <w:i/>
        </w:rPr>
        <w:t xml:space="preserve">I </w:t>
      </w:r>
      <w:r>
        <w:rPr>
          <w:b/>
        </w:rPr>
        <w:t xml:space="preserve">and </w:t>
      </w:r>
      <w:r>
        <w:rPr>
          <w:b/>
          <w:i/>
        </w:rPr>
        <w:t>total equity</w:t>
      </w:r>
    </w:p>
    <w:p w:rsidR="00613520" w:rsidRDefault="00613520">
      <w:pPr>
        <w:pStyle w:val="BodyText"/>
        <w:spacing w:before="8"/>
        <w:rPr>
          <w:b/>
          <w:i/>
          <w:sz w:val="19"/>
        </w:rPr>
      </w:pPr>
    </w:p>
    <w:p w:rsidR="00613520" w:rsidRDefault="00DF3424">
      <w:pPr>
        <w:pStyle w:val="BodyText"/>
        <w:spacing w:line="276" w:lineRule="auto"/>
        <w:ind w:left="100" w:right="805"/>
      </w:pPr>
      <w:r>
        <w:t xml:space="preserve">This clause removes definitions for </w:t>
      </w:r>
      <w:r>
        <w:rPr>
          <w:i/>
        </w:rPr>
        <w:t>FB</w:t>
      </w:r>
      <w:r>
        <w:t xml:space="preserve">, </w:t>
      </w:r>
      <w:r>
        <w:rPr>
          <w:i/>
        </w:rPr>
        <w:t>FE</w:t>
      </w:r>
      <w:r>
        <w:t xml:space="preserve">, </w:t>
      </w:r>
      <w:r>
        <w:rPr>
          <w:i/>
        </w:rPr>
        <w:t xml:space="preserve">I </w:t>
      </w:r>
      <w:r>
        <w:t xml:space="preserve">and </w:t>
      </w:r>
      <w:r>
        <w:rPr>
          <w:i/>
        </w:rPr>
        <w:t xml:space="preserve">total equity </w:t>
      </w:r>
      <w:r>
        <w:t>as reference to these terms were removed</w:t>
      </w:r>
      <w:r>
        <w:t xml:space="preserve"> from the Act in a previous amendment.</w:t>
      </w:r>
    </w:p>
    <w:p w:rsidR="00613520" w:rsidRDefault="00613520">
      <w:pPr>
        <w:pStyle w:val="BodyText"/>
        <w:spacing w:before="6"/>
        <w:rPr>
          <w:sz w:val="16"/>
        </w:rPr>
      </w:pPr>
    </w:p>
    <w:p w:rsidR="00613520" w:rsidRDefault="00DF3424">
      <w:pPr>
        <w:pStyle w:val="Heading5"/>
        <w:tabs>
          <w:tab w:val="left" w:pos="1540"/>
        </w:tabs>
        <w:spacing w:line="273" w:lineRule="auto"/>
        <w:ind w:left="1540" w:right="467" w:hanging="1440"/>
      </w:pPr>
      <w:r>
        <w:t>Clause</w:t>
      </w:r>
      <w:r>
        <w:rPr>
          <w:spacing w:val="-3"/>
        </w:rPr>
        <w:t xml:space="preserve"> </w:t>
      </w:r>
      <w:r>
        <w:t>20</w:t>
      </w:r>
      <w:r>
        <w:tab/>
        <w:t xml:space="preserve">Leave payments for service as registered employee—contract cleaning industry Schedule 2, section 2.12(2), definition of </w:t>
      </w:r>
      <w:r>
        <w:rPr>
          <w:i/>
        </w:rPr>
        <w:t xml:space="preserve">R </w:t>
      </w:r>
      <w:r>
        <w:t>and example and</w:t>
      </w:r>
      <w:r>
        <w:rPr>
          <w:spacing w:val="-11"/>
        </w:rPr>
        <w:t xml:space="preserve"> </w:t>
      </w:r>
      <w:r>
        <w:t>note</w:t>
      </w:r>
    </w:p>
    <w:p w:rsidR="00613520" w:rsidRDefault="00613520">
      <w:pPr>
        <w:pStyle w:val="BodyText"/>
        <w:spacing w:before="8"/>
        <w:rPr>
          <w:b/>
          <w:sz w:val="16"/>
        </w:rPr>
      </w:pPr>
    </w:p>
    <w:p w:rsidR="00613520" w:rsidRDefault="00DF3424">
      <w:pPr>
        <w:pStyle w:val="BodyText"/>
        <w:spacing w:line="276" w:lineRule="auto"/>
        <w:ind w:left="100" w:right="159"/>
      </w:pPr>
      <w:r>
        <w:t>This clause inserts new wording to clarify that, in cases wher</w:t>
      </w:r>
      <w:r>
        <w:t xml:space="preserve">e a registered worker is receiving compensation under the </w:t>
      </w:r>
      <w:r>
        <w:rPr>
          <w:i/>
        </w:rPr>
        <w:t xml:space="preserve">Workers Compensation Act 1951 </w:t>
      </w:r>
      <w:r>
        <w:t xml:space="preserve">(WC Act), </w:t>
      </w:r>
      <w:r>
        <w:rPr>
          <w:i/>
        </w:rPr>
        <w:t xml:space="preserve">R </w:t>
      </w:r>
      <w:r>
        <w:t>is the weekly average of the ordinary remuneration received by the worker during the four quarters before the injury to which the compensation relates occur</w:t>
      </w:r>
      <w:r>
        <w:t>red. This is consistent with the rest of the Act which provides that ordinary remuneration means salary or wages, and allowances, paid or payable to a worker for work and includes workers’ compensation payments made to a worker by the worker’s employer. It</w:t>
      </w:r>
      <w:r>
        <w:t xml:space="preserve"> also aligns with the Act providing that a registered worker’s service period is not taken to end if a person stops being a worker because of incapacity for an injury for which the worker is entitled to compensation under the WC Act.</w:t>
      </w:r>
    </w:p>
    <w:p w:rsidR="00613520" w:rsidRDefault="00613520">
      <w:pPr>
        <w:pStyle w:val="BodyText"/>
        <w:spacing w:before="7"/>
        <w:rPr>
          <w:sz w:val="16"/>
        </w:rPr>
      </w:pPr>
    </w:p>
    <w:p w:rsidR="00613520" w:rsidRDefault="00DF3424">
      <w:pPr>
        <w:pStyle w:val="BodyText"/>
        <w:spacing w:line="276" w:lineRule="auto"/>
        <w:ind w:left="100" w:right="1401"/>
      </w:pPr>
      <w:r>
        <w:t xml:space="preserve">The definition of </w:t>
      </w:r>
      <w:r>
        <w:rPr>
          <w:i/>
        </w:rPr>
        <w:t xml:space="preserve">R </w:t>
      </w:r>
      <w:r>
        <w:t>for any other case (cases where a registered worker is not receiving compensation under the WC Act) remains the same.</w:t>
      </w:r>
    </w:p>
    <w:p w:rsidR="00613520" w:rsidRDefault="00613520">
      <w:pPr>
        <w:spacing w:line="276" w:lineRule="auto"/>
        <w:sectPr w:rsidR="00613520">
          <w:pgSz w:w="11910" w:h="16840"/>
          <w:pgMar w:top="1380" w:right="1320" w:bottom="280" w:left="1340" w:header="720" w:footer="720" w:gutter="0"/>
          <w:cols w:space="720"/>
        </w:sectPr>
      </w:pPr>
    </w:p>
    <w:p w:rsidR="00613520" w:rsidRDefault="00DF3424">
      <w:pPr>
        <w:pStyle w:val="Heading5"/>
        <w:tabs>
          <w:tab w:val="left" w:pos="1540"/>
        </w:tabs>
        <w:spacing w:before="41" w:line="276" w:lineRule="auto"/>
        <w:ind w:left="1540" w:right="416" w:hanging="1440"/>
        <w:rPr>
          <w:i/>
        </w:rPr>
      </w:pPr>
      <w:r>
        <w:lastRenderedPageBreak/>
        <w:t>Clause</w:t>
      </w:r>
      <w:r>
        <w:rPr>
          <w:spacing w:val="-3"/>
        </w:rPr>
        <w:t xml:space="preserve"> </w:t>
      </w:r>
      <w:r>
        <w:t>21</w:t>
      </w:r>
      <w:r>
        <w:tab/>
      </w:r>
      <w:r>
        <w:t xml:space="preserve">Leave payments for service as registered contractor—contract cleaning industry Schedule 2, section 2.13 (4), definitions of </w:t>
      </w:r>
      <w:r>
        <w:rPr>
          <w:i/>
        </w:rPr>
        <w:t>FB</w:t>
      </w:r>
      <w:r>
        <w:t xml:space="preserve">, </w:t>
      </w:r>
      <w:r>
        <w:rPr>
          <w:i/>
        </w:rPr>
        <w:t>FE</w:t>
      </w:r>
      <w:r>
        <w:t xml:space="preserve">, </w:t>
      </w:r>
      <w:r>
        <w:rPr>
          <w:i/>
        </w:rPr>
        <w:t xml:space="preserve">I </w:t>
      </w:r>
      <w:r>
        <w:rPr>
          <w:spacing w:val="-2"/>
        </w:rPr>
        <w:t xml:space="preserve">and </w:t>
      </w:r>
      <w:r>
        <w:rPr>
          <w:i/>
        </w:rPr>
        <w:t>total</w:t>
      </w:r>
      <w:r>
        <w:rPr>
          <w:i/>
          <w:spacing w:val="-11"/>
        </w:rPr>
        <w:t xml:space="preserve"> </w:t>
      </w:r>
      <w:r>
        <w:rPr>
          <w:i/>
        </w:rPr>
        <w:t>equity</w:t>
      </w:r>
    </w:p>
    <w:p w:rsidR="00613520" w:rsidRDefault="00613520">
      <w:pPr>
        <w:pStyle w:val="BodyText"/>
        <w:spacing w:before="5"/>
        <w:rPr>
          <w:b/>
          <w:i/>
          <w:sz w:val="16"/>
        </w:rPr>
      </w:pPr>
    </w:p>
    <w:p w:rsidR="00613520" w:rsidRDefault="00DF3424">
      <w:pPr>
        <w:pStyle w:val="BodyText"/>
        <w:spacing w:line="273" w:lineRule="auto"/>
        <w:ind w:left="100" w:right="805"/>
      </w:pPr>
      <w:r>
        <w:t xml:space="preserve">This clause removes definitions for </w:t>
      </w:r>
      <w:r>
        <w:rPr>
          <w:i/>
        </w:rPr>
        <w:t>FB</w:t>
      </w:r>
      <w:r>
        <w:t xml:space="preserve">, </w:t>
      </w:r>
      <w:r>
        <w:rPr>
          <w:i/>
        </w:rPr>
        <w:t>FE</w:t>
      </w:r>
      <w:r>
        <w:t xml:space="preserve">, </w:t>
      </w:r>
      <w:r>
        <w:rPr>
          <w:i/>
        </w:rPr>
        <w:t xml:space="preserve">I </w:t>
      </w:r>
      <w:r>
        <w:t xml:space="preserve">and </w:t>
      </w:r>
      <w:r>
        <w:rPr>
          <w:i/>
        </w:rPr>
        <w:t xml:space="preserve">total equity </w:t>
      </w:r>
      <w:r>
        <w:t xml:space="preserve">as reference to these terms were removed </w:t>
      </w:r>
      <w:r>
        <w:t>from the Act in a previous amendment.</w:t>
      </w:r>
    </w:p>
    <w:p w:rsidR="00613520" w:rsidRDefault="00613520">
      <w:pPr>
        <w:pStyle w:val="BodyText"/>
        <w:spacing w:before="9"/>
        <w:rPr>
          <w:sz w:val="16"/>
        </w:rPr>
      </w:pPr>
    </w:p>
    <w:p w:rsidR="00613520" w:rsidRDefault="00DF3424">
      <w:pPr>
        <w:tabs>
          <w:tab w:val="left" w:pos="1540"/>
        </w:tabs>
        <w:ind w:left="100"/>
        <w:rPr>
          <w:b/>
        </w:rPr>
      </w:pPr>
      <w:r>
        <w:rPr>
          <w:b/>
        </w:rPr>
        <w:t>Clause</w:t>
      </w:r>
      <w:r>
        <w:rPr>
          <w:b/>
          <w:spacing w:val="-3"/>
        </w:rPr>
        <w:t xml:space="preserve"> </w:t>
      </w:r>
      <w:r>
        <w:rPr>
          <w:b/>
        </w:rPr>
        <w:t>22</w:t>
      </w:r>
      <w:r>
        <w:rPr>
          <w:b/>
        </w:rPr>
        <w:tab/>
        <w:t xml:space="preserve">What is the </w:t>
      </w:r>
      <w:r>
        <w:rPr>
          <w:b/>
          <w:i/>
        </w:rPr>
        <w:t>community sector</w:t>
      </w:r>
      <w:r>
        <w:rPr>
          <w:b/>
          <w:i/>
          <w:spacing w:val="-6"/>
        </w:rPr>
        <w:t xml:space="preserve"> </w:t>
      </w:r>
      <w:r>
        <w:rPr>
          <w:b/>
          <w:i/>
        </w:rPr>
        <w:t>industry</w:t>
      </w:r>
      <w:r>
        <w:rPr>
          <w:b/>
        </w:rPr>
        <w:t>?</w:t>
      </w:r>
    </w:p>
    <w:p w:rsidR="00613520" w:rsidRDefault="00DF3424">
      <w:pPr>
        <w:pStyle w:val="Heading5"/>
        <w:spacing w:before="41"/>
        <w:ind w:left="1540"/>
      </w:pPr>
      <w:r>
        <w:t>Schedule 3, section 3.1 (a)</w:t>
      </w:r>
    </w:p>
    <w:p w:rsidR="00613520" w:rsidRDefault="00613520">
      <w:pPr>
        <w:pStyle w:val="BodyText"/>
        <w:spacing w:before="8"/>
        <w:rPr>
          <w:b/>
          <w:sz w:val="19"/>
        </w:rPr>
      </w:pPr>
    </w:p>
    <w:p w:rsidR="00613520" w:rsidRDefault="00DF3424">
      <w:pPr>
        <w:pStyle w:val="BodyText"/>
        <w:spacing w:line="276" w:lineRule="auto"/>
        <w:ind w:left="100" w:right="385"/>
      </w:pPr>
      <w:r>
        <w:t xml:space="preserve">This clause makes a minor technical amendment to clarify that, in order to meet the definition of </w:t>
      </w:r>
      <w:r>
        <w:rPr>
          <w:i/>
        </w:rPr>
        <w:t>community sector industry</w:t>
      </w:r>
      <w:r>
        <w:t>, each of the in</w:t>
      </w:r>
      <w:r>
        <w:t>dustries listed are separate industries covered under the community sector. This amendment is for clarification purposes and not intended to change the nature of employers captured within the community sector industry.</w:t>
      </w:r>
    </w:p>
    <w:p w:rsidR="00613520" w:rsidRDefault="00613520">
      <w:pPr>
        <w:pStyle w:val="BodyText"/>
        <w:spacing w:before="5"/>
        <w:rPr>
          <w:sz w:val="16"/>
        </w:rPr>
      </w:pPr>
    </w:p>
    <w:p w:rsidR="00613520" w:rsidRDefault="00DF3424">
      <w:pPr>
        <w:pStyle w:val="BodyText"/>
        <w:spacing w:line="276" w:lineRule="auto"/>
        <w:ind w:left="100" w:right="158"/>
      </w:pPr>
      <w:r>
        <w:t>In addition, this clause amends (a)(</w:t>
      </w:r>
      <w:r>
        <w:t>i) to provide clarity to the industry of providing child care services by formalising the types of services covered by reference to education and care services in line with modern language for this industry. This amendment is consistent with the current sc</w:t>
      </w:r>
      <w:r>
        <w:t>ope of the industry and does not broaden its current coverage.</w:t>
      </w:r>
    </w:p>
    <w:p w:rsidR="00613520" w:rsidRDefault="00613520">
      <w:pPr>
        <w:pStyle w:val="BodyText"/>
        <w:spacing w:before="5"/>
        <w:rPr>
          <w:sz w:val="16"/>
        </w:rPr>
      </w:pPr>
    </w:p>
    <w:p w:rsidR="00613520" w:rsidRDefault="00DF3424">
      <w:pPr>
        <w:pStyle w:val="Heading5"/>
        <w:tabs>
          <w:tab w:val="left" w:pos="1540"/>
        </w:tabs>
      </w:pPr>
      <w:r>
        <w:t>Clause</w:t>
      </w:r>
      <w:r>
        <w:rPr>
          <w:spacing w:val="-3"/>
        </w:rPr>
        <w:t xml:space="preserve"> </w:t>
      </w:r>
      <w:r>
        <w:t>23</w:t>
      </w:r>
      <w:r>
        <w:tab/>
        <w:t>Schedule 3, new section 3.1</w:t>
      </w:r>
      <w:r>
        <w:rPr>
          <w:spacing w:val="-3"/>
        </w:rPr>
        <w:t xml:space="preserve"> </w:t>
      </w:r>
      <w:r>
        <w:t>(2)</w:t>
      </w:r>
    </w:p>
    <w:p w:rsidR="00613520" w:rsidRDefault="00613520">
      <w:pPr>
        <w:pStyle w:val="BodyText"/>
        <w:spacing w:before="8"/>
        <w:rPr>
          <w:b/>
          <w:sz w:val="19"/>
        </w:rPr>
      </w:pPr>
    </w:p>
    <w:p w:rsidR="00613520" w:rsidRDefault="00DF3424">
      <w:pPr>
        <w:pStyle w:val="BodyText"/>
        <w:spacing w:line="276" w:lineRule="auto"/>
        <w:ind w:left="100" w:right="406"/>
      </w:pPr>
      <w:r>
        <w:t xml:space="preserve">This clause is consequential on the amendments to section 3.1 (a)(i) in clause 22 and clarifies the meaning of education and care services by defining this term using the definition in the </w:t>
      </w:r>
      <w:r>
        <w:rPr>
          <w:i/>
        </w:rPr>
        <w:t>Education and Care Services National Law (ACT) Act 2011</w:t>
      </w:r>
      <w:r>
        <w:t>. This forma</w:t>
      </w:r>
      <w:r>
        <w:t>lises the current scope of the industry covered under section 3.1 (a)(i) using modern language for this industry.</w:t>
      </w:r>
    </w:p>
    <w:p w:rsidR="00613520" w:rsidRDefault="00613520">
      <w:pPr>
        <w:pStyle w:val="BodyText"/>
        <w:spacing w:before="5"/>
        <w:rPr>
          <w:sz w:val="16"/>
        </w:rPr>
      </w:pPr>
    </w:p>
    <w:p w:rsidR="00613520" w:rsidRDefault="00DF3424">
      <w:pPr>
        <w:pStyle w:val="Heading5"/>
        <w:tabs>
          <w:tab w:val="left" w:pos="1540"/>
        </w:tabs>
        <w:spacing w:line="276" w:lineRule="auto"/>
        <w:ind w:left="1540" w:right="3254" w:hanging="1440"/>
      </w:pPr>
      <w:r>
        <w:t>Clause</w:t>
      </w:r>
      <w:r>
        <w:rPr>
          <w:spacing w:val="-3"/>
        </w:rPr>
        <w:t xml:space="preserve"> </w:t>
      </w:r>
      <w:r>
        <w:t>24</w:t>
      </w:r>
      <w:r>
        <w:tab/>
        <w:t>Service credit—community sector industry—s 64 Schedule 3, section 3.5</w:t>
      </w:r>
      <w:r>
        <w:rPr>
          <w:spacing w:val="-9"/>
        </w:rPr>
        <w:t xml:space="preserve"> </w:t>
      </w:r>
      <w:r>
        <w:t>(1)</w:t>
      </w:r>
    </w:p>
    <w:p w:rsidR="00613520" w:rsidRDefault="00613520">
      <w:pPr>
        <w:pStyle w:val="BodyText"/>
        <w:spacing w:before="5"/>
        <w:rPr>
          <w:b/>
          <w:sz w:val="16"/>
        </w:rPr>
      </w:pPr>
    </w:p>
    <w:p w:rsidR="00613520" w:rsidRDefault="00DF3424">
      <w:pPr>
        <w:pStyle w:val="BodyText"/>
        <w:spacing w:before="1"/>
        <w:ind w:left="100"/>
      </w:pPr>
      <w:r>
        <w:t>This clause makes a minor technical amendment to provide</w:t>
      </w:r>
      <w:r>
        <w:t xml:space="preserve"> consistency with the definition of</w:t>
      </w:r>
    </w:p>
    <w:p w:rsidR="00613520" w:rsidRDefault="00DF3424">
      <w:pPr>
        <w:spacing w:before="41"/>
        <w:ind w:left="100"/>
      </w:pPr>
      <w:r>
        <w:rPr>
          <w:i/>
        </w:rPr>
        <w:t>community sector work</w:t>
      </w:r>
      <w:r>
        <w:t>, as provided by schedule 3, section 3.2 of the Act.</w:t>
      </w:r>
    </w:p>
    <w:p w:rsidR="00613520" w:rsidRDefault="00613520">
      <w:pPr>
        <w:pStyle w:val="BodyText"/>
        <w:spacing w:before="8"/>
        <w:rPr>
          <w:sz w:val="19"/>
        </w:rPr>
      </w:pPr>
    </w:p>
    <w:p w:rsidR="00613520" w:rsidRDefault="00DF3424">
      <w:pPr>
        <w:pStyle w:val="Heading5"/>
        <w:tabs>
          <w:tab w:val="left" w:pos="1540"/>
        </w:tabs>
      </w:pPr>
      <w:r>
        <w:t>Clause</w:t>
      </w:r>
      <w:r>
        <w:rPr>
          <w:spacing w:val="-3"/>
        </w:rPr>
        <w:t xml:space="preserve"> </w:t>
      </w:r>
      <w:r>
        <w:t>25</w:t>
      </w:r>
      <w:r>
        <w:tab/>
        <w:t>Schedule 3, section 3.5 (1),</w:t>
      </w:r>
      <w:r>
        <w:rPr>
          <w:spacing w:val="-11"/>
        </w:rPr>
        <w:t xml:space="preserve"> </w:t>
      </w:r>
      <w:r>
        <w:t>example</w:t>
      </w:r>
    </w:p>
    <w:p w:rsidR="00613520" w:rsidRDefault="00613520">
      <w:pPr>
        <w:pStyle w:val="BodyText"/>
        <w:spacing w:before="8"/>
        <w:rPr>
          <w:b/>
          <w:sz w:val="19"/>
        </w:rPr>
      </w:pPr>
    </w:p>
    <w:p w:rsidR="00613520" w:rsidRDefault="00DF3424">
      <w:pPr>
        <w:pStyle w:val="BodyText"/>
        <w:spacing w:line="273" w:lineRule="auto"/>
        <w:ind w:left="100" w:right="698"/>
      </w:pPr>
      <w:r>
        <w:t>This clause amends the example in this section to refer to community sector work, rather than cleaning work, consistent with the subject matter of schedule 3, section 3.5.</w:t>
      </w:r>
    </w:p>
    <w:p w:rsidR="00613520" w:rsidRDefault="00613520">
      <w:pPr>
        <w:pStyle w:val="BodyText"/>
        <w:spacing w:before="8"/>
        <w:rPr>
          <w:sz w:val="16"/>
        </w:rPr>
      </w:pPr>
    </w:p>
    <w:p w:rsidR="00613520" w:rsidRDefault="00DF3424">
      <w:pPr>
        <w:pStyle w:val="Heading5"/>
        <w:tabs>
          <w:tab w:val="left" w:pos="1540"/>
        </w:tabs>
        <w:spacing w:before="1" w:line="276" w:lineRule="auto"/>
        <w:ind w:left="1540" w:right="382" w:hanging="1440"/>
      </w:pPr>
      <w:r>
        <w:t>Clause</w:t>
      </w:r>
      <w:r>
        <w:rPr>
          <w:spacing w:val="-3"/>
        </w:rPr>
        <w:t xml:space="preserve"> </w:t>
      </w:r>
      <w:r>
        <w:t>26</w:t>
      </w:r>
      <w:r>
        <w:tab/>
        <w:t>Leave payments for service as registered employee—community sector indust</w:t>
      </w:r>
      <w:r>
        <w:t xml:space="preserve">ry Schedule 3, section 3.13(2), definition of </w:t>
      </w:r>
      <w:r>
        <w:rPr>
          <w:i/>
        </w:rPr>
        <w:t xml:space="preserve">R </w:t>
      </w:r>
      <w:r>
        <w:t>and example and</w:t>
      </w:r>
      <w:r>
        <w:rPr>
          <w:spacing w:val="-11"/>
        </w:rPr>
        <w:t xml:space="preserve"> </w:t>
      </w:r>
      <w:r>
        <w:t>note</w:t>
      </w:r>
    </w:p>
    <w:p w:rsidR="00613520" w:rsidRDefault="00613520">
      <w:pPr>
        <w:pStyle w:val="BodyText"/>
        <w:spacing w:before="5"/>
        <w:rPr>
          <w:b/>
          <w:sz w:val="16"/>
        </w:rPr>
      </w:pPr>
    </w:p>
    <w:p w:rsidR="00613520" w:rsidRDefault="00DF3424">
      <w:pPr>
        <w:pStyle w:val="BodyText"/>
        <w:spacing w:line="276" w:lineRule="auto"/>
        <w:ind w:left="100" w:right="159"/>
      </w:pPr>
      <w:r>
        <w:t xml:space="preserve">This clause inserts new wording to clarify that, in cases where a registered worker is receiving compensation under the </w:t>
      </w:r>
      <w:r>
        <w:rPr>
          <w:i/>
        </w:rPr>
        <w:t xml:space="preserve">Workers Compensation Act 1951 </w:t>
      </w:r>
      <w:r>
        <w:t xml:space="preserve">(WC Act), </w:t>
      </w:r>
      <w:r>
        <w:rPr>
          <w:i/>
        </w:rPr>
        <w:t xml:space="preserve">R </w:t>
      </w:r>
      <w:r>
        <w:t>is the weekly average of</w:t>
      </w:r>
      <w:r>
        <w:t xml:space="preserve"> the ordinary remuneration received by the worker during the four quarters before the injury to which the compensation relates occurred. This is consistent with the rest of the Act which provides that ordinary remuneration means salary or wages, and allowa</w:t>
      </w:r>
      <w:r>
        <w:t xml:space="preserve">nces, paid or payable to a worker for work and includes workers’ compensation payments made to a worker by the worker’s employer. It also aligns with the Act providing that a registered worker’s service period is not taken to end if a person stops being a </w:t>
      </w:r>
      <w:r>
        <w:t>worker because of incapacity from an injury for which the worker is entitled to compensation under the WC Act.</w:t>
      </w:r>
    </w:p>
    <w:p w:rsidR="00613520" w:rsidRDefault="00613520">
      <w:pPr>
        <w:spacing w:line="276" w:lineRule="auto"/>
        <w:sectPr w:rsidR="00613520">
          <w:pgSz w:w="11910" w:h="16840"/>
          <w:pgMar w:top="1380" w:right="1320" w:bottom="280" w:left="1340" w:header="720" w:footer="720" w:gutter="0"/>
          <w:cols w:space="720"/>
        </w:sectPr>
      </w:pPr>
    </w:p>
    <w:p w:rsidR="00613520" w:rsidRDefault="00DF3424">
      <w:pPr>
        <w:pStyle w:val="BodyText"/>
        <w:spacing w:before="41" w:line="276" w:lineRule="auto"/>
        <w:ind w:left="100" w:right="1401"/>
      </w:pPr>
      <w:r>
        <w:lastRenderedPageBreak/>
        <w:t xml:space="preserve">The definition of </w:t>
      </w:r>
      <w:r>
        <w:rPr>
          <w:i/>
        </w:rPr>
        <w:t xml:space="preserve">R </w:t>
      </w:r>
      <w:r>
        <w:t>for any other case (cases where a registered worker is not receiving compensation under the WC Act) remains the same.</w:t>
      </w:r>
    </w:p>
    <w:p w:rsidR="00613520" w:rsidRDefault="00613520">
      <w:pPr>
        <w:pStyle w:val="BodyText"/>
        <w:spacing w:before="5"/>
        <w:rPr>
          <w:sz w:val="16"/>
        </w:rPr>
      </w:pPr>
    </w:p>
    <w:p w:rsidR="00613520" w:rsidRDefault="00DF3424">
      <w:pPr>
        <w:pStyle w:val="Heading5"/>
        <w:tabs>
          <w:tab w:val="left" w:pos="1540"/>
        </w:tabs>
        <w:spacing w:line="273" w:lineRule="auto"/>
        <w:ind w:left="1540" w:right="332" w:hanging="1440"/>
        <w:rPr>
          <w:i/>
        </w:rPr>
      </w:pPr>
      <w:r>
        <w:t>Clause</w:t>
      </w:r>
      <w:r>
        <w:rPr>
          <w:spacing w:val="-3"/>
        </w:rPr>
        <w:t xml:space="preserve"> </w:t>
      </w:r>
      <w:r>
        <w:t>27</w:t>
      </w:r>
      <w:r>
        <w:tab/>
        <w:t xml:space="preserve">Leave payments for service as registered contractor—community sector industry Schedule 3, section 3.14 (4), definitions of </w:t>
      </w:r>
      <w:r>
        <w:rPr>
          <w:i/>
        </w:rPr>
        <w:t>FB</w:t>
      </w:r>
      <w:r>
        <w:t xml:space="preserve">, </w:t>
      </w:r>
      <w:r>
        <w:rPr>
          <w:i/>
        </w:rPr>
        <w:t>FE</w:t>
      </w:r>
      <w:r>
        <w:t xml:space="preserve">, </w:t>
      </w:r>
      <w:r>
        <w:rPr>
          <w:i/>
        </w:rPr>
        <w:t xml:space="preserve">I </w:t>
      </w:r>
      <w:r>
        <w:rPr>
          <w:spacing w:val="-2"/>
        </w:rPr>
        <w:t xml:space="preserve">and </w:t>
      </w:r>
      <w:r>
        <w:rPr>
          <w:i/>
        </w:rPr>
        <w:t>total</w:t>
      </w:r>
      <w:r>
        <w:rPr>
          <w:i/>
          <w:spacing w:val="-11"/>
        </w:rPr>
        <w:t xml:space="preserve"> </w:t>
      </w:r>
      <w:r>
        <w:rPr>
          <w:i/>
        </w:rPr>
        <w:t>equity</w:t>
      </w:r>
    </w:p>
    <w:p w:rsidR="00613520" w:rsidRDefault="00613520">
      <w:pPr>
        <w:pStyle w:val="BodyText"/>
        <w:spacing w:before="9"/>
        <w:rPr>
          <w:b/>
          <w:i/>
          <w:sz w:val="16"/>
        </w:rPr>
      </w:pPr>
    </w:p>
    <w:p w:rsidR="00613520" w:rsidRDefault="00DF3424">
      <w:pPr>
        <w:pStyle w:val="BodyText"/>
        <w:spacing w:line="276" w:lineRule="auto"/>
        <w:ind w:left="100" w:right="805"/>
      </w:pPr>
      <w:r>
        <w:t xml:space="preserve">This clause removes definitions for </w:t>
      </w:r>
      <w:r>
        <w:rPr>
          <w:i/>
        </w:rPr>
        <w:t>FB</w:t>
      </w:r>
      <w:r>
        <w:t xml:space="preserve">, </w:t>
      </w:r>
      <w:r>
        <w:rPr>
          <w:i/>
        </w:rPr>
        <w:t>FE</w:t>
      </w:r>
      <w:r>
        <w:t xml:space="preserve">, </w:t>
      </w:r>
      <w:r>
        <w:rPr>
          <w:i/>
        </w:rPr>
        <w:t xml:space="preserve">I </w:t>
      </w:r>
      <w:r>
        <w:t xml:space="preserve">and </w:t>
      </w:r>
      <w:r>
        <w:rPr>
          <w:i/>
        </w:rPr>
        <w:t xml:space="preserve">total equity </w:t>
      </w:r>
      <w:r>
        <w:t>as reference to these terms were removed from the Act in a previous amendment.</w:t>
      </w:r>
    </w:p>
    <w:p w:rsidR="00613520" w:rsidRDefault="00613520">
      <w:pPr>
        <w:pStyle w:val="BodyText"/>
        <w:spacing w:before="5"/>
        <w:rPr>
          <w:sz w:val="16"/>
        </w:rPr>
      </w:pPr>
    </w:p>
    <w:p w:rsidR="00613520" w:rsidRDefault="00DF3424">
      <w:pPr>
        <w:pStyle w:val="Heading5"/>
        <w:tabs>
          <w:tab w:val="left" w:pos="1540"/>
        </w:tabs>
      </w:pPr>
      <w:r>
        <w:t>Clause</w:t>
      </w:r>
      <w:r>
        <w:rPr>
          <w:spacing w:val="-3"/>
        </w:rPr>
        <w:t xml:space="preserve"> </w:t>
      </w:r>
      <w:r>
        <w:t>28</w:t>
      </w:r>
      <w:r>
        <w:tab/>
        <w:t>Service credit—security industry—s</w:t>
      </w:r>
      <w:r>
        <w:rPr>
          <w:spacing w:val="-4"/>
        </w:rPr>
        <w:t xml:space="preserve"> </w:t>
      </w:r>
      <w:r>
        <w:t>64</w:t>
      </w:r>
    </w:p>
    <w:p w:rsidR="00613520" w:rsidRDefault="00DF3424">
      <w:pPr>
        <w:spacing w:before="41"/>
        <w:ind w:left="1540"/>
        <w:rPr>
          <w:b/>
        </w:rPr>
      </w:pPr>
      <w:r>
        <w:rPr>
          <w:b/>
        </w:rPr>
        <w:t>Schedule 4, section 4.5 (1), example</w:t>
      </w:r>
    </w:p>
    <w:p w:rsidR="00613520" w:rsidRDefault="00613520">
      <w:pPr>
        <w:pStyle w:val="BodyText"/>
        <w:spacing w:before="8"/>
        <w:rPr>
          <w:b/>
          <w:sz w:val="19"/>
        </w:rPr>
      </w:pPr>
    </w:p>
    <w:p w:rsidR="00613520" w:rsidRDefault="00DF3424">
      <w:pPr>
        <w:pStyle w:val="BodyText"/>
        <w:spacing w:before="1" w:line="273" w:lineRule="auto"/>
        <w:ind w:left="100" w:right="266"/>
      </w:pPr>
      <w:r>
        <w:t>Thi</w:t>
      </w:r>
      <w:r>
        <w:t>s clause amends the example in this section to refer to security work, rather than cleaning work, consistent with the subject matter of schedule 3, section 3.5.</w:t>
      </w:r>
    </w:p>
    <w:p w:rsidR="00613520" w:rsidRDefault="00613520">
      <w:pPr>
        <w:pStyle w:val="BodyText"/>
        <w:spacing w:before="8"/>
        <w:rPr>
          <w:sz w:val="16"/>
        </w:rPr>
      </w:pPr>
    </w:p>
    <w:p w:rsidR="00613520" w:rsidRDefault="00DF3424">
      <w:pPr>
        <w:pStyle w:val="Heading5"/>
        <w:tabs>
          <w:tab w:val="left" w:pos="1540"/>
        </w:tabs>
        <w:spacing w:before="1"/>
      </w:pPr>
      <w:r>
        <w:t>Clause</w:t>
      </w:r>
      <w:r>
        <w:rPr>
          <w:spacing w:val="-3"/>
        </w:rPr>
        <w:t xml:space="preserve"> </w:t>
      </w:r>
      <w:r>
        <w:t>29</w:t>
      </w:r>
      <w:r>
        <w:tab/>
      </w:r>
      <w:r>
        <w:t>How are payments worked out for the security</w:t>
      </w:r>
      <w:r>
        <w:rPr>
          <w:spacing w:val="-8"/>
        </w:rPr>
        <w:t xml:space="preserve"> </w:t>
      </w:r>
      <w:r>
        <w:t>industry?</w:t>
      </w:r>
    </w:p>
    <w:p w:rsidR="00613520" w:rsidRDefault="00DF3424">
      <w:pPr>
        <w:spacing w:before="41"/>
        <w:ind w:left="1540"/>
        <w:rPr>
          <w:b/>
        </w:rPr>
      </w:pPr>
      <w:r>
        <w:rPr>
          <w:b/>
        </w:rPr>
        <w:t>Schedule 4, section 4.12, example and note</w:t>
      </w:r>
    </w:p>
    <w:p w:rsidR="00613520" w:rsidRDefault="00613520">
      <w:pPr>
        <w:pStyle w:val="BodyText"/>
        <w:spacing w:before="8"/>
        <w:rPr>
          <w:b/>
          <w:sz w:val="19"/>
        </w:rPr>
      </w:pPr>
    </w:p>
    <w:p w:rsidR="00613520" w:rsidRDefault="00DF3424">
      <w:pPr>
        <w:ind w:left="100"/>
      </w:pPr>
      <w:r>
        <w:t xml:space="preserve">Following on from clause 4, mentions of </w:t>
      </w:r>
      <w:r>
        <w:rPr>
          <w:i/>
        </w:rPr>
        <w:t xml:space="preserve">contractor </w:t>
      </w:r>
      <w:r>
        <w:t xml:space="preserve">are substituted with </w:t>
      </w:r>
      <w:r>
        <w:rPr>
          <w:i/>
        </w:rPr>
        <w:t>voluntary member</w:t>
      </w:r>
      <w:r>
        <w:t>.</w:t>
      </w:r>
    </w:p>
    <w:p w:rsidR="00613520" w:rsidRDefault="00613520">
      <w:pPr>
        <w:pStyle w:val="BodyText"/>
        <w:spacing w:before="8"/>
        <w:rPr>
          <w:sz w:val="19"/>
        </w:rPr>
      </w:pPr>
    </w:p>
    <w:p w:rsidR="00613520" w:rsidRDefault="00DF3424">
      <w:pPr>
        <w:pStyle w:val="Heading5"/>
        <w:tabs>
          <w:tab w:val="left" w:pos="1540"/>
        </w:tabs>
        <w:spacing w:line="276" w:lineRule="auto"/>
        <w:ind w:left="1540" w:right="1313" w:hanging="1440"/>
      </w:pPr>
      <w:r>
        <w:t>Clause</w:t>
      </w:r>
      <w:r>
        <w:rPr>
          <w:spacing w:val="-3"/>
        </w:rPr>
        <w:t xml:space="preserve"> </w:t>
      </w:r>
      <w:r>
        <w:t>30</w:t>
      </w:r>
      <w:r>
        <w:tab/>
      </w:r>
      <w:r>
        <w:t xml:space="preserve">Leave payments for service as registered employee—security industry Schedule 4, section 4.13, definition of </w:t>
      </w:r>
      <w:r>
        <w:rPr>
          <w:i/>
        </w:rPr>
        <w:t xml:space="preserve">R </w:t>
      </w:r>
      <w:r>
        <w:t>and example and</w:t>
      </w:r>
      <w:r>
        <w:rPr>
          <w:spacing w:val="-17"/>
        </w:rPr>
        <w:t xml:space="preserve"> </w:t>
      </w:r>
      <w:r>
        <w:t>note</w:t>
      </w:r>
    </w:p>
    <w:p w:rsidR="00613520" w:rsidRDefault="00613520">
      <w:pPr>
        <w:pStyle w:val="BodyText"/>
        <w:spacing w:before="5"/>
        <w:rPr>
          <w:b/>
          <w:sz w:val="16"/>
        </w:rPr>
      </w:pPr>
    </w:p>
    <w:p w:rsidR="00613520" w:rsidRDefault="00DF3424">
      <w:pPr>
        <w:pStyle w:val="BodyText"/>
        <w:spacing w:before="1" w:line="276" w:lineRule="auto"/>
        <w:ind w:left="100" w:right="159"/>
      </w:pPr>
      <w:r>
        <w:t xml:space="preserve">This clause inserts new wording to clarify that, in cases where a registered worker is receiving compensation under the </w:t>
      </w:r>
      <w:r>
        <w:rPr>
          <w:i/>
        </w:rPr>
        <w:t>Work</w:t>
      </w:r>
      <w:r>
        <w:rPr>
          <w:i/>
        </w:rPr>
        <w:t xml:space="preserve">ers Compensation Act 1951 </w:t>
      </w:r>
      <w:r>
        <w:t xml:space="preserve">(WC Act), </w:t>
      </w:r>
      <w:r>
        <w:rPr>
          <w:i/>
        </w:rPr>
        <w:t xml:space="preserve">R </w:t>
      </w:r>
      <w:r>
        <w:t>is the weekly average of the ordinary remuneration received by the worker during the four quarters before the injury to which the compensation relates occurred. This is consistent with the rest of the Act which provide</w:t>
      </w:r>
      <w:r>
        <w:t>s that ordinary remuneration means salary or wages, and allowances, paid or payable to a worker for work and includes workers’ compensation payments made to a worker by the worker’s employer. It also aligns with the Act providing that a registered worker’s</w:t>
      </w:r>
      <w:r>
        <w:t xml:space="preserve"> service period is not taken to end if a person stops being a worker because of an incapacity for which the worker is entitled to compensation under the WC Act.</w:t>
      </w:r>
    </w:p>
    <w:p w:rsidR="00613520" w:rsidRDefault="00613520">
      <w:pPr>
        <w:pStyle w:val="BodyText"/>
        <w:spacing w:before="3"/>
        <w:rPr>
          <w:sz w:val="16"/>
        </w:rPr>
      </w:pPr>
    </w:p>
    <w:p w:rsidR="00613520" w:rsidRDefault="00DF3424">
      <w:pPr>
        <w:pStyle w:val="BodyText"/>
        <w:spacing w:before="1" w:line="276" w:lineRule="auto"/>
        <w:ind w:left="100" w:right="1401"/>
      </w:pPr>
      <w:r>
        <w:t xml:space="preserve">The definition of </w:t>
      </w:r>
      <w:r>
        <w:rPr>
          <w:i/>
        </w:rPr>
        <w:t xml:space="preserve">R </w:t>
      </w:r>
      <w:r>
        <w:t>for any other case (cases where a registered worker is not receiving compe</w:t>
      </w:r>
      <w:r>
        <w:t>nsation under the WC Act) remains the same.</w:t>
      </w:r>
    </w:p>
    <w:p w:rsidR="00613520" w:rsidRDefault="00613520">
      <w:pPr>
        <w:pStyle w:val="BodyText"/>
        <w:spacing w:before="5"/>
        <w:rPr>
          <w:sz w:val="16"/>
        </w:rPr>
      </w:pPr>
    </w:p>
    <w:p w:rsidR="00613520" w:rsidRDefault="00DF3424">
      <w:pPr>
        <w:pStyle w:val="Heading5"/>
        <w:tabs>
          <w:tab w:val="left" w:pos="1540"/>
        </w:tabs>
        <w:spacing w:line="276" w:lineRule="auto"/>
        <w:ind w:left="1540" w:right="2789" w:hanging="1440"/>
      </w:pPr>
      <w:r>
        <w:t>Clause</w:t>
      </w:r>
      <w:r>
        <w:rPr>
          <w:spacing w:val="-3"/>
        </w:rPr>
        <w:t xml:space="preserve"> </w:t>
      </w:r>
      <w:r>
        <w:t>31</w:t>
      </w:r>
      <w:r>
        <w:tab/>
        <w:t>Leave payments for service as registered contractor— Schedule 4, new section 4.14</w:t>
      </w:r>
      <w:r>
        <w:rPr>
          <w:spacing w:val="-4"/>
        </w:rPr>
        <w:t xml:space="preserve"> </w:t>
      </w:r>
      <w:r>
        <w:t>(4)</w:t>
      </w:r>
    </w:p>
    <w:p w:rsidR="00613520" w:rsidRDefault="00613520">
      <w:pPr>
        <w:pStyle w:val="BodyText"/>
        <w:spacing w:before="5"/>
        <w:rPr>
          <w:b/>
          <w:sz w:val="16"/>
        </w:rPr>
      </w:pPr>
    </w:p>
    <w:p w:rsidR="00613520" w:rsidRDefault="00DF3424">
      <w:pPr>
        <w:pStyle w:val="BodyText"/>
        <w:spacing w:line="276" w:lineRule="auto"/>
        <w:ind w:left="100" w:right="105"/>
      </w:pPr>
      <w:r>
        <w:t xml:space="preserve">This clause inserts a definition for </w:t>
      </w:r>
      <w:r>
        <w:rPr>
          <w:i/>
        </w:rPr>
        <w:t xml:space="preserve">designated day </w:t>
      </w:r>
      <w:r>
        <w:t>for the purposes of calculating the amount payable to a regist</w:t>
      </w:r>
      <w:r>
        <w:t>ered worker for the security industry for long service leave for service accrued as a registered contractor.</w:t>
      </w:r>
    </w:p>
    <w:p w:rsidR="00613520" w:rsidRDefault="00613520">
      <w:pPr>
        <w:pStyle w:val="BodyText"/>
        <w:spacing w:before="5"/>
        <w:rPr>
          <w:sz w:val="16"/>
        </w:rPr>
      </w:pPr>
    </w:p>
    <w:p w:rsidR="00613520" w:rsidRDefault="00DF3424">
      <w:pPr>
        <w:pStyle w:val="Heading5"/>
        <w:tabs>
          <w:tab w:val="left" w:pos="1540"/>
        </w:tabs>
      </w:pPr>
      <w:r>
        <w:t>Clause</w:t>
      </w:r>
      <w:r>
        <w:rPr>
          <w:spacing w:val="-3"/>
        </w:rPr>
        <w:t xml:space="preserve"> </w:t>
      </w:r>
      <w:r>
        <w:t>32</w:t>
      </w:r>
      <w:r>
        <w:tab/>
        <w:t>Reviewable</w:t>
      </w:r>
      <w:r>
        <w:rPr>
          <w:spacing w:val="-2"/>
        </w:rPr>
        <w:t xml:space="preserve"> </w:t>
      </w:r>
      <w:r>
        <w:t>decisions</w:t>
      </w:r>
    </w:p>
    <w:p w:rsidR="00613520" w:rsidRDefault="00DF3424">
      <w:pPr>
        <w:spacing w:before="41"/>
        <w:ind w:left="1540"/>
        <w:rPr>
          <w:b/>
        </w:rPr>
      </w:pPr>
      <w:r>
        <w:rPr>
          <w:b/>
        </w:rPr>
        <w:t>Schedule 5, items 9 and 10</w:t>
      </w:r>
    </w:p>
    <w:p w:rsidR="00613520" w:rsidRDefault="00613520">
      <w:pPr>
        <w:pStyle w:val="BodyText"/>
        <w:spacing w:before="8"/>
        <w:rPr>
          <w:b/>
          <w:sz w:val="19"/>
        </w:rPr>
      </w:pPr>
    </w:p>
    <w:p w:rsidR="00613520" w:rsidRDefault="00DF3424">
      <w:pPr>
        <w:pStyle w:val="BodyText"/>
        <w:spacing w:line="276" w:lineRule="auto"/>
        <w:ind w:left="100" w:right="1044"/>
      </w:pPr>
      <w:r>
        <w:t>This clause updates the reference to the existing reviewable decisions in items 9 and 1</w:t>
      </w:r>
      <w:r>
        <w:t>0, in accordance with the revised number of these provisions in the Bill.</w:t>
      </w:r>
    </w:p>
    <w:p w:rsidR="00613520" w:rsidRDefault="00613520">
      <w:pPr>
        <w:spacing w:line="276" w:lineRule="auto"/>
        <w:sectPr w:rsidR="00613520">
          <w:pgSz w:w="11910" w:h="16840"/>
          <w:pgMar w:top="1380" w:right="1320" w:bottom="280" w:left="1340" w:header="720" w:footer="720" w:gutter="0"/>
          <w:cols w:space="720"/>
        </w:sectPr>
      </w:pPr>
    </w:p>
    <w:p w:rsidR="00613520" w:rsidRDefault="00DF3424">
      <w:pPr>
        <w:pStyle w:val="BodyText"/>
        <w:spacing w:before="41" w:line="276" w:lineRule="auto"/>
        <w:ind w:left="100" w:right="665"/>
      </w:pPr>
      <w:r>
        <w:lastRenderedPageBreak/>
        <w:t>This clause also inserts item 9A – refuse to allow employer additional time for giving return to Authority – as a new reviewable decision under the Act, in accordance with the introduction of section 49A.</w:t>
      </w:r>
    </w:p>
    <w:p w:rsidR="00613520" w:rsidRDefault="00613520">
      <w:pPr>
        <w:pStyle w:val="BodyText"/>
        <w:spacing w:before="4"/>
        <w:rPr>
          <w:sz w:val="16"/>
        </w:rPr>
      </w:pPr>
    </w:p>
    <w:p w:rsidR="00613520" w:rsidRDefault="00DF3424">
      <w:pPr>
        <w:tabs>
          <w:tab w:val="left" w:pos="1540"/>
        </w:tabs>
        <w:ind w:left="100"/>
        <w:rPr>
          <w:b/>
          <w:i/>
        </w:rPr>
      </w:pPr>
      <w:r>
        <w:rPr>
          <w:b/>
        </w:rPr>
        <w:t>Clause</w:t>
      </w:r>
      <w:r>
        <w:rPr>
          <w:b/>
          <w:spacing w:val="-3"/>
        </w:rPr>
        <w:t xml:space="preserve"> </w:t>
      </w:r>
      <w:r>
        <w:rPr>
          <w:b/>
        </w:rPr>
        <w:t>33</w:t>
      </w:r>
      <w:r>
        <w:rPr>
          <w:b/>
        </w:rPr>
        <w:tab/>
        <w:t xml:space="preserve">Dictionary, definition of </w:t>
      </w:r>
      <w:r>
        <w:rPr>
          <w:b/>
          <w:i/>
        </w:rPr>
        <w:t>contractor</w:t>
      </w:r>
    </w:p>
    <w:p w:rsidR="00613520" w:rsidRDefault="00613520">
      <w:pPr>
        <w:pStyle w:val="BodyText"/>
        <w:spacing w:before="8"/>
        <w:rPr>
          <w:b/>
          <w:i/>
          <w:sz w:val="19"/>
        </w:rPr>
      </w:pPr>
    </w:p>
    <w:p w:rsidR="00613520" w:rsidRDefault="00DF3424">
      <w:pPr>
        <w:pStyle w:val="BodyText"/>
        <w:spacing w:line="276" w:lineRule="auto"/>
        <w:ind w:left="100" w:right="236"/>
      </w:pPr>
      <w:r>
        <w:t xml:space="preserve">This is a technical amendment which removes </w:t>
      </w:r>
      <w:r>
        <w:rPr>
          <w:i/>
        </w:rPr>
        <w:t xml:space="preserve">contractor </w:t>
      </w:r>
      <w:r>
        <w:t xml:space="preserve">from the dictionary as a consequence of the definition of </w:t>
      </w:r>
      <w:r>
        <w:rPr>
          <w:i/>
        </w:rPr>
        <w:t xml:space="preserve">voluntary member </w:t>
      </w:r>
      <w:r>
        <w:t xml:space="preserve">in section 10. The term </w:t>
      </w:r>
      <w:r>
        <w:rPr>
          <w:i/>
        </w:rPr>
        <w:t xml:space="preserve">contractor </w:t>
      </w:r>
      <w:r>
        <w:t>is now defined within section 10 of the Act.</w:t>
      </w:r>
    </w:p>
    <w:p w:rsidR="00613520" w:rsidRDefault="00613520">
      <w:pPr>
        <w:pStyle w:val="BodyText"/>
        <w:spacing w:before="6"/>
        <w:rPr>
          <w:sz w:val="16"/>
        </w:rPr>
      </w:pPr>
    </w:p>
    <w:p w:rsidR="00613520" w:rsidRDefault="00DF3424">
      <w:pPr>
        <w:tabs>
          <w:tab w:val="left" w:pos="1540"/>
        </w:tabs>
        <w:ind w:left="100"/>
        <w:rPr>
          <w:b/>
          <w:i/>
        </w:rPr>
      </w:pPr>
      <w:r>
        <w:rPr>
          <w:b/>
        </w:rPr>
        <w:t>Clause</w:t>
      </w:r>
      <w:r>
        <w:rPr>
          <w:b/>
          <w:spacing w:val="-3"/>
        </w:rPr>
        <w:t xml:space="preserve"> </w:t>
      </w:r>
      <w:r>
        <w:rPr>
          <w:b/>
        </w:rPr>
        <w:t>34</w:t>
      </w:r>
      <w:r>
        <w:rPr>
          <w:b/>
        </w:rPr>
        <w:tab/>
        <w:t xml:space="preserve">Dictionary, new definition of </w:t>
      </w:r>
      <w:r>
        <w:rPr>
          <w:b/>
          <w:i/>
        </w:rPr>
        <w:t>volun</w:t>
      </w:r>
      <w:r>
        <w:rPr>
          <w:b/>
          <w:i/>
        </w:rPr>
        <w:t>tary</w:t>
      </w:r>
      <w:r>
        <w:rPr>
          <w:b/>
          <w:i/>
          <w:spacing w:val="-2"/>
        </w:rPr>
        <w:t xml:space="preserve"> </w:t>
      </w:r>
      <w:r>
        <w:rPr>
          <w:b/>
          <w:i/>
        </w:rPr>
        <w:t>member</w:t>
      </w:r>
    </w:p>
    <w:p w:rsidR="00613520" w:rsidRDefault="00613520">
      <w:pPr>
        <w:pStyle w:val="BodyText"/>
        <w:spacing w:before="8"/>
        <w:rPr>
          <w:b/>
          <w:i/>
          <w:sz w:val="19"/>
        </w:rPr>
      </w:pPr>
    </w:p>
    <w:p w:rsidR="00613520" w:rsidRDefault="00DF3424">
      <w:pPr>
        <w:pStyle w:val="BodyText"/>
        <w:spacing w:before="1" w:line="273" w:lineRule="auto"/>
        <w:ind w:left="100" w:right="498"/>
      </w:pPr>
      <w:r>
        <w:t xml:space="preserve">As a consequence of the amendment in clause 4, this clause inserts a new definition of </w:t>
      </w:r>
      <w:r>
        <w:rPr>
          <w:i/>
        </w:rPr>
        <w:t>voluntary member</w:t>
      </w:r>
      <w:r>
        <w:t>, which will be provided for under section 10 of the Act.</w:t>
      </w:r>
    </w:p>
    <w:p w:rsidR="00613520" w:rsidRDefault="00613520">
      <w:pPr>
        <w:pStyle w:val="BodyText"/>
        <w:spacing w:before="8"/>
        <w:rPr>
          <w:sz w:val="16"/>
        </w:rPr>
      </w:pPr>
    </w:p>
    <w:p w:rsidR="00613520" w:rsidRDefault="00DF3424">
      <w:pPr>
        <w:pStyle w:val="Heading5"/>
        <w:tabs>
          <w:tab w:val="left" w:pos="1540"/>
        </w:tabs>
        <w:spacing w:before="1"/>
        <w:rPr>
          <w:i/>
        </w:rPr>
      </w:pPr>
      <w:r>
        <w:t>Clause</w:t>
      </w:r>
      <w:r>
        <w:rPr>
          <w:spacing w:val="-3"/>
        </w:rPr>
        <w:t xml:space="preserve"> </w:t>
      </w:r>
      <w:r>
        <w:t>35</w:t>
      </w:r>
      <w:r>
        <w:tab/>
        <w:t>Further amendments, mentions of</w:t>
      </w:r>
      <w:r>
        <w:rPr>
          <w:spacing w:val="-2"/>
        </w:rPr>
        <w:t xml:space="preserve"> </w:t>
      </w:r>
      <w:r>
        <w:rPr>
          <w:i/>
        </w:rPr>
        <w:t>contractor</w:t>
      </w:r>
    </w:p>
    <w:p w:rsidR="00613520" w:rsidRDefault="00613520">
      <w:pPr>
        <w:pStyle w:val="BodyText"/>
        <w:spacing w:before="10"/>
        <w:rPr>
          <w:b/>
          <w:i/>
          <w:sz w:val="19"/>
        </w:rPr>
      </w:pPr>
    </w:p>
    <w:p w:rsidR="00613520" w:rsidRDefault="00DF3424">
      <w:pPr>
        <w:pStyle w:val="BodyText"/>
        <w:ind w:left="100"/>
      </w:pPr>
      <w:r>
        <w:t>As a consequence of the ame</w:t>
      </w:r>
      <w:r>
        <w:t xml:space="preserve">ndment in clause 4, references to </w:t>
      </w:r>
      <w:r>
        <w:rPr>
          <w:i/>
        </w:rPr>
        <w:t xml:space="preserve">contractor </w:t>
      </w:r>
      <w:r>
        <w:t>are substituted with</w:t>
      </w:r>
    </w:p>
    <w:p w:rsidR="00613520" w:rsidRDefault="00DF3424">
      <w:pPr>
        <w:spacing w:before="39"/>
        <w:ind w:left="100"/>
      </w:pPr>
      <w:r>
        <w:rPr>
          <w:i/>
        </w:rPr>
        <w:t>voluntary member</w:t>
      </w:r>
      <w:r>
        <w:t>.</w:t>
      </w:r>
    </w:p>
    <w:p w:rsidR="00613520" w:rsidRDefault="00613520">
      <w:pPr>
        <w:pStyle w:val="BodyText"/>
        <w:spacing w:before="8"/>
        <w:rPr>
          <w:sz w:val="19"/>
        </w:rPr>
      </w:pPr>
    </w:p>
    <w:p w:rsidR="00613520" w:rsidRDefault="00DF3424">
      <w:pPr>
        <w:tabs>
          <w:tab w:val="left" w:pos="1540"/>
        </w:tabs>
        <w:ind w:left="100"/>
        <w:rPr>
          <w:b/>
          <w:i/>
        </w:rPr>
      </w:pPr>
      <w:r>
        <w:rPr>
          <w:b/>
        </w:rPr>
        <w:t>Clause</w:t>
      </w:r>
      <w:r>
        <w:rPr>
          <w:b/>
          <w:spacing w:val="-3"/>
        </w:rPr>
        <w:t xml:space="preserve"> </w:t>
      </w:r>
      <w:r>
        <w:rPr>
          <w:b/>
        </w:rPr>
        <w:t>36</w:t>
      </w:r>
      <w:r>
        <w:rPr>
          <w:b/>
        </w:rPr>
        <w:tab/>
        <w:t>Further amendments, mentions of</w:t>
      </w:r>
      <w:r>
        <w:rPr>
          <w:b/>
          <w:spacing w:val="-2"/>
        </w:rPr>
        <w:t xml:space="preserve"> </w:t>
      </w:r>
      <w:r>
        <w:rPr>
          <w:b/>
          <w:i/>
        </w:rPr>
        <w:t>contractors</w:t>
      </w:r>
    </w:p>
    <w:p w:rsidR="00613520" w:rsidRDefault="00613520">
      <w:pPr>
        <w:pStyle w:val="BodyText"/>
        <w:spacing w:before="8"/>
        <w:rPr>
          <w:b/>
          <w:i/>
          <w:sz w:val="19"/>
        </w:rPr>
      </w:pPr>
    </w:p>
    <w:p w:rsidR="00613520" w:rsidRDefault="00DF3424">
      <w:pPr>
        <w:pStyle w:val="BodyText"/>
        <w:spacing w:before="1"/>
        <w:ind w:left="100"/>
      </w:pPr>
      <w:r>
        <w:t xml:space="preserve">As a consequence of the amendment in clause 4, references to </w:t>
      </w:r>
      <w:r>
        <w:rPr>
          <w:i/>
        </w:rPr>
        <w:t xml:space="preserve">contractors </w:t>
      </w:r>
      <w:r>
        <w:t>are substituted with</w:t>
      </w:r>
    </w:p>
    <w:p w:rsidR="00613520" w:rsidRDefault="00DF3424">
      <w:pPr>
        <w:spacing w:before="41"/>
        <w:ind w:left="100"/>
      </w:pPr>
      <w:r>
        <w:rPr>
          <w:i/>
        </w:rPr>
        <w:t>voluntary members</w:t>
      </w:r>
      <w:r>
        <w:t>.</w:t>
      </w:r>
    </w:p>
    <w:p w:rsidR="00613520" w:rsidRDefault="00613520">
      <w:pPr>
        <w:pStyle w:val="BodyText"/>
        <w:spacing w:before="8"/>
        <w:rPr>
          <w:sz w:val="19"/>
        </w:rPr>
      </w:pPr>
    </w:p>
    <w:p w:rsidR="00613520" w:rsidRDefault="00DF3424">
      <w:pPr>
        <w:tabs>
          <w:tab w:val="left" w:pos="1540"/>
        </w:tabs>
        <w:ind w:left="100"/>
        <w:rPr>
          <w:b/>
          <w:i/>
        </w:rPr>
      </w:pPr>
      <w:r>
        <w:rPr>
          <w:b/>
        </w:rPr>
        <w:t>Clause</w:t>
      </w:r>
      <w:r>
        <w:rPr>
          <w:b/>
          <w:spacing w:val="-3"/>
        </w:rPr>
        <w:t xml:space="preserve"> </w:t>
      </w:r>
      <w:r>
        <w:rPr>
          <w:b/>
        </w:rPr>
        <w:t>37</w:t>
      </w:r>
      <w:r>
        <w:rPr>
          <w:b/>
        </w:rPr>
        <w:tab/>
        <w:t>Further amendments, mentions of</w:t>
      </w:r>
      <w:r>
        <w:rPr>
          <w:b/>
          <w:spacing w:val="-2"/>
        </w:rPr>
        <w:t xml:space="preserve"> </w:t>
      </w:r>
      <w:r>
        <w:rPr>
          <w:b/>
          <w:i/>
        </w:rPr>
        <w:t>contractor’s</w:t>
      </w:r>
    </w:p>
    <w:p w:rsidR="00613520" w:rsidRDefault="00613520">
      <w:pPr>
        <w:pStyle w:val="BodyText"/>
        <w:spacing w:before="8"/>
        <w:rPr>
          <w:b/>
          <w:i/>
          <w:sz w:val="19"/>
        </w:rPr>
      </w:pPr>
    </w:p>
    <w:p w:rsidR="00613520" w:rsidRDefault="00DF3424">
      <w:pPr>
        <w:spacing w:line="276" w:lineRule="auto"/>
        <w:ind w:left="100" w:right="168"/>
      </w:pPr>
      <w:r>
        <w:t xml:space="preserve">As a consequence of the amendment in clause 4, all further mentions of </w:t>
      </w:r>
      <w:r>
        <w:rPr>
          <w:i/>
        </w:rPr>
        <w:t xml:space="preserve">contractor’s </w:t>
      </w:r>
      <w:r>
        <w:t>ar</w:t>
      </w:r>
      <w:r>
        <w:t xml:space="preserve">e substituted with </w:t>
      </w:r>
      <w:r>
        <w:rPr>
          <w:i/>
        </w:rPr>
        <w:t>voluntary member’s</w:t>
      </w:r>
      <w:r>
        <w:t>.</w:t>
      </w:r>
    </w:p>
    <w:sectPr w:rsidR="00613520">
      <w:pgSz w:w="11910" w:h="16840"/>
      <w:pgMar w:top="13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424" w:rsidRDefault="00DF3424" w:rsidP="00DF3424">
      <w:r>
        <w:separator/>
      </w:r>
    </w:p>
  </w:endnote>
  <w:endnote w:type="continuationSeparator" w:id="0">
    <w:p w:rsidR="00DF3424" w:rsidRDefault="00DF3424" w:rsidP="00DF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424" w:rsidRDefault="00DF3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424" w:rsidRPr="00DF3424" w:rsidRDefault="00DF3424" w:rsidP="00DF3424">
    <w:pPr>
      <w:pStyle w:val="Footer"/>
      <w:jc w:val="center"/>
      <w:rPr>
        <w:rFonts w:ascii="Arial" w:hAnsi="Arial" w:cs="Arial"/>
        <w:sz w:val="14"/>
      </w:rPr>
    </w:pPr>
    <w:r w:rsidRPr="00DF342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424" w:rsidRDefault="00DF3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424" w:rsidRDefault="00DF3424" w:rsidP="00DF3424">
      <w:r>
        <w:separator/>
      </w:r>
    </w:p>
  </w:footnote>
  <w:footnote w:type="continuationSeparator" w:id="0">
    <w:p w:rsidR="00DF3424" w:rsidRDefault="00DF3424" w:rsidP="00DF3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424" w:rsidRDefault="00DF3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424" w:rsidRDefault="00DF3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424" w:rsidRDefault="00DF3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C45A2"/>
    <w:multiLevelType w:val="hybridMultilevel"/>
    <w:tmpl w:val="23BAE046"/>
    <w:lvl w:ilvl="0" w:tplc="77DE1C0C">
      <w:numFmt w:val="bullet"/>
      <w:lvlText w:val=""/>
      <w:lvlJc w:val="left"/>
      <w:pPr>
        <w:ind w:left="820" w:hanging="360"/>
      </w:pPr>
      <w:rPr>
        <w:rFonts w:ascii="Symbol" w:eastAsia="Symbol" w:hAnsi="Symbol" w:cs="Symbol" w:hint="default"/>
        <w:w w:val="100"/>
        <w:sz w:val="22"/>
        <w:szCs w:val="22"/>
        <w:lang w:val="en-AU" w:eastAsia="en-AU" w:bidi="en-AU"/>
      </w:rPr>
    </w:lvl>
    <w:lvl w:ilvl="1" w:tplc="533C8926">
      <w:numFmt w:val="bullet"/>
      <w:lvlText w:val="•"/>
      <w:lvlJc w:val="left"/>
      <w:pPr>
        <w:ind w:left="1662" w:hanging="360"/>
      </w:pPr>
      <w:rPr>
        <w:rFonts w:hint="default"/>
        <w:lang w:val="en-AU" w:eastAsia="en-AU" w:bidi="en-AU"/>
      </w:rPr>
    </w:lvl>
    <w:lvl w:ilvl="2" w:tplc="F4D093D0">
      <w:numFmt w:val="bullet"/>
      <w:lvlText w:val="•"/>
      <w:lvlJc w:val="left"/>
      <w:pPr>
        <w:ind w:left="2505" w:hanging="360"/>
      </w:pPr>
      <w:rPr>
        <w:rFonts w:hint="default"/>
        <w:lang w:val="en-AU" w:eastAsia="en-AU" w:bidi="en-AU"/>
      </w:rPr>
    </w:lvl>
    <w:lvl w:ilvl="3" w:tplc="009CB324">
      <w:numFmt w:val="bullet"/>
      <w:lvlText w:val="•"/>
      <w:lvlJc w:val="left"/>
      <w:pPr>
        <w:ind w:left="3347" w:hanging="360"/>
      </w:pPr>
      <w:rPr>
        <w:rFonts w:hint="default"/>
        <w:lang w:val="en-AU" w:eastAsia="en-AU" w:bidi="en-AU"/>
      </w:rPr>
    </w:lvl>
    <w:lvl w:ilvl="4" w:tplc="F844DBCC">
      <w:numFmt w:val="bullet"/>
      <w:lvlText w:val="•"/>
      <w:lvlJc w:val="left"/>
      <w:pPr>
        <w:ind w:left="4190" w:hanging="360"/>
      </w:pPr>
      <w:rPr>
        <w:rFonts w:hint="default"/>
        <w:lang w:val="en-AU" w:eastAsia="en-AU" w:bidi="en-AU"/>
      </w:rPr>
    </w:lvl>
    <w:lvl w:ilvl="5" w:tplc="D0C6F6D0">
      <w:numFmt w:val="bullet"/>
      <w:lvlText w:val="•"/>
      <w:lvlJc w:val="left"/>
      <w:pPr>
        <w:ind w:left="5033" w:hanging="360"/>
      </w:pPr>
      <w:rPr>
        <w:rFonts w:hint="default"/>
        <w:lang w:val="en-AU" w:eastAsia="en-AU" w:bidi="en-AU"/>
      </w:rPr>
    </w:lvl>
    <w:lvl w:ilvl="6" w:tplc="3D66E310">
      <w:numFmt w:val="bullet"/>
      <w:lvlText w:val="•"/>
      <w:lvlJc w:val="left"/>
      <w:pPr>
        <w:ind w:left="5875" w:hanging="360"/>
      </w:pPr>
      <w:rPr>
        <w:rFonts w:hint="default"/>
        <w:lang w:val="en-AU" w:eastAsia="en-AU" w:bidi="en-AU"/>
      </w:rPr>
    </w:lvl>
    <w:lvl w:ilvl="7" w:tplc="98C0880A">
      <w:numFmt w:val="bullet"/>
      <w:lvlText w:val="•"/>
      <w:lvlJc w:val="left"/>
      <w:pPr>
        <w:ind w:left="6718" w:hanging="360"/>
      </w:pPr>
      <w:rPr>
        <w:rFonts w:hint="default"/>
        <w:lang w:val="en-AU" w:eastAsia="en-AU" w:bidi="en-AU"/>
      </w:rPr>
    </w:lvl>
    <w:lvl w:ilvl="8" w:tplc="5C8CE006">
      <w:numFmt w:val="bullet"/>
      <w:lvlText w:val="•"/>
      <w:lvlJc w:val="left"/>
      <w:pPr>
        <w:ind w:left="7561"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13520"/>
    <w:rsid w:val="00613520"/>
    <w:rsid w:val="00A17228"/>
    <w:rsid w:val="00DF3424"/>
    <w:rsid w:val="00EB6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92C183-61C1-45D2-9512-2990DD73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463" w:right="480"/>
      <w:jc w:val="center"/>
      <w:outlineLvl w:val="0"/>
    </w:pPr>
    <w:rPr>
      <w:b/>
      <w:bCs/>
      <w:sz w:val="28"/>
      <w:szCs w:val="28"/>
    </w:rPr>
  </w:style>
  <w:style w:type="paragraph" w:styleId="Heading2">
    <w:name w:val="heading 2"/>
    <w:basedOn w:val="Normal"/>
    <w:uiPriority w:val="9"/>
    <w:unhideWhenUsed/>
    <w:qFormat/>
    <w:pPr>
      <w:ind w:left="100"/>
      <w:outlineLvl w:val="1"/>
    </w:pPr>
    <w:rPr>
      <w:b/>
      <w:bCs/>
      <w:sz w:val="26"/>
      <w:szCs w:val="26"/>
      <w:u w:val="single" w:color="000000"/>
    </w:rPr>
  </w:style>
  <w:style w:type="paragraph" w:styleId="Heading3">
    <w:name w:val="heading 3"/>
    <w:basedOn w:val="Normal"/>
    <w:uiPriority w:val="9"/>
    <w:unhideWhenUsed/>
    <w:qFormat/>
    <w:pPr>
      <w:ind w:left="100"/>
      <w:outlineLvl w:val="2"/>
    </w:pPr>
    <w:rPr>
      <w:sz w:val="24"/>
      <w:szCs w:val="24"/>
      <w:u w:val="single" w:color="000000"/>
    </w:rPr>
  </w:style>
  <w:style w:type="paragraph" w:styleId="Heading4">
    <w:name w:val="heading 4"/>
    <w:basedOn w:val="Normal"/>
    <w:uiPriority w:val="9"/>
    <w:unhideWhenUsed/>
    <w:qFormat/>
    <w:pPr>
      <w:ind w:left="100"/>
      <w:outlineLvl w:val="3"/>
    </w:pPr>
    <w:rPr>
      <w:i/>
      <w:sz w:val="24"/>
      <w:szCs w:val="24"/>
    </w:rPr>
  </w:style>
  <w:style w:type="paragraph" w:styleId="Heading5">
    <w:name w:val="heading 5"/>
    <w:basedOn w:val="Normal"/>
    <w:uiPriority w:val="9"/>
    <w:unhideWhenUsed/>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3424"/>
    <w:pPr>
      <w:tabs>
        <w:tab w:val="center" w:pos="4513"/>
        <w:tab w:val="right" w:pos="9026"/>
      </w:tabs>
    </w:pPr>
  </w:style>
  <w:style w:type="character" w:customStyle="1" w:styleId="HeaderChar">
    <w:name w:val="Header Char"/>
    <w:basedOn w:val="DefaultParagraphFont"/>
    <w:link w:val="Header"/>
    <w:uiPriority w:val="99"/>
    <w:rsid w:val="00DF3424"/>
    <w:rPr>
      <w:rFonts w:ascii="Calibri" w:eastAsia="Calibri" w:hAnsi="Calibri" w:cs="Calibri"/>
      <w:lang w:val="en-AU" w:eastAsia="en-AU" w:bidi="en-AU"/>
    </w:rPr>
  </w:style>
  <w:style w:type="paragraph" w:styleId="Footer">
    <w:name w:val="footer"/>
    <w:basedOn w:val="Normal"/>
    <w:link w:val="FooterChar"/>
    <w:uiPriority w:val="99"/>
    <w:unhideWhenUsed/>
    <w:rsid w:val="00DF3424"/>
    <w:pPr>
      <w:tabs>
        <w:tab w:val="center" w:pos="4513"/>
        <w:tab w:val="right" w:pos="9026"/>
      </w:tabs>
    </w:pPr>
  </w:style>
  <w:style w:type="character" w:customStyle="1" w:styleId="FooterChar">
    <w:name w:val="Footer Char"/>
    <w:basedOn w:val="DefaultParagraphFont"/>
    <w:link w:val="Footer"/>
    <w:uiPriority w:val="99"/>
    <w:rsid w:val="00DF3424"/>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4260</Words>
  <Characters>22149</Characters>
  <Application>Microsoft Office Word</Application>
  <DocSecurity>0</DocSecurity>
  <Lines>498</Lines>
  <Paragraphs>155</Paragraphs>
  <ScaleCrop>false</ScaleCrop>
  <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Cranney, Rosemary</dc:creator>
  <cp:lastModifiedBy>PCODCS</cp:lastModifiedBy>
  <cp:revision>4</cp:revision>
  <dcterms:created xsi:type="dcterms:W3CDTF">2019-10-23T22:59:00Z</dcterms:created>
  <dcterms:modified xsi:type="dcterms:W3CDTF">2019-10-23T22:59:00Z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Microsoft® Word for Office 365</vt:lpwstr>
  </property>
  <property fmtid="{D5CDD505-2E9C-101B-9397-08002B2CF9AE}" pid="4" name="LastSaved">
    <vt:filetime>2019-10-23T00:00:00Z</vt:filetime>
  </property>
</Properties>
</file>