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11B44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F3FC0E3" w14:textId="77777777" w:rsidR="005D70F1" w:rsidRDefault="00F17AA1">
      <w:pPr>
        <w:pStyle w:val="Billname"/>
        <w:spacing w:before="700"/>
      </w:pPr>
      <w:r>
        <w:t xml:space="preserve">Motor Accident Injuries </w:t>
      </w:r>
      <w:r w:rsidR="008B4761">
        <w:t>Premium</w:t>
      </w:r>
      <w:r w:rsidR="00975E8C">
        <w:t xml:space="preserve"> Guidelines</w:t>
      </w:r>
      <w:r w:rsidR="00273754">
        <w:t xml:space="preserve"> 201</w:t>
      </w:r>
      <w:r>
        <w:t>9</w:t>
      </w:r>
      <w:r w:rsidR="005D70F1">
        <w:t xml:space="preserve"> (No </w:t>
      </w:r>
      <w:r w:rsidR="008B4761">
        <w:t>1</w:t>
      </w:r>
      <w:r w:rsidR="005D70F1">
        <w:t>)</w:t>
      </w:r>
    </w:p>
    <w:p w14:paraId="4BD7C5B7" w14:textId="64342453" w:rsidR="005D70F1" w:rsidRDefault="00C63241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5D70F1">
        <w:rPr>
          <w:rFonts w:ascii="Arial" w:hAnsi="Arial" w:cs="Arial"/>
          <w:b/>
          <w:bCs/>
        </w:rPr>
        <w:t xml:space="preserve">instrument </w:t>
      </w:r>
      <w:r>
        <w:rPr>
          <w:rFonts w:ascii="Arial" w:hAnsi="Arial" w:cs="Arial"/>
          <w:b/>
          <w:bCs/>
        </w:rPr>
        <w:t>D</w:t>
      </w:r>
      <w:r w:rsidR="005D70F1">
        <w:rPr>
          <w:rFonts w:ascii="Arial" w:hAnsi="Arial" w:cs="Arial"/>
          <w:b/>
          <w:bCs/>
        </w:rPr>
        <w:t>I</w:t>
      </w:r>
      <w:r w:rsidR="00273754">
        <w:rPr>
          <w:rFonts w:ascii="Arial" w:hAnsi="Arial" w:cs="Arial"/>
          <w:b/>
          <w:bCs/>
          <w:iCs/>
        </w:rPr>
        <w:t>201</w:t>
      </w:r>
      <w:r w:rsidR="00F17AA1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/>
          <w:bCs/>
          <w:iCs/>
        </w:rPr>
        <w:t>-</w:t>
      </w:r>
      <w:r w:rsidR="00B363DB">
        <w:rPr>
          <w:rFonts w:ascii="Arial" w:hAnsi="Arial" w:cs="Arial"/>
          <w:b/>
          <w:bCs/>
          <w:iCs/>
        </w:rPr>
        <w:t>245</w:t>
      </w:r>
    </w:p>
    <w:p w14:paraId="2FC8E40F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48E1E07A" w14:textId="77777777" w:rsidR="005D70F1" w:rsidRDefault="00F17AA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Act 2019, section 487 (MAI Guidelines) </w:t>
      </w:r>
    </w:p>
    <w:p w14:paraId="1C6D77AC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E94C2AC" w14:textId="77777777" w:rsidR="005D70F1" w:rsidRDefault="005D70F1">
      <w:pPr>
        <w:pStyle w:val="N-line3"/>
        <w:pBdr>
          <w:bottom w:val="none" w:sz="0" w:space="0" w:color="auto"/>
        </w:pBdr>
      </w:pPr>
    </w:p>
    <w:p w14:paraId="1BFD1B60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80FF203" w14:textId="54117B91" w:rsidR="00EB1BB3" w:rsidRDefault="00EB1BB3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  <w:r>
        <w:rPr>
          <w:szCs w:val="24"/>
          <w:lang w:eastAsia="en-AU"/>
        </w:rPr>
        <w:t xml:space="preserve">Section 487 of </w:t>
      </w:r>
      <w:r w:rsidR="00553FFB" w:rsidRPr="00EB1BB3">
        <w:rPr>
          <w:szCs w:val="24"/>
          <w:lang w:eastAsia="en-AU"/>
        </w:rPr>
        <w:t>the</w:t>
      </w:r>
      <w:r w:rsidR="00553FFB" w:rsidRPr="009065BE">
        <w:rPr>
          <w:i/>
          <w:iCs/>
          <w:szCs w:val="24"/>
          <w:lang w:eastAsia="en-AU"/>
        </w:rPr>
        <w:t xml:space="preserve"> </w:t>
      </w:r>
      <w:r w:rsidR="00F17AA1" w:rsidRPr="009065BE">
        <w:rPr>
          <w:i/>
          <w:iCs/>
          <w:szCs w:val="24"/>
          <w:lang w:eastAsia="en-AU"/>
        </w:rPr>
        <w:t>Motor Accident Injuries Act 2019</w:t>
      </w:r>
      <w:r w:rsidR="00F17AA1">
        <w:rPr>
          <w:i/>
          <w:szCs w:val="24"/>
          <w:lang w:eastAsia="en-AU"/>
        </w:rPr>
        <w:t xml:space="preserve"> </w:t>
      </w:r>
      <w:r w:rsidR="00F33099" w:rsidRPr="00F33099">
        <w:rPr>
          <w:szCs w:val="24"/>
          <w:lang w:eastAsia="en-AU"/>
        </w:rPr>
        <w:t xml:space="preserve">(the </w:t>
      </w:r>
      <w:r w:rsidR="00F17AA1">
        <w:rPr>
          <w:szCs w:val="24"/>
          <w:lang w:eastAsia="en-AU"/>
        </w:rPr>
        <w:t>MAI</w:t>
      </w:r>
      <w:r w:rsidR="00F33099" w:rsidRPr="00F33099">
        <w:rPr>
          <w:szCs w:val="24"/>
          <w:lang w:eastAsia="en-AU"/>
        </w:rPr>
        <w:t xml:space="preserve"> Act)</w:t>
      </w:r>
      <w:r>
        <w:rPr>
          <w:szCs w:val="24"/>
          <w:lang w:eastAsia="en-AU"/>
        </w:rPr>
        <w:t xml:space="preserve"> enables the MAI Commission to make guidelines about any matter required or permitted by the MAI Act to be included in guidelines</w:t>
      </w:r>
      <w:r w:rsidR="00553FFB">
        <w:rPr>
          <w:i/>
          <w:szCs w:val="24"/>
          <w:lang w:eastAsia="en-AU"/>
        </w:rPr>
        <w:t xml:space="preserve">. </w:t>
      </w:r>
    </w:p>
    <w:p w14:paraId="76C44982" w14:textId="77777777" w:rsidR="00EB1BB3" w:rsidRDefault="00EB1BB3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</w:p>
    <w:p w14:paraId="6344FA0F" w14:textId="6B84A101" w:rsidR="001C5D5D" w:rsidRPr="009065BE" w:rsidRDefault="00E168F8" w:rsidP="008B4761">
      <w:pPr>
        <w:autoSpaceDE w:val="0"/>
        <w:autoSpaceDN w:val="0"/>
        <w:adjustRightInd w:val="0"/>
        <w:rPr>
          <w:i/>
          <w:szCs w:val="24"/>
          <w:lang w:eastAsia="en-AU"/>
        </w:rPr>
      </w:pPr>
      <w:r>
        <w:rPr>
          <w:szCs w:val="24"/>
          <w:lang w:eastAsia="en-AU"/>
        </w:rPr>
        <w:t>T</w:t>
      </w:r>
      <w:r w:rsidR="00553FFB">
        <w:rPr>
          <w:szCs w:val="24"/>
          <w:lang w:eastAsia="en-AU"/>
        </w:rPr>
        <w:t xml:space="preserve">he guidelines </w:t>
      </w:r>
      <w:r>
        <w:rPr>
          <w:szCs w:val="24"/>
          <w:lang w:eastAsia="en-AU"/>
        </w:rPr>
        <w:t xml:space="preserve">are </w:t>
      </w:r>
      <w:r w:rsidR="009065BE">
        <w:rPr>
          <w:szCs w:val="24"/>
          <w:lang w:eastAsia="en-AU"/>
        </w:rPr>
        <w:t xml:space="preserve">for the purpose of </w:t>
      </w:r>
      <w:r>
        <w:rPr>
          <w:szCs w:val="24"/>
          <w:lang w:eastAsia="en-AU"/>
        </w:rPr>
        <w:t xml:space="preserve">section 316 of the MAI Act </w:t>
      </w:r>
      <w:r w:rsidR="009065BE">
        <w:rPr>
          <w:szCs w:val="24"/>
          <w:lang w:eastAsia="en-AU"/>
        </w:rPr>
        <w:t>to</w:t>
      </w:r>
      <w:r>
        <w:rPr>
          <w:szCs w:val="24"/>
          <w:lang w:eastAsia="en-AU"/>
        </w:rPr>
        <w:t xml:space="preserve"> </w:t>
      </w:r>
      <w:r w:rsidR="00EB1BB3">
        <w:rPr>
          <w:szCs w:val="24"/>
          <w:lang w:eastAsia="en-AU"/>
        </w:rPr>
        <w:t xml:space="preserve">make provision for </w:t>
      </w:r>
      <w:r w:rsidR="008612F9">
        <w:rPr>
          <w:szCs w:val="24"/>
          <w:lang w:eastAsia="en-AU"/>
        </w:rPr>
        <w:t>inform</w:t>
      </w:r>
      <w:r w:rsidR="008B4761">
        <w:rPr>
          <w:szCs w:val="24"/>
          <w:lang w:eastAsia="en-AU"/>
        </w:rPr>
        <w:t xml:space="preserve">ation and </w:t>
      </w:r>
      <w:r w:rsidR="008B4761">
        <w:rPr>
          <w:rFonts w:ascii="TimesNewRomanPSMT" w:hAnsi="TimesNewRomanPSMT" w:cs="TimesNewRomanPSMT"/>
          <w:szCs w:val="24"/>
          <w:lang w:eastAsia="en-AU"/>
        </w:rPr>
        <w:t xml:space="preserve">factors to be taken into account </w:t>
      </w:r>
      <w:r>
        <w:rPr>
          <w:rFonts w:ascii="TimesNewRomanPSMT" w:hAnsi="TimesNewRomanPSMT" w:cs="TimesNewRomanPSMT"/>
          <w:szCs w:val="24"/>
          <w:lang w:eastAsia="en-AU"/>
        </w:rPr>
        <w:t xml:space="preserve">to assist insurers </w:t>
      </w:r>
      <w:r w:rsidR="008B4761">
        <w:rPr>
          <w:rFonts w:ascii="TimesNewRomanPSMT" w:hAnsi="TimesNewRomanPSMT" w:cs="TimesNewRomanPSMT"/>
          <w:szCs w:val="24"/>
          <w:lang w:eastAsia="en-AU"/>
        </w:rPr>
        <w:t xml:space="preserve">in working out </w:t>
      </w:r>
      <w:r w:rsidR="00F17AA1">
        <w:rPr>
          <w:rFonts w:ascii="TimesNewRomanPSMT" w:hAnsi="TimesNewRomanPSMT" w:cs="TimesNewRomanPSMT"/>
          <w:szCs w:val="24"/>
          <w:lang w:eastAsia="en-AU"/>
        </w:rPr>
        <w:t xml:space="preserve">MAI </w:t>
      </w:r>
      <w:r w:rsidR="008B4761">
        <w:rPr>
          <w:rFonts w:ascii="TimesNewRomanPSMT" w:hAnsi="TimesNewRomanPSMT" w:cs="TimesNewRomanPSMT"/>
          <w:szCs w:val="24"/>
          <w:lang w:eastAsia="en-AU"/>
        </w:rPr>
        <w:t>premiums</w:t>
      </w:r>
      <w:r>
        <w:rPr>
          <w:rFonts w:ascii="TimesNewRomanPSMT" w:hAnsi="TimesNewRomanPSMT" w:cs="TimesNewRomanPSMT"/>
          <w:szCs w:val="24"/>
          <w:lang w:eastAsia="en-AU"/>
        </w:rPr>
        <w:t>;</w:t>
      </w:r>
      <w:r w:rsidR="008B4761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8612F9">
        <w:rPr>
          <w:rFonts w:ascii="TimesNewRomanPSMT" w:hAnsi="TimesNewRomanPSMT" w:cs="TimesNewRomanPSMT"/>
          <w:szCs w:val="24"/>
          <w:lang w:eastAsia="en-AU"/>
        </w:rPr>
        <w:t xml:space="preserve">and the requirements that must be met </w:t>
      </w:r>
      <w:r>
        <w:rPr>
          <w:rFonts w:ascii="TimesNewRomanPSMT" w:hAnsi="TimesNewRomanPSMT" w:cs="TimesNewRomanPSMT"/>
          <w:szCs w:val="24"/>
          <w:lang w:eastAsia="en-AU"/>
        </w:rPr>
        <w:t>to</w:t>
      </w:r>
      <w:r w:rsidR="008612F9">
        <w:rPr>
          <w:rFonts w:ascii="TimesNewRomanPSMT" w:hAnsi="TimesNewRomanPSMT" w:cs="TimesNewRomanPSMT"/>
          <w:szCs w:val="24"/>
          <w:lang w:eastAsia="en-AU"/>
        </w:rPr>
        <w:t xml:space="preserve"> support</w:t>
      </w:r>
      <w:r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8612F9">
        <w:rPr>
          <w:rFonts w:ascii="TimesNewRomanPSMT" w:hAnsi="TimesNewRomanPSMT" w:cs="TimesNewRomanPSMT"/>
          <w:szCs w:val="24"/>
          <w:lang w:eastAsia="en-AU"/>
        </w:rPr>
        <w:t>premiums charged</w:t>
      </w:r>
      <w:r w:rsidR="00EB1BB3">
        <w:rPr>
          <w:rFonts w:ascii="TimesNewRomanPSMT" w:hAnsi="TimesNewRomanPSMT" w:cs="TimesNewRomanPSMT"/>
          <w:szCs w:val="24"/>
          <w:lang w:eastAsia="en-AU"/>
        </w:rPr>
        <w:t xml:space="preserve"> under the MAI Scheme</w:t>
      </w:r>
      <w:r w:rsidR="008612F9">
        <w:rPr>
          <w:rFonts w:ascii="TimesNewRomanPSMT" w:hAnsi="TimesNewRomanPSMT" w:cs="TimesNewRomanPSMT"/>
          <w:szCs w:val="24"/>
          <w:lang w:eastAsia="en-AU"/>
        </w:rPr>
        <w:t xml:space="preserve">. </w:t>
      </w:r>
    </w:p>
    <w:p w14:paraId="6839F8C6" w14:textId="77777777" w:rsidR="001C5D5D" w:rsidRDefault="001C5D5D" w:rsidP="00F6376E">
      <w:pPr>
        <w:autoSpaceDE w:val="0"/>
        <w:autoSpaceDN w:val="0"/>
        <w:adjustRightInd w:val="0"/>
        <w:rPr>
          <w:szCs w:val="24"/>
          <w:lang w:eastAsia="en-AU"/>
        </w:rPr>
      </w:pPr>
    </w:p>
    <w:p w14:paraId="1309B047" w14:textId="56A3EDF9" w:rsidR="00533049" w:rsidRDefault="00DB35F0" w:rsidP="00533049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T</w:t>
      </w:r>
      <w:r w:rsidR="00777264">
        <w:rPr>
          <w:szCs w:val="24"/>
          <w:lang w:eastAsia="en-AU"/>
        </w:rPr>
        <w:t xml:space="preserve">he guidelines </w:t>
      </w:r>
      <w:r w:rsidR="007A5AFB">
        <w:rPr>
          <w:szCs w:val="24"/>
          <w:lang w:eastAsia="en-AU"/>
        </w:rPr>
        <w:t xml:space="preserve">substantially mirror the </w:t>
      </w:r>
      <w:r w:rsidR="001D4053">
        <w:rPr>
          <w:szCs w:val="24"/>
          <w:lang w:eastAsia="en-AU"/>
        </w:rPr>
        <w:t>prudential regulatory framework</w:t>
      </w:r>
      <w:r w:rsidR="00AF7B73">
        <w:rPr>
          <w:szCs w:val="24"/>
          <w:lang w:eastAsia="en-AU"/>
        </w:rPr>
        <w:t xml:space="preserve"> </w:t>
      </w:r>
      <w:r w:rsidR="00973892">
        <w:rPr>
          <w:szCs w:val="24"/>
          <w:lang w:eastAsia="en-AU"/>
        </w:rPr>
        <w:t>underlying</w:t>
      </w:r>
      <w:r w:rsidR="007C292F">
        <w:rPr>
          <w:szCs w:val="24"/>
          <w:lang w:eastAsia="en-AU"/>
        </w:rPr>
        <w:t xml:space="preserve"> the </w:t>
      </w:r>
      <w:r w:rsidR="00533049">
        <w:rPr>
          <w:szCs w:val="24"/>
          <w:lang w:eastAsia="en-AU"/>
        </w:rPr>
        <w:t>Road Transport (Third-Party Insurance) Premium Guidelines 201</w:t>
      </w:r>
      <w:r w:rsidR="009065BE">
        <w:rPr>
          <w:szCs w:val="24"/>
          <w:lang w:eastAsia="en-AU"/>
        </w:rPr>
        <w:t>8</w:t>
      </w:r>
      <w:r w:rsidR="00533049">
        <w:rPr>
          <w:szCs w:val="24"/>
          <w:lang w:eastAsia="en-AU"/>
        </w:rPr>
        <w:t xml:space="preserve"> (No </w:t>
      </w:r>
      <w:r w:rsidR="009065BE">
        <w:rPr>
          <w:szCs w:val="24"/>
          <w:lang w:eastAsia="en-AU"/>
        </w:rPr>
        <w:t>1</w:t>
      </w:r>
      <w:r w:rsidR="00533049">
        <w:rPr>
          <w:szCs w:val="24"/>
          <w:lang w:eastAsia="en-AU"/>
        </w:rPr>
        <w:t>)</w:t>
      </w:r>
      <w:r w:rsidR="00AF7B73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and make provision</w:t>
      </w:r>
      <w:r w:rsidR="007A5AFB">
        <w:rPr>
          <w:szCs w:val="24"/>
          <w:lang w:eastAsia="en-AU"/>
        </w:rPr>
        <w:t xml:space="preserve"> for the framework </w:t>
      </w:r>
      <w:r w:rsidR="00D22C92">
        <w:rPr>
          <w:szCs w:val="24"/>
          <w:lang w:eastAsia="en-AU"/>
        </w:rPr>
        <w:t>to</w:t>
      </w:r>
      <w:r w:rsidR="007A5AFB">
        <w:rPr>
          <w:szCs w:val="24"/>
          <w:lang w:eastAsia="en-AU"/>
        </w:rPr>
        <w:t xml:space="preserve"> </w:t>
      </w:r>
      <w:r w:rsidR="007C292F">
        <w:rPr>
          <w:szCs w:val="24"/>
          <w:lang w:eastAsia="en-AU"/>
        </w:rPr>
        <w:t>apply to the MAI Scheme.</w:t>
      </w:r>
      <w:r w:rsidR="00933DBB">
        <w:rPr>
          <w:szCs w:val="24"/>
          <w:lang w:eastAsia="en-AU"/>
        </w:rPr>
        <w:t xml:space="preserve">  </w:t>
      </w:r>
      <w:r w:rsidR="00533049">
        <w:rPr>
          <w:szCs w:val="24"/>
          <w:lang w:eastAsia="en-AU"/>
        </w:rPr>
        <w:t>A fundamental principle is that all premium</w:t>
      </w:r>
      <w:r w:rsidR="00933DBB">
        <w:rPr>
          <w:szCs w:val="24"/>
          <w:lang w:eastAsia="en-AU"/>
        </w:rPr>
        <w:t>s</w:t>
      </w:r>
      <w:r w:rsidR="00533049">
        <w:rPr>
          <w:szCs w:val="24"/>
          <w:lang w:eastAsia="en-AU"/>
        </w:rPr>
        <w:t xml:space="preserve"> (filings) are still required to fully fund the insurer’s present and likely future liability and must not be excessive.</w:t>
      </w:r>
    </w:p>
    <w:p w14:paraId="75BC604B" w14:textId="77777777" w:rsidR="00533049" w:rsidRDefault="00533049" w:rsidP="005005B6">
      <w:pPr>
        <w:autoSpaceDE w:val="0"/>
        <w:autoSpaceDN w:val="0"/>
        <w:adjustRightInd w:val="0"/>
        <w:rPr>
          <w:szCs w:val="24"/>
          <w:lang w:eastAsia="en-AU"/>
        </w:rPr>
      </w:pPr>
    </w:p>
    <w:p w14:paraId="56C7088B" w14:textId="73B28CA3" w:rsidR="007C292F" w:rsidRDefault="00912BE7" w:rsidP="005005B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Specifically, t</w:t>
      </w:r>
      <w:r w:rsidR="004D6315">
        <w:rPr>
          <w:szCs w:val="24"/>
          <w:lang w:eastAsia="en-AU"/>
        </w:rPr>
        <w:t xml:space="preserve">he guidelines </w:t>
      </w:r>
      <w:r w:rsidR="007C292F">
        <w:rPr>
          <w:szCs w:val="24"/>
          <w:lang w:eastAsia="en-AU"/>
        </w:rPr>
        <w:t>make provision for:</w:t>
      </w:r>
    </w:p>
    <w:p w14:paraId="2C9F9A88" w14:textId="693BB09B" w:rsidR="00194A9A" w:rsidRPr="001D3F44" w:rsidRDefault="00E64877" w:rsidP="009065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9065BE">
        <w:rPr>
          <w:rFonts w:ascii="Times New Roman" w:hAnsi="Times New Roman"/>
          <w:sz w:val="24"/>
          <w:szCs w:val="24"/>
        </w:rPr>
        <w:t xml:space="preserve">transitional arrangements </w:t>
      </w:r>
      <w:r w:rsidR="00194A9A">
        <w:rPr>
          <w:rFonts w:ascii="Times New Roman" w:hAnsi="Times New Roman"/>
          <w:sz w:val="24"/>
          <w:szCs w:val="24"/>
        </w:rPr>
        <w:t xml:space="preserve">to </w:t>
      </w:r>
      <w:r w:rsidRPr="009065BE">
        <w:rPr>
          <w:rFonts w:ascii="Times New Roman" w:hAnsi="Times New Roman"/>
          <w:sz w:val="24"/>
          <w:szCs w:val="24"/>
        </w:rPr>
        <w:t>apply</w:t>
      </w:r>
      <w:r w:rsidR="00912BE7">
        <w:rPr>
          <w:rFonts w:ascii="Times New Roman" w:hAnsi="Times New Roman"/>
          <w:sz w:val="24"/>
          <w:szCs w:val="24"/>
        </w:rPr>
        <w:t xml:space="preserve"> in </w:t>
      </w:r>
      <w:r w:rsidR="001335A1">
        <w:rPr>
          <w:rFonts w:ascii="Times New Roman" w:hAnsi="Times New Roman"/>
          <w:sz w:val="24"/>
          <w:szCs w:val="24"/>
        </w:rPr>
        <w:t xml:space="preserve">respect of the </w:t>
      </w:r>
      <w:r w:rsidR="00181800" w:rsidRPr="009065BE">
        <w:rPr>
          <w:rFonts w:ascii="Times New Roman" w:hAnsi="Times New Roman"/>
          <w:sz w:val="24"/>
          <w:szCs w:val="24"/>
        </w:rPr>
        <w:t xml:space="preserve">calculation </w:t>
      </w:r>
      <w:r w:rsidR="00973892">
        <w:rPr>
          <w:rFonts w:ascii="Times New Roman" w:hAnsi="Times New Roman"/>
          <w:sz w:val="24"/>
          <w:szCs w:val="24"/>
        </w:rPr>
        <w:t>and return to policy holders</w:t>
      </w:r>
      <w:r w:rsidR="00912BE7">
        <w:rPr>
          <w:rFonts w:ascii="Times New Roman" w:hAnsi="Times New Roman"/>
          <w:sz w:val="24"/>
          <w:szCs w:val="24"/>
        </w:rPr>
        <w:t xml:space="preserve"> of</w:t>
      </w:r>
      <w:r w:rsidR="00973892">
        <w:rPr>
          <w:rFonts w:ascii="Times New Roman" w:hAnsi="Times New Roman"/>
          <w:sz w:val="24"/>
          <w:szCs w:val="24"/>
        </w:rPr>
        <w:t xml:space="preserve"> </w:t>
      </w:r>
      <w:r w:rsidR="00E662F6">
        <w:rPr>
          <w:rFonts w:ascii="Times New Roman" w:hAnsi="Times New Roman"/>
          <w:sz w:val="24"/>
          <w:szCs w:val="24"/>
        </w:rPr>
        <w:t xml:space="preserve">the </w:t>
      </w:r>
      <w:r w:rsidR="00173BA0">
        <w:rPr>
          <w:rFonts w:ascii="Times New Roman" w:hAnsi="Times New Roman"/>
          <w:sz w:val="24"/>
          <w:szCs w:val="24"/>
        </w:rPr>
        <w:t xml:space="preserve">premium surplus or </w:t>
      </w:r>
      <w:r w:rsidR="00973892">
        <w:rPr>
          <w:rFonts w:ascii="Times New Roman" w:hAnsi="Times New Roman"/>
          <w:sz w:val="24"/>
          <w:szCs w:val="24"/>
        </w:rPr>
        <w:t>‘</w:t>
      </w:r>
      <w:r w:rsidR="00E662F6">
        <w:rPr>
          <w:rFonts w:ascii="Times New Roman" w:hAnsi="Times New Roman"/>
          <w:sz w:val="24"/>
          <w:szCs w:val="24"/>
        </w:rPr>
        <w:t xml:space="preserve">remaining </w:t>
      </w:r>
      <w:r w:rsidR="00181800" w:rsidRPr="009065BE">
        <w:rPr>
          <w:rFonts w:ascii="Times New Roman" w:hAnsi="Times New Roman"/>
          <w:sz w:val="24"/>
          <w:szCs w:val="24"/>
        </w:rPr>
        <w:t xml:space="preserve">premiums’ </w:t>
      </w:r>
      <w:r w:rsidR="00EA6DA8">
        <w:rPr>
          <w:rFonts w:ascii="Times New Roman" w:hAnsi="Times New Roman"/>
          <w:sz w:val="24"/>
          <w:szCs w:val="24"/>
        </w:rPr>
        <w:t xml:space="preserve"> </w:t>
      </w:r>
      <w:r w:rsidR="00EA6DA8" w:rsidRPr="00277D60">
        <w:rPr>
          <w:rFonts w:ascii="Times New Roman" w:hAnsi="Times New Roman"/>
          <w:sz w:val="24"/>
          <w:szCs w:val="24"/>
        </w:rPr>
        <w:t xml:space="preserve">corresponding to the period remaining on the CTP policy, at the point in time the </w:t>
      </w:r>
      <w:r w:rsidR="00181800" w:rsidRPr="009065BE">
        <w:rPr>
          <w:rFonts w:ascii="Times New Roman" w:hAnsi="Times New Roman"/>
          <w:sz w:val="24"/>
          <w:szCs w:val="24"/>
        </w:rPr>
        <w:t>MAI Scheme commences on</w:t>
      </w:r>
      <w:r w:rsidR="00387087" w:rsidRPr="009065BE">
        <w:rPr>
          <w:rFonts w:ascii="Times New Roman" w:hAnsi="Times New Roman"/>
          <w:sz w:val="24"/>
          <w:szCs w:val="24"/>
        </w:rPr>
        <w:t xml:space="preserve"> </w:t>
      </w:r>
      <w:r w:rsidR="00181800" w:rsidRPr="009065BE">
        <w:rPr>
          <w:rFonts w:ascii="Times New Roman" w:hAnsi="Times New Roman"/>
          <w:sz w:val="24"/>
          <w:szCs w:val="24"/>
        </w:rPr>
        <w:t>1 February 2020</w:t>
      </w:r>
      <w:r w:rsidR="000727F0">
        <w:rPr>
          <w:rFonts w:ascii="Times New Roman" w:hAnsi="Times New Roman"/>
          <w:sz w:val="24"/>
          <w:szCs w:val="24"/>
        </w:rPr>
        <w:t xml:space="preserve"> (section 3.8</w:t>
      </w:r>
      <w:r w:rsidR="00E662F6">
        <w:rPr>
          <w:rFonts w:ascii="Times New Roman" w:hAnsi="Times New Roman"/>
          <w:sz w:val="24"/>
          <w:szCs w:val="24"/>
        </w:rPr>
        <w:t>.1</w:t>
      </w:r>
      <w:r w:rsidR="000727F0">
        <w:rPr>
          <w:rFonts w:ascii="Times New Roman" w:hAnsi="Times New Roman"/>
          <w:sz w:val="24"/>
          <w:szCs w:val="24"/>
        </w:rPr>
        <w:t>)</w:t>
      </w:r>
      <w:r w:rsidR="00425F65" w:rsidRPr="009065BE">
        <w:rPr>
          <w:rFonts w:ascii="Times New Roman" w:hAnsi="Times New Roman"/>
          <w:sz w:val="24"/>
          <w:szCs w:val="24"/>
        </w:rPr>
        <w:t xml:space="preserve">; </w:t>
      </w:r>
      <w:r w:rsidR="00500A87">
        <w:rPr>
          <w:rFonts w:ascii="Times New Roman" w:hAnsi="Times New Roman"/>
          <w:sz w:val="24"/>
          <w:szCs w:val="24"/>
        </w:rPr>
        <w:t>and</w:t>
      </w:r>
    </w:p>
    <w:p w14:paraId="01F82BAD" w14:textId="2F17041C" w:rsidR="00973892" w:rsidRPr="00277D60" w:rsidRDefault="00425F65" w:rsidP="009065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9065BE">
        <w:rPr>
          <w:rFonts w:ascii="Times New Roman" w:hAnsi="Times New Roman"/>
          <w:sz w:val="24"/>
          <w:szCs w:val="24"/>
        </w:rPr>
        <w:t xml:space="preserve">premium filings </w:t>
      </w:r>
      <w:r w:rsidR="00194A9A">
        <w:rPr>
          <w:rFonts w:ascii="Times New Roman" w:hAnsi="Times New Roman"/>
          <w:sz w:val="24"/>
          <w:szCs w:val="24"/>
        </w:rPr>
        <w:t xml:space="preserve">to </w:t>
      </w:r>
      <w:r w:rsidR="002C1F2B" w:rsidRPr="009065BE">
        <w:rPr>
          <w:rFonts w:ascii="Times New Roman" w:hAnsi="Times New Roman"/>
          <w:sz w:val="24"/>
          <w:szCs w:val="24"/>
        </w:rPr>
        <w:t xml:space="preserve">take </w:t>
      </w:r>
      <w:r w:rsidR="00D31CF1" w:rsidRPr="009065BE">
        <w:rPr>
          <w:rFonts w:ascii="Times New Roman" w:hAnsi="Times New Roman"/>
          <w:sz w:val="24"/>
          <w:szCs w:val="24"/>
        </w:rPr>
        <w:t xml:space="preserve">account </w:t>
      </w:r>
      <w:r w:rsidR="001335A1">
        <w:rPr>
          <w:rFonts w:ascii="Times New Roman" w:hAnsi="Times New Roman"/>
          <w:sz w:val="24"/>
          <w:szCs w:val="24"/>
        </w:rPr>
        <w:t xml:space="preserve">of </w:t>
      </w:r>
      <w:r w:rsidR="000727F0">
        <w:rPr>
          <w:rFonts w:ascii="Times New Roman" w:hAnsi="Times New Roman"/>
          <w:sz w:val="24"/>
          <w:szCs w:val="24"/>
        </w:rPr>
        <w:t>the impact of the ‘honey</w:t>
      </w:r>
      <w:r w:rsidR="00CB008E">
        <w:rPr>
          <w:rFonts w:ascii="Times New Roman" w:hAnsi="Times New Roman"/>
          <w:sz w:val="24"/>
          <w:szCs w:val="24"/>
        </w:rPr>
        <w:t xml:space="preserve">moon effect’ </w:t>
      </w:r>
      <w:r w:rsidR="00E662F6">
        <w:rPr>
          <w:rFonts w:ascii="Times New Roman" w:hAnsi="Times New Roman"/>
          <w:sz w:val="24"/>
          <w:szCs w:val="24"/>
        </w:rPr>
        <w:t xml:space="preserve">and expected initial reduced </w:t>
      </w:r>
      <w:r w:rsidR="00CB008E">
        <w:rPr>
          <w:rFonts w:ascii="Times New Roman" w:hAnsi="Times New Roman"/>
          <w:sz w:val="24"/>
          <w:szCs w:val="24"/>
        </w:rPr>
        <w:t>claim</w:t>
      </w:r>
      <w:r w:rsidR="000727F0">
        <w:rPr>
          <w:rFonts w:ascii="Times New Roman" w:hAnsi="Times New Roman"/>
          <w:sz w:val="24"/>
          <w:szCs w:val="24"/>
        </w:rPr>
        <w:t xml:space="preserve"> </w:t>
      </w:r>
      <w:r w:rsidR="001335A1">
        <w:rPr>
          <w:rFonts w:ascii="Times New Roman" w:hAnsi="Times New Roman"/>
          <w:sz w:val="24"/>
          <w:szCs w:val="24"/>
        </w:rPr>
        <w:t xml:space="preserve">numbers and </w:t>
      </w:r>
      <w:r w:rsidR="00CB008E">
        <w:rPr>
          <w:rFonts w:ascii="Times New Roman" w:hAnsi="Times New Roman"/>
          <w:sz w:val="24"/>
          <w:szCs w:val="24"/>
        </w:rPr>
        <w:t xml:space="preserve">claim </w:t>
      </w:r>
      <w:r w:rsidR="001335A1">
        <w:rPr>
          <w:rFonts w:ascii="Times New Roman" w:hAnsi="Times New Roman"/>
          <w:sz w:val="24"/>
          <w:szCs w:val="24"/>
        </w:rPr>
        <w:t xml:space="preserve">costs </w:t>
      </w:r>
      <w:r w:rsidR="000727F0">
        <w:rPr>
          <w:rFonts w:ascii="Times New Roman" w:hAnsi="Times New Roman"/>
          <w:sz w:val="24"/>
          <w:szCs w:val="24"/>
        </w:rPr>
        <w:t xml:space="preserve">for the </w:t>
      </w:r>
      <w:r w:rsidR="00E662F6">
        <w:rPr>
          <w:rFonts w:ascii="Times New Roman" w:hAnsi="Times New Roman"/>
          <w:sz w:val="24"/>
          <w:szCs w:val="24"/>
        </w:rPr>
        <w:t xml:space="preserve">newly introduced </w:t>
      </w:r>
      <w:r w:rsidR="000727F0">
        <w:rPr>
          <w:rFonts w:ascii="Times New Roman" w:hAnsi="Times New Roman"/>
          <w:sz w:val="24"/>
          <w:szCs w:val="24"/>
        </w:rPr>
        <w:t>MAI scheme (section 3.8.2)</w:t>
      </w:r>
      <w:r w:rsidR="00F763AE">
        <w:rPr>
          <w:rFonts w:ascii="Times New Roman" w:hAnsi="Times New Roman"/>
          <w:sz w:val="24"/>
          <w:szCs w:val="24"/>
        </w:rPr>
        <w:t>.</w:t>
      </w:r>
    </w:p>
    <w:p w14:paraId="7D371970" w14:textId="3A44D866" w:rsidR="00131FC7" w:rsidRDefault="00F763AE" w:rsidP="00F763A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br/>
        <w:t xml:space="preserve">In addition, </w:t>
      </w:r>
      <w:r w:rsidR="00CE6E67">
        <w:rPr>
          <w:szCs w:val="24"/>
        </w:rPr>
        <w:t xml:space="preserve">the </w:t>
      </w:r>
      <w:r w:rsidR="00933DBB" w:rsidRPr="00CE6E67">
        <w:rPr>
          <w:szCs w:val="24"/>
        </w:rPr>
        <w:t xml:space="preserve">motorcycle support arrangements </w:t>
      </w:r>
      <w:r>
        <w:rPr>
          <w:szCs w:val="24"/>
        </w:rPr>
        <w:t xml:space="preserve">ensure that premiums remain affordable and do not increase as a result of </w:t>
      </w:r>
      <w:r w:rsidR="00CE6E67">
        <w:rPr>
          <w:szCs w:val="24"/>
        </w:rPr>
        <w:t xml:space="preserve"> more</w:t>
      </w:r>
      <w:r>
        <w:rPr>
          <w:szCs w:val="24"/>
        </w:rPr>
        <w:t xml:space="preserve"> motorcycle claims and costs in a no</w:t>
      </w:r>
      <w:r w:rsidR="004E365C">
        <w:rPr>
          <w:szCs w:val="24"/>
        </w:rPr>
        <w:noBreakHyphen/>
      </w:r>
      <w:r>
        <w:rPr>
          <w:szCs w:val="24"/>
        </w:rPr>
        <w:t xml:space="preserve">fault Scheme.  </w:t>
      </w:r>
    </w:p>
    <w:p w14:paraId="03FB35EE" w14:textId="77777777" w:rsidR="00131FC7" w:rsidRDefault="00131FC7" w:rsidP="00F763AE">
      <w:pPr>
        <w:autoSpaceDE w:val="0"/>
        <w:autoSpaceDN w:val="0"/>
        <w:adjustRightInd w:val="0"/>
        <w:rPr>
          <w:szCs w:val="24"/>
        </w:rPr>
      </w:pPr>
    </w:p>
    <w:p w14:paraId="296DC5FC" w14:textId="0D767B22" w:rsidR="00F763AE" w:rsidRDefault="00F763AE">
      <w:pPr>
        <w:autoSpaceDE w:val="0"/>
        <w:autoSpaceDN w:val="0"/>
        <w:adjustRightInd w:val="0"/>
        <w:rPr>
          <w:szCs w:val="24"/>
        </w:rPr>
      </w:pPr>
      <w:r w:rsidRPr="009065BE">
        <w:rPr>
          <w:szCs w:val="24"/>
        </w:rPr>
        <w:t>The motorcycle support arrangements seek to strike the right balance between maintaining the affordability of MAI premiums for the registered operators of motorcycles and the sustainability of underwriting motorcy</w:t>
      </w:r>
      <w:r>
        <w:rPr>
          <w:szCs w:val="24"/>
        </w:rPr>
        <w:t>c</w:t>
      </w:r>
      <w:r w:rsidRPr="009065BE">
        <w:rPr>
          <w:szCs w:val="24"/>
        </w:rPr>
        <w:t>les for insurers.</w:t>
      </w:r>
      <w:r w:rsidR="00131FC7">
        <w:rPr>
          <w:szCs w:val="24"/>
        </w:rPr>
        <w:t xml:space="preserve"> Specifically, t</w:t>
      </w:r>
      <w:r>
        <w:rPr>
          <w:szCs w:val="24"/>
        </w:rPr>
        <w:t>he guidelines make provision for:</w:t>
      </w:r>
    </w:p>
    <w:p w14:paraId="7423F206" w14:textId="77777777" w:rsidR="00F763AE" w:rsidRPr="009065BE" w:rsidRDefault="00F763AE" w:rsidP="00F763AE">
      <w:pPr>
        <w:autoSpaceDE w:val="0"/>
        <w:autoSpaceDN w:val="0"/>
        <w:adjustRightInd w:val="0"/>
        <w:rPr>
          <w:szCs w:val="24"/>
        </w:rPr>
      </w:pPr>
    </w:p>
    <w:p w14:paraId="28B03E47" w14:textId="66D6EEF3" w:rsidR="00380E55" w:rsidRPr="00277D60" w:rsidRDefault="00933DB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77D60">
        <w:rPr>
          <w:rFonts w:ascii="Times New Roman" w:hAnsi="Times New Roman"/>
          <w:sz w:val="24"/>
          <w:szCs w:val="24"/>
        </w:rPr>
        <w:lastRenderedPageBreak/>
        <w:t xml:space="preserve">a maximum premium that may be charged for motorcycles to ensure that premiums paid to insure a motorcycle under the MAI scheme are no higher than that paid </w:t>
      </w:r>
      <w:r w:rsidR="00F763AE">
        <w:rPr>
          <w:rFonts w:ascii="Times New Roman" w:hAnsi="Times New Roman"/>
          <w:sz w:val="24"/>
          <w:szCs w:val="24"/>
        </w:rPr>
        <w:t xml:space="preserve">for an equivalent motorcycle </w:t>
      </w:r>
      <w:r w:rsidRPr="00277D60">
        <w:rPr>
          <w:rFonts w:ascii="Times New Roman" w:hAnsi="Times New Roman"/>
          <w:sz w:val="24"/>
          <w:szCs w:val="24"/>
        </w:rPr>
        <w:t xml:space="preserve">under the CTP scheme (section 4.1); </w:t>
      </w:r>
      <w:r w:rsidR="000C7CCC" w:rsidRPr="00277D60">
        <w:rPr>
          <w:rFonts w:ascii="Times New Roman" w:hAnsi="Times New Roman"/>
          <w:sz w:val="24"/>
          <w:szCs w:val="24"/>
        </w:rPr>
        <w:t>and</w:t>
      </w:r>
    </w:p>
    <w:p w14:paraId="0C51E6A4" w14:textId="1F9D5DA7" w:rsidR="00380E55" w:rsidRPr="009065BE" w:rsidRDefault="00494761" w:rsidP="00380E5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Cs w:val="24"/>
        </w:rPr>
      </w:pPr>
      <w:r w:rsidRPr="00187647">
        <w:rPr>
          <w:rFonts w:ascii="Times New Roman" w:hAnsi="Times New Roman"/>
          <w:sz w:val="24"/>
          <w:szCs w:val="24"/>
        </w:rPr>
        <w:t>the methodology to be used by the MAI Commission to determine the M</w:t>
      </w:r>
      <w:r w:rsidRPr="009065BE">
        <w:rPr>
          <w:rFonts w:ascii="Times New Roman" w:hAnsi="Times New Roman"/>
          <w:sz w:val="24"/>
          <w:szCs w:val="24"/>
        </w:rPr>
        <w:t>otor</w:t>
      </w:r>
      <w:r w:rsidRPr="00187647">
        <w:rPr>
          <w:rFonts w:ascii="Times New Roman" w:hAnsi="Times New Roman"/>
          <w:sz w:val="24"/>
          <w:szCs w:val="24"/>
        </w:rPr>
        <w:t xml:space="preserve">cycle Premium Support (MCPS) and Motorcycle Premium Loading (MCPL) amounts for each MAI motorcycle premium class to be considered </w:t>
      </w:r>
      <w:r w:rsidR="000C7CCC" w:rsidRPr="00187647">
        <w:rPr>
          <w:rFonts w:ascii="Times New Roman" w:hAnsi="Times New Roman"/>
          <w:sz w:val="24"/>
          <w:szCs w:val="24"/>
        </w:rPr>
        <w:t xml:space="preserve">in premium filings </w:t>
      </w:r>
      <w:r w:rsidR="00187647">
        <w:rPr>
          <w:rFonts w:ascii="Times New Roman" w:hAnsi="Times New Roman"/>
          <w:sz w:val="24"/>
          <w:szCs w:val="24"/>
        </w:rPr>
        <w:t xml:space="preserve">and for reconciling </w:t>
      </w:r>
      <w:r w:rsidR="00F763AE">
        <w:rPr>
          <w:rFonts w:ascii="Times New Roman" w:hAnsi="Times New Roman"/>
          <w:sz w:val="24"/>
          <w:szCs w:val="24"/>
        </w:rPr>
        <w:t xml:space="preserve">any </w:t>
      </w:r>
      <w:r w:rsidR="00187647">
        <w:rPr>
          <w:rFonts w:ascii="Times New Roman" w:hAnsi="Times New Roman"/>
          <w:sz w:val="24"/>
          <w:szCs w:val="24"/>
        </w:rPr>
        <w:t>MCPS and MCPL transfer</w:t>
      </w:r>
      <w:r w:rsidR="00F763AE">
        <w:rPr>
          <w:rFonts w:ascii="Times New Roman" w:hAnsi="Times New Roman"/>
          <w:sz w:val="24"/>
          <w:szCs w:val="24"/>
        </w:rPr>
        <w:t xml:space="preserve"> between insurers </w:t>
      </w:r>
      <w:r w:rsidR="00187647" w:rsidRPr="00A835C8">
        <w:rPr>
          <w:rFonts w:ascii="Times New Roman" w:hAnsi="Times New Roman"/>
          <w:sz w:val="24"/>
          <w:szCs w:val="24"/>
        </w:rPr>
        <w:t>(section</w:t>
      </w:r>
      <w:r w:rsidR="00F763AE">
        <w:rPr>
          <w:rFonts w:ascii="Times New Roman" w:hAnsi="Times New Roman"/>
          <w:sz w:val="24"/>
          <w:szCs w:val="24"/>
        </w:rPr>
        <w:t>s</w:t>
      </w:r>
      <w:r w:rsidR="00187647" w:rsidRPr="00A835C8">
        <w:rPr>
          <w:rFonts w:ascii="Times New Roman" w:hAnsi="Times New Roman"/>
          <w:sz w:val="24"/>
          <w:szCs w:val="24"/>
        </w:rPr>
        <w:t xml:space="preserve"> 4.2</w:t>
      </w:r>
      <w:r w:rsidR="00CE6E67">
        <w:rPr>
          <w:rFonts w:ascii="Times New Roman" w:hAnsi="Times New Roman"/>
          <w:sz w:val="24"/>
          <w:szCs w:val="24"/>
        </w:rPr>
        <w:t xml:space="preserve"> </w:t>
      </w:r>
      <w:r w:rsidR="00187647" w:rsidRPr="00A835C8">
        <w:rPr>
          <w:rFonts w:ascii="Times New Roman" w:hAnsi="Times New Roman"/>
          <w:sz w:val="24"/>
          <w:szCs w:val="24"/>
        </w:rPr>
        <w:t>- 4.4)</w:t>
      </w:r>
      <w:r w:rsidR="004B7803">
        <w:rPr>
          <w:rFonts w:ascii="Times New Roman" w:hAnsi="Times New Roman"/>
          <w:sz w:val="24"/>
          <w:szCs w:val="24"/>
        </w:rPr>
        <w:t>.</w:t>
      </w:r>
    </w:p>
    <w:p w14:paraId="3D09D893" w14:textId="77777777" w:rsidR="00187647" w:rsidRPr="00187647" w:rsidRDefault="00187647" w:rsidP="009065BE">
      <w:pPr>
        <w:autoSpaceDE w:val="0"/>
        <w:autoSpaceDN w:val="0"/>
        <w:adjustRightInd w:val="0"/>
        <w:ind w:left="360"/>
        <w:rPr>
          <w:szCs w:val="24"/>
        </w:rPr>
      </w:pPr>
    </w:p>
    <w:p w14:paraId="608A9A18" w14:textId="5C09F148" w:rsidR="00387087" w:rsidRDefault="00380E55" w:rsidP="004E365C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In addition, to clarify and enhance the comparability of key data provided by insurers underpinning their </w:t>
      </w:r>
      <w:r w:rsidR="00CE6E67">
        <w:rPr>
          <w:szCs w:val="24"/>
        </w:rPr>
        <w:t xml:space="preserve">MAI </w:t>
      </w:r>
      <w:r>
        <w:rPr>
          <w:szCs w:val="24"/>
        </w:rPr>
        <w:t>premium filings, the guidelines also make provision for</w:t>
      </w:r>
      <w:r w:rsidR="004E365C">
        <w:rPr>
          <w:szCs w:val="24"/>
        </w:rPr>
        <w:t xml:space="preserve"> policies to include</w:t>
      </w:r>
      <w:r w:rsidR="00173BA0" w:rsidRPr="009065BE">
        <w:rPr>
          <w:szCs w:val="24"/>
        </w:rPr>
        <w:t xml:space="preserve"> the net impact of the Motorcycle Premium Loading (MCPL) and Motorcycle Premium Support (MCPS) (section </w:t>
      </w:r>
      <w:r w:rsidR="004E365C">
        <w:rPr>
          <w:szCs w:val="24"/>
        </w:rPr>
        <w:t>3.</w:t>
      </w:r>
      <w:r w:rsidR="00173BA0" w:rsidRPr="009065BE">
        <w:rPr>
          <w:szCs w:val="24"/>
        </w:rPr>
        <w:t>4</w:t>
      </w:r>
      <w:r w:rsidR="00131FC7">
        <w:rPr>
          <w:szCs w:val="24"/>
        </w:rPr>
        <w:t>).</w:t>
      </w:r>
    </w:p>
    <w:p w14:paraId="455F5B87" w14:textId="77777777" w:rsidR="00131FC7" w:rsidRDefault="00131FC7" w:rsidP="005005B6">
      <w:pPr>
        <w:autoSpaceDE w:val="0"/>
        <w:autoSpaceDN w:val="0"/>
        <w:adjustRightInd w:val="0"/>
        <w:rPr>
          <w:szCs w:val="24"/>
          <w:lang w:eastAsia="en-AU"/>
        </w:rPr>
      </w:pPr>
    </w:p>
    <w:p w14:paraId="404679D6" w14:textId="502F65C0" w:rsidR="005005B6" w:rsidRDefault="003332C9" w:rsidP="005005B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The </w:t>
      </w:r>
      <w:r w:rsidR="00380E55">
        <w:rPr>
          <w:szCs w:val="24"/>
          <w:lang w:eastAsia="en-AU"/>
        </w:rPr>
        <w:t xml:space="preserve">guidelines </w:t>
      </w:r>
      <w:r>
        <w:rPr>
          <w:szCs w:val="24"/>
          <w:lang w:eastAsia="en-AU"/>
        </w:rPr>
        <w:t xml:space="preserve">are intended to </w:t>
      </w:r>
      <w:r w:rsidR="00933DBB">
        <w:rPr>
          <w:szCs w:val="24"/>
          <w:lang w:eastAsia="en-AU"/>
        </w:rPr>
        <w:t>support a</w:t>
      </w:r>
      <w:r w:rsidR="00380E55">
        <w:rPr>
          <w:szCs w:val="24"/>
          <w:lang w:eastAsia="en-AU"/>
        </w:rPr>
        <w:t xml:space="preserve">n </w:t>
      </w:r>
      <w:r w:rsidR="005005B6" w:rsidRPr="005005B6">
        <w:rPr>
          <w:szCs w:val="24"/>
          <w:lang w:eastAsia="en-AU"/>
        </w:rPr>
        <w:t>efficien</w:t>
      </w:r>
      <w:r w:rsidR="00E308E9">
        <w:rPr>
          <w:szCs w:val="24"/>
          <w:lang w:eastAsia="en-AU"/>
        </w:rPr>
        <w:t>t transition</w:t>
      </w:r>
      <w:r w:rsidR="005005B6" w:rsidRPr="005005B6">
        <w:rPr>
          <w:szCs w:val="24"/>
          <w:lang w:eastAsia="en-AU"/>
        </w:rPr>
        <w:t xml:space="preserve"> of the </w:t>
      </w:r>
      <w:r w:rsidR="00912BE7">
        <w:rPr>
          <w:szCs w:val="24"/>
          <w:lang w:eastAsia="en-AU"/>
        </w:rPr>
        <w:t xml:space="preserve">premium filing </w:t>
      </w:r>
      <w:r w:rsidR="005005B6" w:rsidRPr="005005B6">
        <w:rPr>
          <w:szCs w:val="24"/>
          <w:lang w:eastAsia="en-AU"/>
        </w:rPr>
        <w:t xml:space="preserve">process </w:t>
      </w:r>
      <w:r w:rsidR="00933DBB">
        <w:rPr>
          <w:szCs w:val="24"/>
          <w:lang w:eastAsia="en-AU"/>
        </w:rPr>
        <w:t>under</w:t>
      </w:r>
      <w:r w:rsidR="000727F0">
        <w:rPr>
          <w:szCs w:val="24"/>
          <w:lang w:eastAsia="en-AU"/>
        </w:rPr>
        <w:t xml:space="preserve"> </w:t>
      </w:r>
      <w:r w:rsidR="00912BE7">
        <w:rPr>
          <w:szCs w:val="24"/>
          <w:lang w:eastAsia="en-AU"/>
        </w:rPr>
        <w:t xml:space="preserve">the </w:t>
      </w:r>
      <w:r w:rsidR="000C7DCE">
        <w:rPr>
          <w:szCs w:val="24"/>
          <w:lang w:eastAsia="en-AU"/>
        </w:rPr>
        <w:t xml:space="preserve">MAI </w:t>
      </w:r>
      <w:r w:rsidR="00912BE7">
        <w:rPr>
          <w:szCs w:val="24"/>
          <w:lang w:eastAsia="en-AU"/>
        </w:rPr>
        <w:t xml:space="preserve">scheme </w:t>
      </w:r>
      <w:r w:rsidR="005005B6" w:rsidRPr="005005B6">
        <w:rPr>
          <w:szCs w:val="24"/>
          <w:lang w:eastAsia="en-AU"/>
        </w:rPr>
        <w:t xml:space="preserve">for all impacted parties, including the </w:t>
      </w:r>
      <w:r w:rsidR="004D6315">
        <w:rPr>
          <w:szCs w:val="24"/>
          <w:lang w:eastAsia="en-AU"/>
        </w:rPr>
        <w:t xml:space="preserve">insurers; the </w:t>
      </w:r>
      <w:r w:rsidR="00F17AA1">
        <w:rPr>
          <w:szCs w:val="24"/>
          <w:lang w:eastAsia="en-AU"/>
        </w:rPr>
        <w:t>MAI Commissioner</w:t>
      </w:r>
      <w:r w:rsidR="004D6315">
        <w:rPr>
          <w:szCs w:val="24"/>
          <w:lang w:eastAsia="en-AU"/>
        </w:rPr>
        <w:t>;</w:t>
      </w:r>
      <w:r w:rsidR="005005B6" w:rsidRPr="005005B6">
        <w:rPr>
          <w:szCs w:val="24"/>
          <w:lang w:eastAsia="en-AU"/>
        </w:rPr>
        <w:t xml:space="preserve"> and </w:t>
      </w:r>
      <w:r w:rsidR="004D6315">
        <w:rPr>
          <w:szCs w:val="24"/>
          <w:lang w:eastAsia="en-AU"/>
        </w:rPr>
        <w:t xml:space="preserve">the </w:t>
      </w:r>
      <w:r w:rsidR="005005B6" w:rsidRPr="005005B6">
        <w:rPr>
          <w:szCs w:val="24"/>
          <w:lang w:eastAsia="en-AU"/>
        </w:rPr>
        <w:t>Road Transport Authority, while also encouraging affordable premiums through ongoing competition.</w:t>
      </w:r>
    </w:p>
    <w:p w14:paraId="54A2E3FA" w14:textId="77777777" w:rsidR="00533049" w:rsidRDefault="00533049" w:rsidP="00533049">
      <w:pPr>
        <w:autoSpaceDE w:val="0"/>
        <w:autoSpaceDN w:val="0"/>
        <w:adjustRightInd w:val="0"/>
        <w:rPr>
          <w:szCs w:val="24"/>
          <w:lang w:eastAsia="en-AU"/>
        </w:rPr>
      </w:pPr>
    </w:p>
    <w:p w14:paraId="4C86D5D6" w14:textId="77777777" w:rsidR="0083777D" w:rsidRPr="00E72800" w:rsidRDefault="0083777D" w:rsidP="0083777D">
      <w:pPr>
        <w:rPr>
          <w:rFonts w:cs="Arial"/>
          <w:szCs w:val="24"/>
        </w:rPr>
      </w:pPr>
      <w:r>
        <w:rPr>
          <w:rFonts w:cs="Arial"/>
          <w:szCs w:val="24"/>
        </w:rPr>
        <w:t>The ACT Government consulted with insurers and other relevant stakeholders in preparing the guidelines.</w:t>
      </w:r>
    </w:p>
    <w:p w14:paraId="6BC63DD1" w14:textId="77777777" w:rsidR="00C0518F" w:rsidRDefault="00C0518F" w:rsidP="00F6376E">
      <w:pPr>
        <w:autoSpaceDE w:val="0"/>
        <w:autoSpaceDN w:val="0"/>
        <w:adjustRightInd w:val="0"/>
        <w:rPr>
          <w:szCs w:val="24"/>
          <w:lang w:eastAsia="en-AU"/>
        </w:rPr>
      </w:pPr>
    </w:p>
    <w:p w14:paraId="2F3E7B48" w14:textId="77777777" w:rsidR="001F722E" w:rsidRDefault="001F722E" w:rsidP="001F722E">
      <w:pPr>
        <w:autoSpaceDE w:val="0"/>
        <w:autoSpaceDN w:val="0"/>
        <w:adjustRightInd w:val="0"/>
        <w:rPr>
          <w:szCs w:val="24"/>
          <w:lang w:eastAsia="en-AU"/>
        </w:rPr>
      </w:pPr>
    </w:p>
    <w:p w14:paraId="0B0C327B" w14:textId="77777777" w:rsidR="001F722E" w:rsidRDefault="001F722E" w:rsidP="001F722E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</w:p>
    <w:sectPr w:rsidR="001F722E" w:rsidSect="008D1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0BB8" w14:textId="77777777" w:rsidR="00B15DB5" w:rsidRDefault="00B15DB5">
      <w:r>
        <w:separator/>
      </w:r>
    </w:p>
  </w:endnote>
  <w:endnote w:type="continuationSeparator" w:id="0">
    <w:p w14:paraId="08AA3000" w14:textId="77777777" w:rsidR="00B15DB5" w:rsidRDefault="00B1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9D63" w14:textId="77777777" w:rsidR="0082663A" w:rsidRDefault="008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A377" w14:textId="127C246E" w:rsidR="0082663A" w:rsidRPr="0082663A" w:rsidRDefault="0082663A" w:rsidP="0082663A">
    <w:pPr>
      <w:pStyle w:val="Footer"/>
      <w:jc w:val="center"/>
      <w:rPr>
        <w:rFonts w:cs="Arial"/>
        <w:sz w:val="14"/>
      </w:rPr>
    </w:pPr>
    <w:r w:rsidRPr="008266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64F1" w14:textId="77777777" w:rsidR="0082663A" w:rsidRDefault="008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4A6F" w14:textId="77777777" w:rsidR="00B15DB5" w:rsidRDefault="00B15DB5">
      <w:r>
        <w:separator/>
      </w:r>
    </w:p>
  </w:footnote>
  <w:footnote w:type="continuationSeparator" w:id="0">
    <w:p w14:paraId="730F1AA7" w14:textId="77777777" w:rsidR="00B15DB5" w:rsidRDefault="00B1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4CA7" w14:textId="77777777" w:rsidR="0082663A" w:rsidRDefault="008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E3A6" w14:textId="77777777" w:rsidR="0082663A" w:rsidRDefault="00826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FF89" w14:textId="77777777" w:rsidR="0082663A" w:rsidRDefault="008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98643B"/>
    <w:multiLevelType w:val="multilevel"/>
    <w:tmpl w:val="E0B2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09FE120B"/>
    <w:multiLevelType w:val="hybridMultilevel"/>
    <w:tmpl w:val="C234B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C44147"/>
    <w:multiLevelType w:val="hybridMultilevel"/>
    <w:tmpl w:val="12A6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41D575E"/>
    <w:multiLevelType w:val="hybridMultilevel"/>
    <w:tmpl w:val="F9B8B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D69"/>
    <w:multiLevelType w:val="hybridMultilevel"/>
    <w:tmpl w:val="3BE04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7686"/>
    <w:multiLevelType w:val="hybridMultilevel"/>
    <w:tmpl w:val="6E5A012A"/>
    <w:lvl w:ilvl="0" w:tplc="6A38422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37F70"/>
    <w:multiLevelType w:val="hybridMultilevel"/>
    <w:tmpl w:val="9FB20246"/>
    <w:lvl w:ilvl="0" w:tplc="AF60A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B3730B1"/>
    <w:multiLevelType w:val="hybridMultilevel"/>
    <w:tmpl w:val="ECA61E9E"/>
    <w:lvl w:ilvl="0" w:tplc="AC6654DE">
      <w:start w:val="1"/>
      <w:numFmt w:val="bullet"/>
      <w:pStyle w:val="BSbullet1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277AF3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9F87BE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6141E3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36A9F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0FA6F3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B428FA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FCE3ED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2AF5E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3730B9"/>
    <w:multiLevelType w:val="hybridMultilevel"/>
    <w:tmpl w:val="4E7EACC2"/>
    <w:lvl w:ilvl="0" w:tplc="50542CBA">
      <w:start w:val="1"/>
      <w:numFmt w:val="bullet"/>
      <w:pStyle w:val="BSbullet1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5F84CE3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E6A9C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9416C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3C7FD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24E82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B264C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ADC662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30947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13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727F0"/>
    <w:rsid w:val="00081CA7"/>
    <w:rsid w:val="000C7CCC"/>
    <w:rsid w:val="000C7DCE"/>
    <w:rsid w:val="0010402F"/>
    <w:rsid w:val="0011029D"/>
    <w:rsid w:val="001174F1"/>
    <w:rsid w:val="00131FC7"/>
    <w:rsid w:val="001335A1"/>
    <w:rsid w:val="001342D8"/>
    <w:rsid w:val="00141C66"/>
    <w:rsid w:val="00167729"/>
    <w:rsid w:val="00173BA0"/>
    <w:rsid w:val="00181800"/>
    <w:rsid w:val="00182554"/>
    <w:rsid w:val="00187647"/>
    <w:rsid w:val="00194A9A"/>
    <w:rsid w:val="001C5D5D"/>
    <w:rsid w:val="001D3F44"/>
    <w:rsid w:val="001D4053"/>
    <w:rsid w:val="001F6DD2"/>
    <w:rsid w:val="001F722E"/>
    <w:rsid w:val="0021759B"/>
    <w:rsid w:val="00232271"/>
    <w:rsid w:val="002674B0"/>
    <w:rsid w:val="00273754"/>
    <w:rsid w:val="00277D60"/>
    <w:rsid w:val="00295135"/>
    <w:rsid w:val="002B255C"/>
    <w:rsid w:val="002C1F2B"/>
    <w:rsid w:val="003332C9"/>
    <w:rsid w:val="00346700"/>
    <w:rsid w:val="00354305"/>
    <w:rsid w:val="00357B85"/>
    <w:rsid w:val="00380E55"/>
    <w:rsid w:val="00387087"/>
    <w:rsid w:val="00391227"/>
    <w:rsid w:val="003E2ABC"/>
    <w:rsid w:val="00420A2A"/>
    <w:rsid w:val="004214F4"/>
    <w:rsid w:val="00425F65"/>
    <w:rsid w:val="0045532E"/>
    <w:rsid w:val="00471C05"/>
    <w:rsid w:val="00494761"/>
    <w:rsid w:val="004B7803"/>
    <w:rsid w:val="004C4A40"/>
    <w:rsid w:val="004D6315"/>
    <w:rsid w:val="004E365C"/>
    <w:rsid w:val="005005B6"/>
    <w:rsid w:val="00500A87"/>
    <w:rsid w:val="00507609"/>
    <w:rsid w:val="00533049"/>
    <w:rsid w:val="00553FFB"/>
    <w:rsid w:val="005C5202"/>
    <w:rsid w:val="005D1588"/>
    <w:rsid w:val="005D70F1"/>
    <w:rsid w:val="005E225B"/>
    <w:rsid w:val="00617A22"/>
    <w:rsid w:val="006F055D"/>
    <w:rsid w:val="00706DC3"/>
    <w:rsid w:val="00777264"/>
    <w:rsid w:val="007A5AFB"/>
    <w:rsid w:val="007C292F"/>
    <w:rsid w:val="0082663A"/>
    <w:rsid w:val="0083777D"/>
    <w:rsid w:val="008612F9"/>
    <w:rsid w:val="00894C30"/>
    <w:rsid w:val="008B4761"/>
    <w:rsid w:val="008D1F6A"/>
    <w:rsid w:val="008E35C0"/>
    <w:rsid w:val="008E41C4"/>
    <w:rsid w:val="009065BE"/>
    <w:rsid w:val="00912BE7"/>
    <w:rsid w:val="00933DBB"/>
    <w:rsid w:val="00960F70"/>
    <w:rsid w:val="00973892"/>
    <w:rsid w:val="00975E8C"/>
    <w:rsid w:val="009B3651"/>
    <w:rsid w:val="009D4FB2"/>
    <w:rsid w:val="00A51EB2"/>
    <w:rsid w:val="00A5756E"/>
    <w:rsid w:val="00A67FBD"/>
    <w:rsid w:val="00A71FA1"/>
    <w:rsid w:val="00AA0D34"/>
    <w:rsid w:val="00AC5036"/>
    <w:rsid w:val="00AF7B73"/>
    <w:rsid w:val="00B15DB5"/>
    <w:rsid w:val="00B363DB"/>
    <w:rsid w:val="00B54842"/>
    <w:rsid w:val="00B77D25"/>
    <w:rsid w:val="00BD1711"/>
    <w:rsid w:val="00BE696D"/>
    <w:rsid w:val="00C0518F"/>
    <w:rsid w:val="00C153E4"/>
    <w:rsid w:val="00C27C72"/>
    <w:rsid w:val="00C4252F"/>
    <w:rsid w:val="00C63241"/>
    <w:rsid w:val="00C75EB2"/>
    <w:rsid w:val="00CB008E"/>
    <w:rsid w:val="00CE6E67"/>
    <w:rsid w:val="00D069A6"/>
    <w:rsid w:val="00D11697"/>
    <w:rsid w:val="00D22C92"/>
    <w:rsid w:val="00D263FF"/>
    <w:rsid w:val="00D31892"/>
    <w:rsid w:val="00D31CF1"/>
    <w:rsid w:val="00D412A8"/>
    <w:rsid w:val="00D548C5"/>
    <w:rsid w:val="00D84AA5"/>
    <w:rsid w:val="00DB35F0"/>
    <w:rsid w:val="00DC76FF"/>
    <w:rsid w:val="00E168F8"/>
    <w:rsid w:val="00E308E9"/>
    <w:rsid w:val="00E33978"/>
    <w:rsid w:val="00E64877"/>
    <w:rsid w:val="00E662F6"/>
    <w:rsid w:val="00E71D15"/>
    <w:rsid w:val="00EA6DA8"/>
    <w:rsid w:val="00EB005C"/>
    <w:rsid w:val="00EB1BB3"/>
    <w:rsid w:val="00EE5B12"/>
    <w:rsid w:val="00EE7267"/>
    <w:rsid w:val="00EF525D"/>
    <w:rsid w:val="00F17AA1"/>
    <w:rsid w:val="00F21C68"/>
    <w:rsid w:val="00F33099"/>
    <w:rsid w:val="00F37A64"/>
    <w:rsid w:val="00F6376E"/>
    <w:rsid w:val="00F65911"/>
    <w:rsid w:val="00F7173B"/>
    <w:rsid w:val="00F763AE"/>
    <w:rsid w:val="00F93906"/>
    <w:rsid w:val="00F9612A"/>
    <w:rsid w:val="00FC169E"/>
    <w:rsid w:val="00FC5F4A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E0DA9"/>
  <w14:defaultImageDpi w14:val="0"/>
  <w15:docId w15:val="{A143CEAF-B2E3-48E5-BA49-B1B357FA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7609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609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609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7609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7609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07609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0760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5076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0760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076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076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5076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07609"/>
    <w:pPr>
      <w:tabs>
        <w:tab w:val="left" w:pos="2880"/>
      </w:tabs>
    </w:pPr>
  </w:style>
  <w:style w:type="paragraph" w:customStyle="1" w:styleId="Apara">
    <w:name w:val="A para"/>
    <w:basedOn w:val="Normal"/>
    <w:rsid w:val="00507609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07609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07609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0760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0760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50760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07609"/>
    <w:rPr>
      <w:rFonts w:cs="Times New Roman"/>
    </w:rPr>
  </w:style>
  <w:style w:type="paragraph" w:customStyle="1" w:styleId="CoverInForce">
    <w:name w:val="CoverInForce"/>
    <w:basedOn w:val="Normal"/>
    <w:rsid w:val="0050760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0760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0760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07609"/>
    <w:rPr>
      <w:rFonts w:cs="Times New Roman"/>
    </w:rPr>
  </w:style>
  <w:style w:type="paragraph" w:customStyle="1" w:styleId="Aparabullet">
    <w:name w:val="A para bullet"/>
    <w:basedOn w:val="Normal"/>
    <w:rsid w:val="0050760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07609"/>
  </w:style>
  <w:style w:type="paragraph" w:styleId="TOC2">
    <w:name w:val="toc 2"/>
    <w:basedOn w:val="Normal"/>
    <w:next w:val="Normal"/>
    <w:autoRedefine/>
    <w:uiPriority w:val="39"/>
    <w:semiHidden/>
    <w:rsid w:val="00507609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07609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07609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0760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0760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0760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0760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07609"/>
    <w:pPr>
      <w:ind w:left="1920"/>
    </w:pPr>
  </w:style>
  <w:style w:type="character" w:styleId="Hyperlink">
    <w:name w:val="Hyperlink"/>
    <w:basedOn w:val="DefaultParagraphFont"/>
    <w:uiPriority w:val="99"/>
    <w:rsid w:val="0050760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0760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50760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0760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0760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0760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07609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07609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50760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0760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0518F"/>
    <w:pPr>
      <w:ind w:left="720"/>
    </w:pPr>
    <w:rPr>
      <w:rFonts w:ascii="Calibri" w:hAnsi="Calibri" w:cs="Calibri"/>
      <w:sz w:val="22"/>
      <w:szCs w:val="22"/>
      <w:lang w:eastAsia="en-AU"/>
    </w:rPr>
  </w:style>
  <w:style w:type="paragraph" w:customStyle="1" w:styleId="BSbullet10">
    <w:name w:val="BS_bullet 1_0"/>
    <w:basedOn w:val="Normal"/>
    <w:link w:val="BSbullet1Char0"/>
    <w:qFormat/>
    <w:rsid w:val="00C0518F"/>
    <w:pPr>
      <w:numPr>
        <w:numId w:val="12"/>
      </w:numPr>
      <w:spacing w:before="200" w:after="120"/>
    </w:pPr>
    <w:rPr>
      <w:rFonts w:ascii="Calibri" w:hAnsi="Calibri"/>
      <w:szCs w:val="24"/>
    </w:rPr>
  </w:style>
  <w:style w:type="character" w:customStyle="1" w:styleId="BSbullet1Char0">
    <w:name w:val="BS_bullet 1 Char_0"/>
    <w:basedOn w:val="DefaultParagraphFont"/>
    <w:link w:val="BSbullet10"/>
    <w:locked/>
    <w:rsid w:val="00C0518F"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Sbullet12">
    <w:name w:val="BS_bullet 1_2"/>
    <w:basedOn w:val="Normal"/>
    <w:link w:val="BSbullet1Char2"/>
    <w:qFormat/>
    <w:rsid w:val="00C0518F"/>
    <w:pPr>
      <w:numPr>
        <w:numId w:val="13"/>
      </w:numPr>
      <w:tabs>
        <w:tab w:val="clear" w:pos="360"/>
      </w:tabs>
      <w:spacing w:before="200" w:after="120"/>
      <w:jc w:val="both"/>
    </w:pPr>
    <w:rPr>
      <w:rFonts w:ascii="Calibri" w:hAnsi="Calibri"/>
      <w:szCs w:val="24"/>
    </w:rPr>
  </w:style>
  <w:style w:type="character" w:customStyle="1" w:styleId="BSbullet1Char2">
    <w:name w:val="BS_bullet 1 Char_2"/>
    <w:basedOn w:val="DefaultParagraphFont"/>
    <w:link w:val="BSbullet12"/>
    <w:locked/>
    <w:rsid w:val="00C0518F"/>
    <w:rPr>
      <w:rFonts w:ascii="Calibri" w:hAnsi="Calibri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63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D6315"/>
    <w:rPr>
      <w:rFonts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63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D6315"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02F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55F0-56DC-497F-BEDA-45749FBE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2777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2019-10-25T01:05:00Z</cp:lastPrinted>
  <dcterms:created xsi:type="dcterms:W3CDTF">2019-11-01T06:02:00Z</dcterms:created>
  <dcterms:modified xsi:type="dcterms:W3CDTF">2019-11-01T06:02:00Z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924068</vt:lpwstr>
  </property>
  <property fmtid="{D5CDD505-2E9C-101B-9397-08002B2CF9AE}" pid="4" name="JMSREQUIREDCHECKIN">
    <vt:lpwstr/>
  </property>
</Properties>
</file>