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CD1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A2655C7" w14:textId="7CE205B9" w:rsidR="00C17FAB" w:rsidRDefault="008871AF">
      <w:pPr>
        <w:pStyle w:val="Billname"/>
        <w:spacing w:before="700"/>
      </w:pPr>
      <w:r>
        <w:t>Motor Accident Injuries</w:t>
      </w:r>
      <w:r w:rsidR="00FD75CE">
        <w:t xml:space="preserve"> (</w:t>
      </w:r>
      <w:r>
        <w:t>Treatment and Care</w:t>
      </w:r>
      <w:r w:rsidR="00FD75CE">
        <w:t xml:space="preserve">) </w:t>
      </w:r>
      <w:r>
        <w:t>Guidelines</w:t>
      </w:r>
      <w:r w:rsidR="00FD75CE">
        <w:t xml:space="preserve"> </w:t>
      </w:r>
      <w:r>
        <w:t>2019</w:t>
      </w:r>
      <w:r w:rsidR="00FD75CE">
        <w:t xml:space="preserve"> </w:t>
      </w:r>
    </w:p>
    <w:p w14:paraId="1BB58125" w14:textId="0055C7D5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871AF">
        <w:rPr>
          <w:rFonts w:ascii="Arial" w:hAnsi="Arial" w:cs="Arial"/>
          <w:b/>
          <w:bCs/>
        </w:rPr>
        <w:t>2019</w:t>
      </w:r>
      <w:r w:rsidR="00C17FAB">
        <w:rPr>
          <w:rFonts w:ascii="Arial" w:hAnsi="Arial" w:cs="Arial"/>
          <w:b/>
          <w:bCs/>
        </w:rPr>
        <w:t>–</w:t>
      </w:r>
      <w:r w:rsidR="00A76B64">
        <w:rPr>
          <w:rFonts w:ascii="Arial" w:hAnsi="Arial" w:cs="Arial"/>
          <w:b/>
          <w:bCs/>
        </w:rPr>
        <w:t>247</w:t>
      </w:r>
    </w:p>
    <w:p w14:paraId="1D2837B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AEE4811" w14:textId="68B0B71D" w:rsidR="00C17FAB" w:rsidRDefault="008871AF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</w:t>
      </w:r>
      <w:r w:rsidR="00EA7E10">
        <w:rPr>
          <w:rFonts w:cs="Arial"/>
          <w:sz w:val="20"/>
        </w:rPr>
        <w:t>A</w:t>
      </w:r>
      <w:r>
        <w:rPr>
          <w:rFonts w:cs="Arial"/>
          <w:sz w:val="20"/>
        </w:rPr>
        <w:t>ccident Injuries Act 2019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487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MAI guidelines</w:t>
      </w:r>
      <w:r w:rsidR="00C17FAB">
        <w:rPr>
          <w:rFonts w:cs="Arial"/>
          <w:sz w:val="20"/>
        </w:rPr>
        <w:t>)</w:t>
      </w:r>
    </w:p>
    <w:p w14:paraId="124F6CD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C0E9A6B" w14:textId="77777777" w:rsidR="00C17FAB" w:rsidRDefault="00C17FAB">
      <w:pPr>
        <w:pStyle w:val="N-line3"/>
        <w:pBdr>
          <w:bottom w:val="none" w:sz="0" w:space="0" w:color="auto"/>
        </w:pBdr>
      </w:pPr>
    </w:p>
    <w:p w14:paraId="2746C4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C32EE" w14:textId="26984154" w:rsidR="00EA7E10" w:rsidRDefault="00EA7E10" w:rsidP="00EA7E10">
      <w:pPr>
        <w:rPr>
          <w:rFonts w:cs="Arial"/>
          <w:szCs w:val="24"/>
        </w:rPr>
      </w:pPr>
      <w:r>
        <w:t xml:space="preserve">Section 487 of the </w:t>
      </w:r>
      <w:r w:rsidRPr="00C24752">
        <w:rPr>
          <w:rFonts w:cs="Arial"/>
          <w:i/>
          <w:iCs/>
          <w:szCs w:val="24"/>
        </w:rPr>
        <w:t>Motor Accident Injuries Act 2019</w:t>
      </w:r>
      <w:r>
        <w:rPr>
          <w:rFonts w:cs="Arial"/>
          <w:szCs w:val="24"/>
        </w:rPr>
        <w:t xml:space="preserve"> (MAI Act) enables the MAI Commission to make guidelines (the MAI guidelines) about any matter required or permitted by the MAI Act to be included in guidelines.</w:t>
      </w:r>
    </w:p>
    <w:p w14:paraId="3A0EF9B9" w14:textId="6B8F0F9D" w:rsidR="00DB02EB" w:rsidRDefault="00DB02EB" w:rsidP="00EA7E10">
      <w:pPr>
        <w:rPr>
          <w:rFonts w:cs="Arial"/>
          <w:szCs w:val="24"/>
        </w:rPr>
      </w:pPr>
    </w:p>
    <w:p w14:paraId="0CFAFCF6" w14:textId="0E80D1A8" w:rsidR="00EA7E10" w:rsidRDefault="00654C64" w:rsidP="00EA7E10">
      <w:pPr>
        <w:rPr>
          <w:rFonts w:cs="Arial"/>
          <w:szCs w:val="24"/>
        </w:rPr>
      </w:pPr>
      <w:r>
        <w:rPr>
          <w:rFonts w:cs="Arial"/>
          <w:szCs w:val="24"/>
        </w:rPr>
        <w:t>The guidelines</w:t>
      </w:r>
      <w:r w:rsidR="00EA7E10">
        <w:rPr>
          <w:rFonts w:cs="Arial"/>
          <w:szCs w:val="24"/>
        </w:rPr>
        <w:t xml:space="preserve"> provide guidance to insurers about their obligations to pay</w:t>
      </w:r>
      <w:r w:rsidR="00BE7A68">
        <w:rPr>
          <w:rFonts w:cs="Arial"/>
          <w:szCs w:val="24"/>
        </w:rPr>
        <w:t xml:space="preserve"> treatment and care</w:t>
      </w:r>
      <w:r w:rsidR="00EA7E10">
        <w:rPr>
          <w:rFonts w:cs="Arial"/>
          <w:szCs w:val="24"/>
        </w:rPr>
        <w:t xml:space="preserve"> benefits including making decisions about whether the treatment and care </w:t>
      </w:r>
      <w:r w:rsidR="00F5616B">
        <w:rPr>
          <w:rFonts w:cs="Arial"/>
          <w:szCs w:val="24"/>
        </w:rPr>
        <w:t xml:space="preserve">is </w:t>
      </w:r>
      <w:r w:rsidR="00EA7E10">
        <w:rPr>
          <w:rFonts w:cs="Arial"/>
          <w:szCs w:val="24"/>
        </w:rPr>
        <w:t xml:space="preserve">reasonable and necessary, </w:t>
      </w:r>
      <w:r w:rsidR="001C4BC6">
        <w:rPr>
          <w:rFonts w:cs="Arial"/>
          <w:szCs w:val="24"/>
        </w:rPr>
        <w:t>in relation to</w:t>
      </w:r>
      <w:r w:rsidR="00EA7E10">
        <w:rPr>
          <w:rFonts w:cs="Arial"/>
          <w:szCs w:val="24"/>
        </w:rPr>
        <w:t xml:space="preserve"> a recovery plan</w:t>
      </w:r>
      <w:r w:rsidR="00BE7A68">
        <w:rPr>
          <w:rFonts w:cs="Arial"/>
          <w:szCs w:val="24"/>
        </w:rPr>
        <w:t>, and verify</w:t>
      </w:r>
      <w:r w:rsidR="00426408">
        <w:rPr>
          <w:rFonts w:cs="Arial"/>
          <w:szCs w:val="24"/>
        </w:rPr>
        <w:t>ing</w:t>
      </w:r>
      <w:r w:rsidR="00BE7A68">
        <w:rPr>
          <w:rFonts w:cs="Arial"/>
          <w:szCs w:val="24"/>
        </w:rPr>
        <w:t xml:space="preserve"> treatment and care expenses.</w:t>
      </w:r>
    </w:p>
    <w:p w14:paraId="1DD0B847" w14:textId="77777777" w:rsidR="004E1D37" w:rsidRDefault="004E1D37" w:rsidP="00EA7E10">
      <w:pPr>
        <w:rPr>
          <w:rFonts w:cs="Arial"/>
          <w:szCs w:val="24"/>
        </w:rPr>
      </w:pPr>
    </w:p>
    <w:p w14:paraId="1A407BA1" w14:textId="2CC1C5BE" w:rsidR="004E1D37" w:rsidRDefault="004E1D37" w:rsidP="00EA7E10">
      <w:pPr>
        <w:rPr>
          <w:rFonts w:cs="Arial"/>
          <w:szCs w:val="24"/>
        </w:rPr>
      </w:pPr>
      <w:r>
        <w:rPr>
          <w:rFonts w:cs="Arial"/>
          <w:szCs w:val="24"/>
        </w:rPr>
        <w:t>Specifically, the guidelines make provision for:</w:t>
      </w:r>
    </w:p>
    <w:p w14:paraId="31AA41F2" w14:textId="6BB0C072" w:rsidR="004E1D37" w:rsidRDefault="004E1D37" w:rsidP="00EA7E10">
      <w:pPr>
        <w:rPr>
          <w:rFonts w:cs="Arial"/>
          <w:szCs w:val="24"/>
        </w:rPr>
      </w:pPr>
    </w:p>
    <w:p w14:paraId="76D3C5F4" w14:textId="359C7D0F" w:rsidR="004E1D37" w:rsidRDefault="004E1D37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The conduct of an assessment of treatment and care needs</w:t>
      </w:r>
      <w:r w:rsidR="001C4BC6">
        <w:rPr>
          <w:rFonts w:cs="Arial"/>
          <w:szCs w:val="24"/>
        </w:rPr>
        <w:t>;</w:t>
      </w:r>
    </w:p>
    <w:p w14:paraId="5FCAAED9" w14:textId="7344E6ED" w:rsidR="004E1D37" w:rsidRDefault="004E1D37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Matters in relation to recovery plans</w:t>
      </w:r>
      <w:r w:rsidR="001C4BC6">
        <w:rPr>
          <w:rFonts w:cs="Arial"/>
          <w:szCs w:val="24"/>
        </w:rPr>
        <w:t>;</w:t>
      </w:r>
    </w:p>
    <w:p w14:paraId="4665DADE" w14:textId="355C07BC" w:rsidR="004E1D37" w:rsidRDefault="004E1D37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Exceptional circumstances for a late application for back-paying treatment and care expenses</w:t>
      </w:r>
      <w:r w:rsidR="001C4BC6">
        <w:rPr>
          <w:rFonts w:cs="Arial"/>
          <w:szCs w:val="24"/>
        </w:rPr>
        <w:t>;</w:t>
      </w:r>
    </w:p>
    <w:p w14:paraId="6A34A3B6" w14:textId="746898FE" w:rsidR="004E1D37" w:rsidRDefault="004E1D37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Approving treatment and care including factors to be considered in deciding whether treatment and care</w:t>
      </w:r>
      <w:r w:rsidR="001C4BC6">
        <w:rPr>
          <w:rFonts w:cs="Arial"/>
          <w:szCs w:val="24"/>
        </w:rPr>
        <w:t>, and the cost of treatment and care,</w:t>
      </w:r>
      <w:r>
        <w:rPr>
          <w:rFonts w:cs="Arial"/>
          <w:szCs w:val="24"/>
        </w:rPr>
        <w:t xml:space="preserve"> </w:t>
      </w:r>
      <w:r w:rsidR="00F5616B">
        <w:rPr>
          <w:rFonts w:cs="Arial"/>
          <w:szCs w:val="24"/>
        </w:rPr>
        <w:t>is</w:t>
      </w:r>
      <w:r w:rsidR="001C4BC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reasonable and necessary</w:t>
      </w:r>
      <w:r w:rsidR="001C4BC6">
        <w:rPr>
          <w:rFonts w:cs="Arial"/>
          <w:szCs w:val="24"/>
        </w:rPr>
        <w:t>;</w:t>
      </w:r>
    </w:p>
    <w:p w14:paraId="1B502DAB" w14:textId="1C6EFB56" w:rsidR="001C4BC6" w:rsidRDefault="001C4BC6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Principles to be followed by health practitioners in relation to the provision of treatment and care; and</w:t>
      </w:r>
    </w:p>
    <w:p w14:paraId="68ACDFCA" w14:textId="5C33BBC7" w:rsidR="001C4BC6" w:rsidRDefault="001C4BC6" w:rsidP="004E1D37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>
        <w:rPr>
          <w:rFonts w:cs="Arial"/>
          <w:szCs w:val="24"/>
        </w:rPr>
        <w:t>Verifying treatment and care expenses for payment.</w:t>
      </w:r>
    </w:p>
    <w:p w14:paraId="47B7AFE3" w14:textId="2DC9C3A6" w:rsidR="00DB02EB" w:rsidRDefault="00DB02EB" w:rsidP="00DB02EB">
      <w:pPr>
        <w:rPr>
          <w:rFonts w:cs="Arial"/>
          <w:szCs w:val="24"/>
        </w:rPr>
      </w:pPr>
    </w:p>
    <w:p w14:paraId="30637FD6" w14:textId="75269AA1" w:rsidR="00DB02EB" w:rsidRPr="00DB02EB" w:rsidRDefault="00DB02EB" w:rsidP="00DB02EB">
      <w:pPr>
        <w:rPr>
          <w:rFonts w:cs="Arial"/>
          <w:szCs w:val="24"/>
        </w:rPr>
      </w:pPr>
      <w:r>
        <w:rPr>
          <w:rFonts w:cs="Arial"/>
          <w:szCs w:val="24"/>
        </w:rPr>
        <w:t>The ACT Government consulted with insurers and other relevant stakeholders in preparing the guidelines.</w:t>
      </w:r>
    </w:p>
    <w:p w14:paraId="40FA8264" w14:textId="77777777" w:rsidR="00EA7E10" w:rsidRDefault="00EA7E10" w:rsidP="00EA7E10">
      <w:pPr>
        <w:rPr>
          <w:rFonts w:cs="Arial"/>
          <w:szCs w:val="24"/>
        </w:rPr>
      </w:pPr>
    </w:p>
    <w:p w14:paraId="60EB57DA" w14:textId="1356F5D1" w:rsidR="00C17FAB" w:rsidRPr="00EA7E10" w:rsidRDefault="00EA7E10" w:rsidP="00EA7E10">
      <w:pPr>
        <w:rPr>
          <w:b/>
          <w:bCs/>
        </w:rPr>
      </w:pPr>
      <w:r>
        <w:rPr>
          <w:rFonts w:cs="Arial"/>
          <w:szCs w:val="24"/>
        </w:rPr>
        <w:t xml:space="preserve"> </w:t>
      </w:r>
    </w:p>
    <w:sectPr w:rsidR="00C17FAB" w:rsidRPr="00EA7E10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709CE" w14:textId="77777777" w:rsidR="00C17FAB" w:rsidRDefault="00C17FAB" w:rsidP="00C17FAB">
      <w:r>
        <w:separator/>
      </w:r>
    </w:p>
  </w:endnote>
  <w:endnote w:type="continuationSeparator" w:id="0">
    <w:p w14:paraId="44439D1E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AE1B8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8136B" w14:textId="56D3A0FC" w:rsidR="00DA3B00" w:rsidRPr="006229EB" w:rsidRDefault="006229EB" w:rsidP="006229EB">
    <w:pPr>
      <w:pStyle w:val="Footer"/>
      <w:jc w:val="center"/>
      <w:rPr>
        <w:rFonts w:cs="Arial"/>
        <w:sz w:val="14"/>
      </w:rPr>
    </w:pPr>
    <w:r w:rsidRPr="006229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635B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9727" w14:textId="77777777" w:rsidR="00C17FAB" w:rsidRDefault="00C17FAB" w:rsidP="00C17FAB">
      <w:r>
        <w:separator/>
      </w:r>
    </w:p>
  </w:footnote>
  <w:footnote w:type="continuationSeparator" w:id="0">
    <w:p w14:paraId="2929D2F3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061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814A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8C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55D7647"/>
    <w:multiLevelType w:val="hybridMultilevel"/>
    <w:tmpl w:val="975E7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153BDB"/>
    <w:rsid w:val="001C4BC6"/>
    <w:rsid w:val="001D18B4"/>
    <w:rsid w:val="002D7C60"/>
    <w:rsid w:val="00426408"/>
    <w:rsid w:val="004E1D37"/>
    <w:rsid w:val="0055315D"/>
    <w:rsid w:val="006229EB"/>
    <w:rsid w:val="00654C64"/>
    <w:rsid w:val="007346AC"/>
    <w:rsid w:val="008871AF"/>
    <w:rsid w:val="009508A5"/>
    <w:rsid w:val="00A76B64"/>
    <w:rsid w:val="00BE7A68"/>
    <w:rsid w:val="00C17FAB"/>
    <w:rsid w:val="00CE599C"/>
    <w:rsid w:val="00DA3B00"/>
    <w:rsid w:val="00DB02EB"/>
    <w:rsid w:val="00E90C2D"/>
    <w:rsid w:val="00EA7E10"/>
    <w:rsid w:val="00F5616B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D15F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E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1183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2019-11-01T06:08:00Z</dcterms:created>
  <dcterms:modified xsi:type="dcterms:W3CDTF">2019-11-01T06:08:00Z</dcterms:modified>
</cp:coreProperties>
</file>