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C8CB" w14:textId="28D71C60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B16C12">
        <w:rPr>
          <w:rFonts w:cstheme="minorHAnsi"/>
          <w:b/>
          <w:bCs/>
          <w:sz w:val="28"/>
          <w:szCs w:val="28"/>
        </w:rPr>
        <w:t>20</w:t>
      </w:r>
      <w:r w:rsidR="00F3381C" w:rsidRPr="00B16C12">
        <w:rPr>
          <w:rFonts w:cstheme="minorHAnsi"/>
          <w:b/>
          <w:bCs/>
          <w:sz w:val="28"/>
          <w:szCs w:val="28"/>
        </w:rPr>
        <w:t>20</w:t>
      </w:r>
    </w:p>
    <w:p w14:paraId="6DCAC186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66F3136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2BF9E16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C20980B" w14:textId="77777777" w:rsidR="008C6492" w:rsidRPr="00B16C12" w:rsidRDefault="008C6492" w:rsidP="008C6492">
      <w:pPr>
        <w:spacing w:line="240" w:lineRule="auto"/>
        <w:ind w:left="284"/>
        <w:jc w:val="center"/>
        <w:rPr>
          <w:rFonts w:cstheme="minorHAnsi"/>
          <w:b/>
          <w:bCs/>
          <w:sz w:val="28"/>
          <w:szCs w:val="28"/>
        </w:rPr>
      </w:pPr>
      <w:r w:rsidRPr="00B16C12">
        <w:rPr>
          <w:rFonts w:cstheme="minorHAnsi"/>
          <w:b/>
          <w:bCs/>
          <w:sz w:val="28"/>
          <w:szCs w:val="28"/>
        </w:rPr>
        <w:t xml:space="preserve">THE LEGISLATIVE ASSEMBLY FOR THE </w:t>
      </w:r>
      <w:r w:rsidRPr="00B16C12">
        <w:rPr>
          <w:rFonts w:cstheme="minorHAnsi"/>
          <w:b/>
          <w:bCs/>
          <w:sz w:val="28"/>
          <w:szCs w:val="28"/>
        </w:rPr>
        <w:br/>
        <w:t>AUSTRALIAN CAPITAL TERRITORY</w:t>
      </w:r>
    </w:p>
    <w:p w14:paraId="1975C6F9" w14:textId="77777777" w:rsidR="008C6492" w:rsidRPr="00B16C12" w:rsidRDefault="008C6492" w:rsidP="008C6492">
      <w:pPr>
        <w:spacing w:line="240" w:lineRule="auto"/>
        <w:ind w:left="3600"/>
        <w:jc w:val="center"/>
        <w:rPr>
          <w:rFonts w:cstheme="minorHAnsi"/>
          <w:b/>
          <w:bCs/>
          <w:sz w:val="28"/>
          <w:szCs w:val="28"/>
        </w:rPr>
      </w:pPr>
    </w:p>
    <w:p w14:paraId="565F044A" w14:textId="77777777" w:rsidR="008C6492" w:rsidRPr="00B16C12" w:rsidRDefault="008C6492" w:rsidP="008C6492">
      <w:pPr>
        <w:spacing w:line="240" w:lineRule="auto"/>
        <w:ind w:left="3600"/>
        <w:jc w:val="center"/>
        <w:rPr>
          <w:rFonts w:cstheme="minorHAnsi"/>
          <w:b/>
          <w:bCs/>
          <w:sz w:val="28"/>
          <w:szCs w:val="28"/>
        </w:rPr>
      </w:pPr>
    </w:p>
    <w:p w14:paraId="16346FD0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4B24BBC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7106EF1" w14:textId="25DC5337" w:rsidR="008C6492" w:rsidRPr="00B16C12" w:rsidRDefault="00F3381C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16C12">
        <w:rPr>
          <w:rFonts w:cstheme="minorHAnsi"/>
          <w:b/>
          <w:bCs/>
          <w:sz w:val="28"/>
          <w:szCs w:val="28"/>
        </w:rPr>
        <w:t>UNIT TITLES LEGISLATION</w:t>
      </w:r>
      <w:r w:rsidR="008400CE" w:rsidRPr="00B16C12">
        <w:rPr>
          <w:rFonts w:cstheme="minorHAnsi"/>
          <w:b/>
          <w:bCs/>
          <w:sz w:val="28"/>
          <w:szCs w:val="28"/>
        </w:rPr>
        <w:t xml:space="preserve"> </w:t>
      </w:r>
      <w:r w:rsidR="008C6492" w:rsidRPr="00B16C12">
        <w:rPr>
          <w:rFonts w:cstheme="minorHAnsi"/>
          <w:b/>
          <w:bCs/>
          <w:sz w:val="28"/>
          <w:szCs w:val="28"/>
        </w:rPr>
        <w:t>AMENDMENT BILL 2019</w:t>
      </w:r>
    </w:p>
    <w:p w14:paraId="4C7D194C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6405B49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DFB0831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275FF44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3CEA7C6" w14:textId="5E630B6E" w:rsidR="008C6492" w:rsidRPr="00B16C12" w:rsidRDefault="00FC2919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B16C12">
        <w:rPr>
          <w:rFonts w:cstheme="minorHAnsi"/>
          <w:b/>
          <w:bCs/>
          <w:sz w:val="28"/>
          <w:szCs w:val="28"/>
        </w:rPr>
        <w:t xml:space="preserve">SUPPLEMENTARY </w:t>
      </w:r>
      <w:r w:rsidR="008C6492" w:rsidRPr="00B16C12">
        <w:rPr>
          <w:rFonts w:cstheme="minorHAnsi"/>
          <w:b/>
          <w:bCs/>
          <w:sz w:val="28"/>
          <w:szCs w:val="28"/>
        </w:rPr>
        <w:t>EXPLANATORY STATEMENT</w:t>
      </w:r>
    </w:p>
    <w:p w14:paraId="6A072920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FC1946E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06817B4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46222C5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3DC92E4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FFC1EEE" w14:textId="77777777" w:rsidR="008C6492" w:rsidRPr="00B16C12" w:rsidRDefault="008C6492" w:rsidP="008C6492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63B4BBB" w14:textId="77777777" w:rsidR="008C6492" w:rsidRPr="00B16C12" w:rsidRDefault="008C6492" w:rsidP="008400CE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4BD51269" w14:textId="77777777" w:rsidR="008C6492" w:rsidRPr="00B16C12" w:rsidRDefault="008C6492" w:rsidP="008C6492">
      <w:pPr>
        <w:spacing w:line="240" w:lineRule="auto"/>
        <w:ind w:left="5040"/>
        <w:jc w:val="right"/>
        <w:rPr>
          <w:rFonts w:cstheme="minorHAnsi"/>
          <w:b/>
          <w:bCs/>
          <w:sz w:val="28"/>
          <w:szCs w:val="28"/>
        </w:rPr>
      </w:pPr>
      <w:r w:rsidRPr="00B16C12">
        <w:rPr>
          <w:rFonts w:cstheme="minorHAnsi"/>
          <w:b/>
          <w:bCs/>
          <w:sz w:val="28"/>
          <w:szCs w:val="28"/>
        </w:rPr>
        <w:t>Presented by</w:t>
      </w:r>
    </w:p>
    <w:p w14:paraId="483018F1" w14:textId="77777777" w:rsidR="008C6492" w:rsidRPr="00B16C12" w:rsidRDefault="008C6492" w:rsidP="008C6492">
      <w:pPr>
        <w:spacing w:line="240" w:lineRule="auto"/>
        <w:ind w:left="5040"/>
        <w:jc w:val="right"/>
        <w:rPr>
          <w:rFonts w:cstheme="minorHAnsi"/>
          <w:b/>
          <w:bCs/>
          <w:sz w:val="28"/>
          <w:szCs w:val="28"/>
        </w:rPr>
      </w:pPr>
      <w:r w:rsidRPr="00B16C12">
        <w:rPr>
          <w:rFonts w:cstheme="minorHAnsi"/>
          <w:b/>
          <w:bCs/>
          <w:sz w:val="28"/>
          <w:szCs w:val="28"/>
        </w:rPr>
        <w:t>Mick Gentleman MLA</w:t>
      </w:r>
    </w:p>
    <w:p w14:paraId="7839A45F" w14:textId="77777777" w:rsidR="008C6492" w:rsidRPr="00B16C12" w:rsidRDefault="008C6492" w:rsidP="008C6492">
      <w:pPr>
        <w:spacing w:line="240" w:lineRule="auto"/>
        <w:ind w:left="2835"/>
        <w:jc w:val="right"/>
        <w:rPr>
          <w:rFonts w:cstheme="minorHAnsi"/>
          <w:b/>
          <w:bCs/>
          <w:sz w:val="28"/>
          <w:szCs w:val="28"/>
        </w:rPr>
      </w:pPr>
      <w:r w:rsidRPr="00B16C12">
        <w:rPr>
          <w:rFonts w:cstheme="minorHAnsi"/>
          <w:b/>
          <w:bCs/>
          <w:sz w:val="28"/>
          <w:szCs w:val="28"/>
        </w:rPr>
        <w:t>Minister for Planning and Land Management</w:t>
      </w:r>
    </w:p>
    <w:p w14:paraId="5663D403" w14:textId="77777777" w:rsidR="008C6492" w:rsidRPr="00BD44C8" w:rsidRDefault="008C6492">
      <w:pPr>
        <w:rPr>
          <w:rFonts w:cstheme="minorHAnsi"/>
          <w:sz w:val="24"/>
          <w:szCs w:val="24"/>
        </w:rPr>
      </w:pPr>
      <w:r w:rsidRPr="00BD44C8">
        <w:rPr>
          <w:rFonts w:cstheme="minorHAnsi"/>
          <w:sz w:val="24"/>
          <w:szCs w:val="24"/>
        </w:rPr>
        <w:br w:type="page"/>
      </w:r>
    </w:p>
    <w:p w14:paraId="4EC94889" w14:textId="77777777" w:rsidR="008C6492" w:rsidRPr="00BD44C8" w:rsidRDefault="008C6492" w:rsidP="008C649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BD44C8">
        <w:rPr>
          <w:rFonts w:cstheme="minorHAnsi"/>
          <w:b/>
          <w:bCs/>
          <w:sz w:val="24"/>
          <w:szCs w:val="24"/>
        </w:rPr>
        <w:lastRenderedPageBreak/>
        <w:t>EXPLANATORY STATEMENT</w:t>
      </w:r>
    </w:p>
    <w:p w14:paraId="47E6EB0C" w14:textId="77777777" w:rsidR="00110ED3" w:rsidRDefault="00110ED3">
      <w:pPr>
        <w:rPr>
          <w:rFonts w:cstheme="minorHAnsi"/>
          <w:b/>
          <w:sz w:val="24"/>
          <w:szCs w:val="24"/>
        </w:rPr>
      </w:pPr>
    </w:p>
    <w:p w14:paraId="1AF09A9F" w14:textId="032F47EC" w:rsidR="008C6492" w:rsidRPr="00BD44C8" w:rsidRDefault="008C6492">
      <w:pPr>
        <w:rPr>
          <w:rFonts w:cstheme="minorHAnsi"/>
          <w:b/>
          <w:sz w:val="24"/>
          <w:szCs w:val="24"/>
        </w:rPr>
      </w:pPr>
      <w:r w:rsidRPr="00BD44C8">
        <w:rPr>
          <w:rFonts w:cstheme="minorHAnsi"/>
          <w:b/>
          <w:sz w:val="24"/>
          <w:szCs w:val="24"/>
        </w:rPr>
        <w:t>Introduction</w:t>
      </w:r>
    </w:p>
    <w:p w14:paraId="1B6879FD" w14:textId="1DE559D7" w:rsidR="008C6492" w:rsidRPr="00BD44C8" w:rsidRDefault="008C6492">
      <w:pPr>
        <w:rPr>
          <w:rFonts w:cstheme="minorHAnsi"/>
          <w:sz w:val="24"/>
          <w:szCs w:val="24"/>
        </w:rPr>
      </w:pPr>
      <w:r w:rsidRPr="00BD44C8">
        <w:rPr>
          <w:rFonts w:cstheme="minorHAnsi"/>
          <w:sz w:val="24"/>
          <w:szCs w:val="24"/>
        </w:rPr>
        <w:t xml:space="preserve">This </w:t>
      </w:r>
      <w:r w:rsidR="00C3010E">
        <w:rPr>
          <w:rFonts w:cstheme="minorHAnsi"/>
          <w:sz w:val="24"/>
          <w:szCs w:val="24"/>
        </w:rPr>
        <w:t xml:space="preserve">supplementary </w:t>
      </w:r>
      <w:r w:rsidRPr="00BD44C8">
        <w:rPr>
          <w:rFonts w:cstheme="minorHAnsi"/>
          <w:sz w:val="24"/>
          <w:szCs w:val="24"/>
        </w:rPr>
        <w:t>explan</w:t>
      </w:r>
      <w:r w:rsidR="00C3010E">
        <w:rPr>
          <w:rFonts w:cstheme="minorHAnsi"/>
          <w:sz w:val="24"/>
          <w:szCs w:val="24"/>
        </w:rPr>
        <w:t xml:space="preserve">atory statement </w:t>
      </w:r>
      <w:r w:rsidR="00DC30EB" w:rsidRPr="00BD44C8">
        <w:rPr>
          <w:rFonts w:cstheme="minorHAnsi"/>
          <w:sz w:val="24"/>
          <w:szCs w:val="24"/>
        </w:rPr>
        <w:t>relates</w:t>
      </w:r>
      <w:r w:rsidRPr="00BD44C8">
        <w:rPr>
          <w:rFonts w:cstheme="minorHAnsi"/>
          <w:sz w:val="24"/>
          <w:szCs w:val="24"/>
        </w:rPr>
        <w:t xml:space="preserve"> to the </w:t>
      </w:r>
      <w:r w:rsidR="00F3381C">
        <w:rPr>
          <w:rFonts w:cstheme="minorHAnsi"/>
          <w:sz w:val="24"/>
          <w:szCs w:val="24"/>
        </w:rPr>
        <w:t xml:space="preserve">Unit Titles Legislation </w:t>
      </w:r>
      <w:r w:rsidRPr="00BD44C8">
        <w:rPr>
          <w:rFonts w:cstheme="minorHAnsi"/>
          <w:sz w:val="24"/>
          <w:szCs w:val="24"/>
        </w:rPr>
        <w:t>Amendment Bill 2019 (the Bill)</w:t>
      </w:r>
      <w:r w:rsidR="00C3010E">
        <w:rPr>
          <w:rFonts w:cstheme="minorHAnsi"/>
          <w:sz w:val="24"/>
          <w:szCs w:val="24"/>
        </w:rPr>
        <w:t>.</w:t>
      </w:r>
      <w:r w:rsidR="00110ED3">
        <w:rPr>
          <w:rFonts w:cstheme="minorHAnsi"/>
          <w:sz w:val="24"/>
          <w:szCs w:val="24"/>
        </w:rPr>
        <w:t xml:space="preserve"> </w:t>
      </w:r>
      <w:r w:rsidRPr="00BD44C8">
        <w:rPr>
          <w:rFonts w:cstheme="minorHAnsi"/>
          <w:sz w:val="24"/>
          <w:szCs w:val="24"/>
        </w:rPr>
        <w:t xml:space="preserve"> It has been prepared in order to assist the reader of the Bill and to help </w:t>
      </w:r>
      <w:r w:rsidR="00252B9C" w:rsidRPr="00BD44C8">
        <w:rPr>
          <w:rFonts w:cstheme="minorHAnsi"/>
          <w:sz w:val="24"/>
          <w:szCs w:val="24"/>
        </w:rPr>
        <w:t>in</w:t>
      </w:r>
      <w:r w:rsidRPr="00BD44C8">
        <w:rPr>
          <w:rFonts w:cstheme="minorHAnsi"/>
          <w:sz w:val="24"/>
          <w:szCs w:val="24"/>
        </w:rPr>
        <w:t>form debate on it.</w:t>
      </w:r>
      <w:r w:rsidR="00110ED3">
        <w:rPr>
          <w:rFonts w:cstheme="minorHAnsi"/>
          <w:sz w:val="24"/>
          <w:szCs w:val="24"/>
        </w:rPr>
        <w:t xml:space="preserve"> </w:t>
      </w:r>
      <w:r w:rsidRPr="00BD44C8">
        <w:rPr>
          <w:rFonts w:cstheme="minorHAnsi"/>
          <w:sz w:val="24"/>
          <w:szCs w:val="24"/>
        </w:rPr>
        <w:t xml:space="preserve"> It does not form part of the Bill and has not been endorsed by the Assembly.</w:t>
      </w:r>
    </w:p>
    <w:p w14:paraId="619B422B" w14:textId="6BC178EC" w:rsidR="000E245A" w:rsidRDefault="008C6492">
      <w:pPr>
        <w:rPr>
          <w:rFonts w:cstheme="minorHAnsi"/>
          <w:sz w:val="24"/>
          <w:szCs w:val="24"/>
        </w:rPr>
      </w:pPr>
      <w:r w:rsidRPr="00BD44C8">
        <w:rPr>
          <w:rFonts w:cstheme="minorHAnsi"/>
          <w:sz w:val="24"/>
          <w:szCs w:val="24"/>
        </w:rPr>
        <w:t xml:space="preserve">The </w:t>
      </w:r>
      <w:r w:rsidR="00C3010E">
        <w:rPr>
          <w:rFonts w:cstheme="minorHAnsi"/>
          <w:sz w:val="24"/>
          <w:szCs w:val="24"/>
        </w:rPr>
        <w:t>explanatory s</w:t>
      </w:r>
      <w:r w:rsidRPr="00BD44C8">
        <w:rPr>
          <w:rFonts w:cstheme="minorHAnsi"/>
          <w:sz w:val="24"/>
          <w:szCs w:val="24"/>
        </w:rPr>
        <w:t>tatement must be read in conjunction with the Bill.</w:t>
      </w:r>
      <w:r w:rsidR="00110ED3">
        <w:rPr>
          <w:rFonts w:cstheme="minorHAnsi"/>
          <w:sz w:val="24"/>
          <w:szCs w:val="24"/>
        </w:rPr>
        <w:t xml:space="preserve"> </w:t>
      </w:r>
      <w:r w:rsidRPr="00BD44C8">
        <w:rPr>
          <w:rFonts w:cstheme="minorHAnsi"/>
          <w:sz w:val="24"/>
          <w:szCs w:val="24"/>
        </w:rPr>
        <w:t xml:space="preserve"> It is not, and is not meant to be, a comprehensive description of the Bill.</w:t>
      </w:r>
      <w:r w:rsidR="00986399" w:rsidRPr="00BD44C8">
        <w:rPr>
          <w:rFonts w:cstheme="minorHAnsi"/>
          <w:sz w:val="24"/>
          <w:szCs w:val="24"/>
        </w:rPr>
        <w:t xml:space="preserve"> </w:t>
      </w:r>
      <w:r w:rsidR="00110ED3">
        <w:rPr>
          <w:rFonts w:cstheme="minorHAnsi"/>
          <w:sz w:val="24"/>
          <w:szCs w:val="24"/>
        </w:rPr>
        <w:t xml:space="preserve"> </w:t>
      </w:r>
      <w:r w:rsidR="00986399" w:rsidRPr="00BD44C8">
        <w:rPr>
          <w:rFonts w:cstheme="minorHAnsi"/>
          <w:sz w:val="24"/>
          <w:szCs w:val="24"/>
        </w:rPr>
        <w:t>What is said about a provision is not to be taken as an authoritative guide to the meaning of a provision, this being a task for the courts.</w:t>
      </w:r>
    </w:p>
    <w:p w14:paraId="48DA8BBA" w14:textId="77777777" w:rsidR="00110ED3" w:rsidRPr="000E245A" w:rsidRDefault="00110ED3">
      <w:pPr>
        <w:rPr>
          <w:rFonts w:cstheme="minorHAnsi"/>
          <w:sz w:val="24"/>
          <w:szCs w:val="24"/>
        </w:rPr>
      </w:pPr>
    </w:p>
    <w:p w14:paraId="70A0E9AC" w14:textId="74A9152D" w:rsidR="008C6492" w:rsidRDefault="00C3010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Outline of the government amendments</w:t>
      </w:r>
    </w:p>
    <w:p w14:paraId="74DB3675" w14:textId="51F57390" w:rsidR="00C3010E" w:rsidRPr="00647919" w:rsidRDefault="00C3010E">
      <w:pPr>
        <w:rPr>
          <w:rFonts w:cstheme="minorHAnsi"/>
          <w:b/>
          <w:sz w:val="24"/>
          <w:szCs w:val="24"/>
        </w:rPr>
      </w:pPr>
      <w:r w:rsidRPr="00647919">
        <w:rPr>
          <w:rFonts w:cstheme="minorHAnsi"/>
          <w:b/>
          <w:sz w:val="24"/>
          <w:szCs w:val="24"/>
        </w:rPr>
        <w:t>Amendment 1</w:t>
      </w:r>
    </w:p>
    <w:p w14:paraId="505F360D" w14:textId="586C646A" w:rsidR="00141D7C" w:rsidRPr="00647919" w:rsidRDefault="00141D7C">
      <w:pPr>
        <w:rPr>
          <w:rFonts w:cstheme="minorHAnsi"/>
          <w:b/>
          <w:sz w:val="24"/>
          <w:szCs w:val="24"/>
        </w:rPr>
      </w:pPr>
      <w:r w:rsidRPr="00647919">
        <w:rPr>
          <w:rFonts w:cstheme="minorHAnsi"/>
          <w:b/>
          <w:sz w:val="24"/>
          <w:szCs w:val="24"/>
        </w:rPr>
        <w:t>Proposed new clause 54A</w:t>
      </w:r>
    </w:p>
    <w:p w14:paraId="7960C796" w14:textId="07A767B9" w:rsidR="009550B3" w:rsidRPr="00647919" w:rsidRDefault="00C3010E" w:rsidP="00141D7C">
      <w:pPr>
        <w:spacing w:after="0"/>
        <w:rPr>
          <w:rFonts w:cstheme="minorHAnsi"/>
          <w:b/>
          <w:sz w:val="24"/>
          <w:szCs w:val="24"/>
        </w:rPr>
      </w:pPr>
      <w:r w:rsidRPr="00647919">
        <w:rPr>
          <w:rFonts w:cstheme="minorHAnsi"/>
          <w:b/>
          <w:sz w:val="24"/>
          <w:szCs w:val="24"/>
        </w:rPr>
        <w:t xml:space="preserve">Clause </w:t>
      </w:r>
      <w:r w:rsidR="00141D7C" w:rsidRPr="00647919">
        <w:rPr>
          <w:rFonts w:cstheme="minorHAnsi"/>
          <w:b/>
          <w:sz w:val="24"/>
          <w:szCs w:val="24"/>
        </w:rPr>
        <w:t>54A</w:t>
      </w:r>
      <w:r w:rsidRPr="00647919">
        <w:rPr>
          <w:rFonts w:cstheme="minorHAnsi"/>
          <w:b/>
          <w:sz w:val="24"/>
          <w:szCs w:val="24"/>
        </w:rPr>
        <w:tab/>
      </w:r>
      <w:r w:rsidR="00141D7C" w:rsidRPr="00647919">
        <w:rPr>
          <w:rFonts w:cstheme="minorHAnsi"/>
          <w:b/>
          <w:sz w:val="24"/>
          <w:szCs w:val="24"/>
        </w:rPr>
        <w:t>Owners corporation-establishment</w:t>
      </w:r>
    </w:p>
    <w:p w14:paraId="2EC8F5D6" w14:textId="4EC1B9FB" w:rsidR="00C3010E" w:rsidRPr="00647919" w:rsidRDefault="00141D7C" w:rsidP="0064619F">
      <w:pPr>
        <w:spacing w:after="0"/>
        <w:ind w:left="720" w:firstLine="720"/>
        <w:rPr>
          <w:rFonts w:cstheme="minorHAnsi"/>
          <w:b/>
          <w:sz w:val="24"/>
          <w:szCs w:val="24"/>
        </w:rPr>
      </w:pPr>
      <w:r w:rsidRPr="00647919">
        <w:rPr>
          <w:rFonts w:cstheme="minorHAnsi"/>
          <w:b/>
          <w:sz w:val="24"/>
          <w:szCs w:val="24"/>
        </w:rPr>
        <w:t xml:space="preserve">New </w:t>
      </w:r>
      <w:r w:rsidR="00C3010E" w:rsidRPr="00647919">
        <w:rPr>
          <w:rFonts w:cstheme="minorHAnsi"/>
          <w:b/>
          <w:sz w:val="24"/>
          <w:szCs w:val="24"/>
        </w:rPr>
        <w:t xml:space="preserve">Section </w:t>
      </w:r>
      <w:r w:rsidRPr="00647919">
        <w:rPr>
          <w:rFonts w:cstheme="minorHAnsi"/>
          <w:b/>
          <w:sz w:val="24"/>
          <w:szCs w:val="24"/>
        </w:rPr>
        <w:t>8(1A) and notes</w:t>
      </w:r>
    </w:p>
    <w:p w14:paraId="7CEEAE74" w14:textId="09409FD3" w:rsidR="00CB5DFE" w:rsidRPr="00647919" w:rsidRDefault="00CB5DFE" w:rsidP="00F5039F">
      <w:pPr>
        <w:spacing w:before="240"/>
        <w:rPr>
          <w:rFonts w:cstheme="minorHAnsi"/>
          <w:sz w:val="24"/>
          <w:szCs w:val="24"/>
        </w:rPr>
      </w:pPr>
      <w:r w:rsidRPr="00647919">
        <w:rPr>
          <w:rFonts w:cstheme="minorHAnsi"/>
          <w:sz w:val="24"/>
          <w:szCs w:val="24"/>
        </w:rPr>
        <w:t xml:space="preserve">Amendment 1 </w:t>
      </w:r>
      <w:r w:rsidR="003651D1" w:rsidRPr="00647919">
        <w:rPr>
          <w:rFonts w:cstheme="minorHAnsi"/>
          <w:sz w:val="24"/>
          <w:szCs w:val="24"/>
        </w:rPr>
        <w:t>inserts</w:t>
      </w:r>
      <w:r w:rsidRPr="00647919">
        <w:rPr>
          <w:rFonts w:cstheme="minorHAnsi"/>
          <w:sz w:val="24"/>
          <w:szCs w:val="24"/>
        </w:rPr>
        <w:t xml:space="preserve"> new section </w:t>
      </w:r>
      <w:r w:rsidR="003651D1" w:rsidRPr="00647919">
        <w:rPr>
          <w:rFonts w:cstheme="minorHAnsi"/>
          <w:sz w:val="24"/>
          <w:szCs w:val="24"/>
        </w:rPr>
        <w:t>8</w:t>
      </w:r>
      <w:r w:rsidRPr="00647919">
        <w:rPr>
          <w:rFonts w:cstheme="minorHAnsi"/>
          <w:sz w:val="24"/>
          <w:szCs w:val="24"/>
        </w:rPr>
        <w:t>(1</w:t>
      </w:r>
      <w:r w:rsidR="003651D1" w:rsidRPr="00647919">
        <w:rPr>
          <w:rFonts w:cstheme="minorHAnsi"/>
          <w:sz w:val="24"/>
          <w:szCs w:val="24"/>
        </w:rPr>
        <w:t>A</w:t>
      </w:r>
      <w:r w:rsidRPr="00647919">
        <w:rPr>
          <w:rFonts w:cstheme="minorHAnsi"/>
          <w:sz w:val="24"/>
          <w:szCs w:val="24"/>
        </w:rPr>
        <w:t xml:space="preserve">) in </w:t>
      </w:r>
      <w:r w:rsidR="003651D1" w:rsidRPr="00647919">
        <w:rPr>
          <w:rFonts w:cstheme="minorHAnsi"/>
          <w:sz w:val="24"/>
          <w:szCs w:val="24"/>
        </w:rPr>
        <w:t xml:space="preserve">new clause 54A </w:t>
      </w:r>
      <w:r w:rsidRPr="00647919">
        <w:rPr>
          <w:rFonts w:cstheme="minorHAnsi"/>
          <w:sz w:val="24"/>
          <w:szCs w:val="24"/>
        </w:rPr>
        <w:t>of the Bill.</w:t>
      </w:r>
    </w:p>
    <w:p w14:paraId="5179FBFF" w14:textId="6E2C5221" w:rsidR="00C3010E" w:rsidRPr="00B16C12" w:rsidRDefault="00CB5DFE">
      <w:pPr>
        <w:rPr>
          <w:rFonts w:cstheme="minorHAnsi"/>
          <w:sz w:val="24"/>
          <w:szCs w:val="24"/>
        </w:rPr>
      </w:pPr>
      <w:r w:rsidRPr="00B16C12">
        <w:rPr>
          <w:rFonts w:cstheme="minorHAnsi"/>
          <w:sz w:val="24"/>
          <w:szCs w:val="24"/>
        </w:rPr>
        <w:t xml:space="preserve">This </w:t>
      </w:r>
      <w:r w:rsidR="003651D1" w:rsidRPr="00B16C12">
        <w:rPr>
          <w:rFonts w:cstheme="minorHAnsi"/>
          <w:sz w:val="24"/>
          <w:szCs w:val="24"/>
        </w:rPr>
        <w:t>minor and technical amendment</w:t>
      </w:r>
      <w:r w:rsidRPr="00B16C12">
        <w:rPr>
          <w:rFonts w:cstheme="minorHAnsi"/>
          <w:sz w:val="24"/>
          <w:szCs w:val="24"/>
        </w:rPr>
        <w:t xml:space="preserve"> </w:t>
      </w:r>
      <w:r w:rsidR="00B16C12" w:rsidRPr="00B16C12">
        <w:rPr>
          <w:rFonts w:cstheme="minorHAnsi"/>
          <w:sz w:val="24"/>
          <w:szCs w:val="24"/>
        </w:rPr>
        <w:t xml:space="preserve">inserts new section 8(1A) </w:t>
      </w:r>
      <w:r w:rsidR="004F30AB">
        <w:rPr>
          <w:rFonts w:cstheme="minorHAnsi"/>
          <w:sz w:val="24"/>
          <w:szCs w:val="24"/>
        </w:rPr>
        <w:t xml:space="preserve">into the </w:t>
      </w:r>
      <w:r w:rsidR="004F30AB">
        <w:rPr>
          <w:rFonts w:cstheme="minorHAnsi"/>
          <w:i/>
          <w:iCs/>
          <w:sz w:val="24"/>
          <w:szCs w:val="24"/>
        </w:rPr>
        <w:t xml:space="preserve">Unit Titles (Management) Act 2011 </w:t>
      </w:r>
      <w:r w:rsidR="00B16C12" w:rsidRPr="00B16C12">
        <w:rPr>
          <w:rFonts w:cstheme="minorHAnsi"/>
          <w:sz w:val="24"/>
          <w:szCs w:val="24"/>
        </w:rPr>
        <w:t>to clarify the definition of an owners corporation</w:t>
      </w:r>
      <w:r w:rsidR="004F30AB">
        <w:rPr>
          <w:rFonts w:cstheme="minorHAnsi"/>
          <w:sz w:val="24"/>
          <w:szCs w:val="24"/>
        </w:rPr>
        <w:t xml:space="preserve">.  This new section </w:t>
      </w:r>
      <w:r w:rsidR="00B16C12" w:rsidRPr="00B16C12">
        <w:rPr>
          <w:rFonts w:cstheme="minorHAnsi"/>
          <w:sz w:val="24"/>
          <w:szCs w:val="24"/>
        </w:rPr>
        <w:t>make</w:t>
      </w:r>
      <w:r w:rsidR="004F30AB">
        <w:rPr>
          <w:rFonts w:cstheme="minorHAnsi"/>
          <w:sz w:val="24"/>
          <w:szCs w:val="24"/>
        </w:rPr>
        <w:t>s</w:t>
      </w:r>
      <w:r w:rsidR="00B16C12" w:rsidRPr="00B16C12">
        <w:rPr>
          <w:rFonts w:cstheme="minorHAnsi"/>
          <w:sz w:val="24"/>
          <w:szCs w:val="24"/>
        </w:rPr>
        <w:t xml:space="preserve"> it clear that </w:t>
      </w:r>
      <w:r w:rsidR="00313EB4">
        <w:rPr>
          <w:rFonts w:cstheme="minorHAnsi"/>
          <w:sz w:val="24"/>
          <w:szCs w:val="24"/>
        </w:rPr>
        <w:t xml:space="preserve">an </w:t>
      </w:r>
      <w:r w:rsidR="00B16C12" w:rsidRPr="00B16C12">
        <w:rPr>
          <w:rFonts w:cstheme="minorHAnsi"/>
          <w:sz w:val="24"/>
          <w:szCs w:val="24"/>
        </w:rPr>
        <w:t xml:space="preserve">owners corporation established under previous iterations of the unit titles legislation </w:t>
      </w:r>
      <w:r w:rsidR="00EA1340">
        <w:rPr>
          <w:rFonts w:cstheme="minorHAnsi"/>
          <w:sz w:val="24"/>
          <w:szCs w:val="24"/>
        </w:rPr>
        <w:t>is</w:t>
      </w:r>
      <w:r w:rsidR="004F30AB">
        <w:rPr>
          <w:rFonts w:cstheme="minorHAnsi"/>
          <w:sz w:val="24"/>
          <w:szCs w:val="24"/>
        </w:rPr>
        <w:t xml:space="preserve"> considered to be established under section 8 of this Act</w:t>
      </w:r>
      <w:r w:rsidR="00BF0A4E">
        <w:rPr>
          <w:rFonts w:cstheme="minorHAnsi"/>
          <w:sz w:val="24"/>
          <w:szCs w:val="24"/>
        </w:rPr>
        <w:t>.</w:t>
      </w:r>
    </w:p>
    <w:p w14:paraId="4FC53C67" w14:textId="03E1ED81" w:rsidR="00C3010E" w:rsidRPr="00110ED3" w:rsidRDefault="00C3010E">
      <w:pPr>
        <w:rPr>
          <w:rFonts w:cstheme="minorHAnsi"/>
          <w:b/>
          <w:sz w:val="24"/>
          <w:szCs w:val="24"/>
        </w:rPr>
      </w:pPr>
      <w:r w:rsidRPr="00110ED3">
        <w:rPr>
          <w:rFonts w:cstheme="minorHAnsi"/>
          <w:b/>
          <w:sz w:val="24"/>
          <w:szCs w:val="24"/>
        </w:rPr>
        <w:t>Amendment 2</w:t>
      </w:r>
    </w:p>
    <w:p w14:paraId="69631F0E" w14:textId="77777777" w:rsidR="00141D7C" w:rsidRPr="00110ED3" w:rsidRDefault="00C3010E" w:rsidP="00141D7C">
      <w:pPr>
        <w:spacing w:after="0"/>
        <w:rPr>
          <w:rFonts w:cstheme="minorHAnsi"/>
          <w:b/>
          <w:sz w:val="24"/>
          <w:szCs w:val="24"/>
        </w:rPr>
      </w:pPr>
      <w:r w:rsidRPr="00110ED3">
        <w:rPr>
          <w:rFonts w:cstheme="minorHAnsi"/>
          <w:b/>
          <w:sz w:val="24"/>
          <w:szCs w:val="24"/>
        </w:rPr>
        <w:t xml:space="preserve">Clause </w:t>
      </w:r>
      <w:r w:rsidR="00141D7C" w:rsidRPr="00110ED3">
        <w:rPr>
          <w:rFonts w:cstheme="minorHAnsi"/>
          <w:b/>
          <w:sz w:val="24"/>
          <w:szCs w:val="24"/>
        </w:rPr>
        <w:t>104</w:t>
      </w:r>
      <w:r w:rsidRPr="00110ED3">
        <w:rPr>
          <w:rFonts w:cstheme="minorHAnsi"/>
          <w:b/>
          <w:sz w:val="24"/>
          <w:szCs w:val="24"/>
        </w:rPr>
        <w:tab/>
      </w:r>
      <w:r w:rsidR="00141D7C" w:rsidRPr="00110ED3">
        <w:rPr>
          <w:rFonts w:cstheme="minorHAnsi"/>
          <w:b/>
          <w:sz w:val="24"/>
          <w:szCs w:val="24"/>
        </w:rPr>
        <w:t>Proposed new section 167(1)</w:t>
      </w:r>
    </w:p>
    <w:p w14:paraId="5EB468F6" w14:textId="2DA56E12" w:rsidR="00141D7C" w:rsidRPr="00110ED3" w:rsidRDefault="00CB2C32" w:rsidP="00F5039F">
      <w:pPr>
        <w:spacing w:before="240"/>
        <w:rPr>
          <w:rFonts w:cstheme="minorHAnsi"/>
          <w:sz w:val="24"/>
          <w:szCs w:val="24"/>
        </w:rPr>
      </w:pPr>
      <w:r w:rsidRPr="00110ED3">
        <w:rPr>
          <w:rFonts w:cstheme="minorHAnsi"/>
          <w:sz w:val="24"/>
          <w:szCs w:val="24"/>
        </w:rPr>
        <w:t xml:space="preserve">Amendment 2 amends new section </w:t>
      </w:r>
      <w:r w:rsidR="00141D7C" w:rsidRPr="00110ED3">
        <w:rPr>
          <w:rFonts w:cstheme="minorHAnsi"/>
          <w:sz w:val="24"/>
          <w:szCs w:val="24"/>
        </w:rPr>
        <w:t>167</w:t>
      </w:r>
      <w:r w:rsidRPr="00110ED3">
        <w:rPr>
          <w:rFonts w:cstheme="minorHAnsi"/>
          <w:sz w:val="24"/>
          <w:szCs w:val="24"/>
        </w:rPr>
        <w:t>(1)</w:t>
      </w:r>
      <w:r w:rsidR="00EA1340">
        <w:rPr>
          <w:rFonts w:cstheme="minorHAnsi"/>
          <w:sz w:val="24"/>
          <w:szCs w:val="24"/>
        </w:rPr>
        <w:t xml:space="preserve"> </w:t>
      </w:r>
      <w:r w:rsidRPr="00110ED3">
        <w:rPr>
          <w:rFonts w:cstheme="minorHAnsi"/>
          <w:sz w:val="24"/>
          <w:szCs w:val="24"/>
        </w:rPr>
        <w:t>of clause 1</w:t>
      </w:r>
      <w:r w:rsidR="00141D7C" w:rsidRPr="00110ED3">
        <w:rPr>
          <w:rFonts w:cstheme="minorHAnsi"/>
          <w:sz w:val="24"/>
          <w:szCs w:val="24"/>
        </w:rPr>
        <w:t>04</w:t>
      </w:r>
      <w:r w:rsidRPr="00110ED3">
        <w:rPr>
          <w:rFonts w:cstheme="minorHAnsi"/>
          <w:sz w:val="24"/>
          <w:szCs w:val="24"/>
        </w:rPr>
        <w:t xml:space="preserve"> of the Bill</w:t>
      </w:r>
      <w:r w:rsidR="00141D7C" w:rsidRPr="00110ED3">
        <w:rPr>
          <w:rFonts w:cstheme="minorHAnsi"/>
          <w:sz w:val="24"/>
          <w:szCs w:val="24"/>
        </w:rPr>
        <w:t xml:space="preserve"> to omit the words </w:t>
      </w:r>
      <w:r w:rsidR="00141D7C" w:rsidRPr="00EA1340">
        <w:rPr>
          <w:rFonts w:cstheme="minorHAnsi"/>
          <w:sz w:val="24"/>
          <w:szCs w:val="24"/>
        </w:rPr>
        <w:t>“section 22” and substitute with “the Act”</w:t>
      </w:r>
      <w:r w:rsidRPr="00EA1340">
        <w:rPr>
          <w:rFonts w:cstheme="minorHAnsi"/>
          <w:sz w:val="24"/>
          <w:szCs w:val="24"/>
        </w:rPr>
        <w:t>.</w:t>
      </w:r>
      <w:r w:rsidRPr="00110ED3">
        <w:rPr>
          <w:rFonts w:cstheme="minorHAnsi"/>
          <w:sz w:val="24"/>
          <w:szCs w:val="24"/>
        </w:rPr>
        <w:t xml:space="preserve">  </w:t>
      </w:r>
    </w:p>
    <w:p w14:paraId="0E30DA88" w14:textId="1B742ADB" w:rsidR="000E245A" w:rsidRPr="00110ED3" w:rsidRDefault="000E245A" w:rsidP="000E245A">
      <w:pPr>
        <w:rPr>
          <w:rFonts w:cstheme="minorHAnsi"/>
          <w:sz w:val="24"/>
          <w:szCs w:val="24"/>
        </w:rPr>
      </w:pPr>
      <w:r w:rsidRPr="00110ED3">
        <w:rPr>
          <w:rFonts w:cstheme="minorHAnsi"/>
          <w:sz w:val="24"/>
          <w:szCs w:val="24"/>
        </w:rPr>
        <w:t>Th</w:t>
      </w:r>
      <w:r w:rsidR="00EA1340">
        <w:rPr>
          <w:rFonts w:cstheme="minorHAnsi"/>
          <w:sz w:val="24"/>
          <w:szCs w:val="24"/>
        </w:rPr>
        <w:t>is</w:t>
      </w:r>
      <w:r w:rsidRPr="00110ED3">
        <w:rPr>
          <w:rFonts w:cstheme="minorHAnsi"/>
          <w:sz w:val="24"/>
          <w:szCs w:val="24"/>
        </w:rPr>
        <w:t xml:space="preserve"> proposed </w:t>
      </w:r>
      <w:r w:rsidR="003651D1">
        <w:rPr>
          <w:rFonts w:cstheme="minorHAnsi"/>
          <w:sz w:val="24"/>
          <w:szCs w:val="24"/>
        </w:rPr>
        <w:t>minor and technical</w:t>
      </w:r>
      <w:r w:rsidRPr="00110ED3">
        <w:rPr>
          <w:rFonts w:cstheme="minorHAnsi"/>
          <w:sz w:val="24"/>
          <w:szCs w:val="24"/>
        </w:rPr>
        <w:t xml:space="preserve"> amendment </w:t>
      </w:r>
      <w:r w:rsidR="00EA1340">
        <w:rPr>
          <w:rFonts w:cstheme="minorHAnsi"/>
          <w:sz w:val="24"/>
          <w:szCs w:val="24"/>
        </w:rPr>
        <w:t xml:space="preserve">to the </w:t>
      </w:r>
      <w:r w:rsidR="00EA1340">
        <w:rPr>
          <w:rFonts w:cstheme="minorHAnsi"/>
          <w:i/>
          <w:iCs/>
          <w:sz w:val="24"/>
          <w:szCs w:val="24"/>
        </w:rPr>
        <w:t xml:space="preserve">Unit Titles (Management) Act 2011 </w:t>
      </w:r>
      <w:r w:rsidR="00EA1340">
        <w:rPr>
          <w:rFonts w:cstheme="minorHAnsi"/>
          <w:sz w:val="24"/>
          <w:szCs w:val="24"/>
        </w:rPr>
        <w:t>c</w:t>
      </w:r>
      <w:r w:rsidR="00110ED3" w:rsidRPr="00110ED3">
        <w:rPr>
          <w:rFonts w:cstheme="minorHAnsi"/>
          <w:sz w:val="24"/>
          <w:szCs w:val="24"/>
        </w:rPr>
        <w:t>larif</w:t>
      </w:r>
      <w:r w:rsidR="00EA1340">
        <w:rPr>
          <w:rFonts w:cstheme="minorHAnsi"/>
          <w:sz w:val="24"/>
          <w:szCs w:val="24"/>
        </w:rPr>
        <w:t>ies</w:t>
      </w:r>
      <w:r w:rsidR="00110ED3" w:rsidRPr="00110ED3">
        <w:rPr>
          <w:rFonts w:cstheme="minorHAnsi"/>
          <w:sz w:val="24"/>
          <w:szCs w:val="24"/>
        </w:rPr>
        <w:t xml:space="preserve"> that the transitional provisions relate to any special privilege granted by an owners corporation </w:t>
      </w:r>
      <w:r w:rsidR="00EA1340">
        <w:rPr>
          <w:rFonts w:cstheme="minorHAnsi"/>
          <w:sz w:val="24"/>
          <w:szCs w:val="24"/>
        </w:rPr>
        <w:t>that is</w:t>
      </w:r>
      <w:r w:rsidR="00993DB2">
        <w:rPr>
          <w:rFonts w:cstheme="minorHAnsi"/>
          <w:sz w:val="24"/>
          <w:szCs w:val="24"/>
        </w:rPr>
        <w:t xml:space="preserve"> still in force immediately prior</w:t>
      </w:r>
      <w:r w:rsidR="00110ED3" w:rsidRPr="00110ED3">
        <w:rPr>
          <w:rFonts w:cstheme="minorHAnsi"/>
          <w:sz w:val="24"/>
          <w:szCs w:val="24"/>
        </w:rPr>
        <w:t xml:space="preserve"> to commencement of the amendments</w:t>
      </w:r>
      <w:r w:rsidR="003651D1">
        <w:rPr>
          <w:rFonts w:cstheme="minorHAnsi"/>
          <w:sz w:val="24"/>
          <w:szCs w:val="24"/>
        </w:rPr>
        <w:t xml:space="preserve"> under the Bill</w:t>
      </w:r>
      <w:r w:rsidR="00EA1340">
        <w:rPr>
          <w:rFonts w:cstheme="minorHAnsi"/>
          <w:sz w:val="24"/>
          <w:szCs w:val="24"/>
        </w:rPr>
        <w:t>, not just a special privilege granted under section 22</w:t>
      </w:r>
      <w:r w:rsidR="00110ED3" w:rsidRPr="00110ED3">
        <w:rPr>
          <w:rFonts w:cstheme="minorHAnsi"/>
          <w:sz w:val="24"/>
          <w:szCs w:val="24"/>
        </w:rPr>
        <w:t>.</w:t>
      </w:r>
    </w:p>
    <w:p w14:paraId="0A89BCB1" w14:textId="77777777" w:rsidR="004617E7" w:rsidRDefault="004617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562568C" w14:textId="02DD9AD6" w:rsidR="00141D7C" w:rsidRPr="00D233F2" w:rsidRDefault="00141D7C" w:rsidP="00141D7C">
      <w:pPr>
        <w:rPr>
          <w:rFonts w:cstheme="minorHAnsi"/>
          <w:b/>
          <w:sz w:val="24"/>
          <w:szCs w:val="24"/>
        </w:rPr>
      </w:pPr>
      <w:r w:rsidRPr="00D233F2">
        <w:rPr>
          <w:rFonts w:cstheme="minorHAnsi"/>
          <w:b/>
          <w:sz w:val="24"/>
          <w:szCs w:val="24"/>
        </w:rPr>
        <w:lastRenderedPageBreak/>
        <w:t>Amendment 3</w:t>
      </w:r>
    </w:p>
    <w:p w14:paraId="389F18C5" w14:textId="5A3A89BB" w:rsidR="00141D7C" w:rsidRPr="00D233F2" w:rsidRDefault="00141D7C" w:rsidP="00141D7C">
      <w:pPr>
        <w:spacing w:after="0"/>
        <w:rPr>
          <w:rFonts w:cstheme="minorHAnsi"/>
          <w:b/>
          <w:sz w:val="24"/>
          <w:szCs w:val="24"/>
        </w:rPr>
      </w:pPr>
      <w:r w:rsidRPr="00D233F2">
        <w:rPr>
          <w:rFonts w:cstheme="minorHAnsi"/>
          <w:b/>
          <w:sz w:val="24"/>
          <w:szCs w:val="24"/>
        </w:rPr>
        <w:t>Clause 104</w:t>
      </w:r>
      <w:r w:rsidRPr="00D233F2">
        <w:rPr>
          <w:rFonts w:cstheme="minorHAnsi"/>
          <w:b/>
          <w:sz w:val="24"/>
          <w:szCs w:val="24"/>
        </w:rPr>
        <w:tab/>
        <w:t>Proposed new section 169</w:t>
      </w:r>
    </w:p>
    <w:p w14:paraId="7E0B3BB8" w14:textId="06EECE80" w:rsidR="00141D7C" w:rsidRPr="00D233F2" w:rsidRDefault="00141D7C" w:rsidP="00F5039F">
      <w:pPr>
        <w:spacing w:before="240"/>
        <w:rPr>
          <w:rFonts w:cstheme="minorHAnsi"/>
          <w:sz w:val="24"/>
          <w:szCs w:val="24"/>
        </w:rPr>
      </w:pPr>
      <w:r w:rsidRPr="00D233F2">
        <w:rPr>
          <w:rFonts w:cstheme="minorHAnsi"/>
          <w:sz w:val="24"/>
          <w:szCs w:val="24"/>
        </w:rPr>
        <w:t xml:space="preserve">Amendment 3 </w:t>
      </w:r>
      <w:r w:rsidR="0084530B" w:rsidRPr="00D233F2">
        <w:rPr>
          <w:rFonts w:cstheme="minorHAnsi"/>
          <w:sz w:val="24"/>
          <w:szCs w:val="24"/>
        </w:rPr>
        <w:t xml:space="preserve">omits the proposed new section 169 of clause 104 of the Bill and substitutes an </w:t>
      </w:r>
      <w:r w:rsidRPr="00D233F2">
        <w:rPr>
          <w:rFonts w:cstheme="minorHAnsi"/>
          <w:sz w:val="24"/>
          <w:szCs w:val="24"/>
        </w:rPr>
        <w:t>amend</w:t>
      </w:r>
      <w:r w:rsidR="0084530B" w:rsidRPr="00D233F2">
        <w:rPr>
          <w:rFonts w:cstheme="minorHAnsi"/>
          <w:sz w:val="24"/>
          <w:szCs w:val="24"/>
        </w:rPr>
        <w:t>ed</w:t>
      </w:r>
      <w:r w:rsidRPr="00D233F2">
        <w:rPr>
          <w:rFonts w:cstheme="minorHAnsi"/>
          <w:sz w:val="24"/>
          <w:szCs w:val="24"/>
        </w:rPr>
        <w:t xml:space="preserve"> new section 169.  </w:t>
      </w:r>
    </w:p>
    <w:p w14:paraId="4AB10678" w14:textId="1A99FCC3" w:rsidR="00EA1340" w:rsidRDefault="00141D7C" w:rsidP="00141D7C">
      <w:pPr>
        <w:rPr>
          <w:rFonts w:cstheme="minorHAnsi"/>
          <w:sz w:val="24"/>
          <w:szCs w:val="24"/>
        </w:rPr>
      </w:pPr>
      <w:r w:rsidRPr="00D233F2">
        <w:rPr>
          <w:rFonts w:cstheme="minorHAnsi"/>
          <w:sz w:val="24"/>
          <w:szCs w:val="24"/>
        </w:rPr>
        <w:t>Th</w:t>
      </w:r>
      <w:r w:rsidR="00EA1340">
        <w:rPr>
          <w:rFonts w:cstheme="minorHAnsi"/>
          <w:sz w:val="24"/>
          <w:szCs w:val="24"/>
        </w:rPr>
        <w:t>is</w:t>
      </w:r>
      <w:r w:rsidRPr="00D233F2">
        <w:rPr>
          <w:rFonts w:cstheme="minorHAnsi"/>
          <w:sz w:val="24"/>
          <w:szCs w:val="24"/>
        </w:rPr>
        <w:t xml:space="preserve"> proposed </w:t>
      </w:r>
      <w:r w:rsidR="003651D1" w:rsidRPr="00D233F2">
        <w:rPr>
          <w:rFonts w:cstheme="minorHAnsi"/>
          <w:sz w:val="24"/>
          <w:szCs w:val="24"/>
        </w:rPr>
        <w:t>minor and technical</w:t>
      </w:r>
      <w:r w:rsidRPr="00D233F2">
        <w:rPr>
          <w:rFonts w:cstheme="minorHAnsi"/>
          <w:sz w:val="24"/>
          <w:szCs w:val="24"/>
        </w:rPr>
        <w:t xml:space="preserve"> amendment</w:t>
      </w:r>
      <w:r w:rsidR="00EA1340">
        <w:rPr>
          <w:rFonts w:cstheme="minorHAnsi"/>
          <w:sz w:val="24"/>
          <w:szCs w:val="24"/>
        </w:rPr>
        <w:t xml:space="preserve"> to the </w:t>
      </w:r>
      <w:r w:rsidR="00EA1340">
        <w:rPr>
          <w:rFonts w:cstheme="minorHAnsi"/>
          <w:i/>
          <w:iCs/>
          <w:sz w:val="24"/>
          <w:szCs w:val="24"/>
        </w:rPr>
        <w:t>Unit Titles (Management) Act 2011</w:t>
      </w:r>
      <w:r w:rsidRPr="00D233F2">
        <w:rPr>
          <w:rFonts w:cstheme="minorHAnsi"/>
          <w:sz w:val="24"/>
          <w:szCs w:val="24"/>
        </w:rPr>
        <w:t xml:space="preserve"> </w:t>
      </w:r>
      <w:r w:rsidR="00313EB4" w:rsidRPr="00D233F2">
        <w:rPr>
          <w:rFonts w:cstheme="minorHAnsi"/>
          <w:sz w:val="24"/>
          <w:szCs w:val="24"/>
        </w:rPr>
        <w:t>clarifies the transitional</w:t>
      </w:r>
      <w:r w:rsidRPr="00D233F2">
        <w:rPr>
          <w:rFonts w:cstheme="minorHAnsi"/>
          <w:sz w:val="24"/>
          <w:szCs w:val="24"/>
        </w:rPr>
        <w:t xml:space="preserve"> provision</w:t>
      </w:r>
      <w:r w:rsidR="00313EB4" w:rsidRPr="00D233F2">
        <w:rPr>
          <w:rFonts w:cstheme="minorHAnsi"/>
          <w:sz w:val="24"/>
          <w:szCs w:val="24"/>
        </w:rPr>
        <w:t>s in relation to rules</w:t>
      </w:r>
      <w:r w:rsidR="0084530B" w:rsidRPr="00D233F2">
        <w:rPr>
          <w:rFonts w:cstheme="minorHAnsi"/>
          <w:sz w:val="24"/>
          <w:szCs w:val="24"/>
        </w:rPr>
        <w:t xml:space="preserve"> applying to</w:t>
      </w:r>
      <w:r w:rsidR="00313EB4" w:rsidRPr="00D233F2">
        <w:rPr>
          <w:rFonts w:cstheme="minorHAnsi"/>
          <w:sz w:val="24"/>
          <w:szCs w:val="24"/>
        </w:rPr>
        <w:t xml:space="preserve"> owners corporation</w:t>
      </w:r>
      <w:r w:rsidR="0084530B" w:rsidRPr="00D233F2">
        <w:rPr>
          <w:rFonts w:cstheme="minorHAnsi"/>
          <w:sz w:val="24"/>
          <w:szCs w:val="24"/>
        </w:rPr>
        <w:t>s established before the commencement day</w:t>
      </w:r>
      <w:r w:rsidR="00EA1340">
        <w:rPr>
          <w:rFonts w:cstheme="minorHAnsi"/>
          <w:sz w:val="24"/>
          <w:szCs w:val="24"/>
        </w:rPr>
        <w:t xml:space="preserve"> (new section 169(1))</w:t>
      </w:r>
      <w:r w:rsidR="00313EB4" w:rsidRPr="00D233F2">
        <w:rPr>
          <w:rFonts w:cstheme="minorHAnsi"/>
          <w:sz w:val="24"/>
          <w:szCs w:val="24"/>
        </w:rPr>
        <w:t>.</w:t>
      </w:r>
    </w:p>
    <w:p w14:paraId="51E69737" w14:textId="002906A7" w:rsidR="00674849" w:rsidRPr="00D233F2" w:rsidRDefault="0084530B" w:rsidP="00141D7C">
      <w:pPr>
        <w:rPr>
          <w:rFonts w:cstheme="minorHAnsi"/>
          <w:sz w:val="24"/>
          <w:szCs w:val="24"/>
        </w:rPr>
      </w:pPr>
      <w:r w:rsidRPr="00D233F2">
        <w:rPr>
          <w:rFonts w:cstheme="minorHAnsi"/>
          <w:sz w:val="24"/>
          <w:szCs w:val="24"/>
        </w:rPr>
        <w:t xml:space="preserve">New section 169(2) provides that on the day of commencement, </w:t>
      </w:r>
      <w:r w:rsidR="0013657E">
        <w:rPr>
          <w:rFonts w:cstheme="minorHAnsi"/>
          <w:sz w:val="24"/>
          <w:szCs w:val="24"/>
        </w:rPr>
        <w:t xml:space="preserve">the rules of the owners corporation will be </w:t>
      </w:r>
      <w:r w:rsidRPr="00D233F2">
        <w:rPr>
          <w:rFonts w:cstheme="minorHAnsi"/>
          <w:sz w:val="24"/>
          <w:szCs w:val="24"/>
        </w:rPr>
        <w:t xml:space="preserve">the default rules </w:t>
      </w:r>
      <w:r w:rsidR="0013657E">
        <w:rPr>
          <w:rFonts w:cstheme="minorHAnsi"/>
          <w:sz w:val="24"/>
          <w:szCs w:val="24"/>
        </w:rPr>
        <w:t xml:space="preserve">as prescribed </w:t>
      </w:r>
      <w:r w:rsidRPr="00D233F2">
        <w:rPr>
          <w:rFonts w:cstheme="minorHAnsi"/>
          <w:sz w:val="24"/>
          <w:szCs w:val="24"/>
        </w:rPr>
        <w:t xml:space="preserve">under </w:t>
      </w:r>
      <w:r w:rsidR="00EA1340">
        <w:rPr>
          <w:rFonts w:cstheme="minorHAnsi"/>
          <w:sz w:val="24"/>
          <w:szCs w:val="24"/>
        </w:rPr>
        <w:t xml:space="preserve">schedule 1 of </w:t>
      </w:r>
      <w:r w:rsidRPr="00D233F2">
        <w:rPr>
          <w:rFonts w:cstheme="minorHAnsi"/>
          <w:sz w:val="24"/>
          <w:szCs w:val="24"/>
        </w:rPr>
        <w:t xml:space="preserve">the </w:t>
      </w:r>
      <w:r w:rsidRPr="00D233F2">
        <w:rPr>
          <w:rFonts w:cstheme="minorHAnsi"/>
          <w:i/>
          <w:iCs/>
          <w:sz w:val="24"/>
          <w:szCs w:val="24"/>
        </w:rPr>
        <w:t>Unit Titles (Management) Regulation 2011</w:t>
      </w:r>
      <w:r w:rsidRPr="00D233F2">
        <w:rPr>
          <w:rFonts w:cstheme="minorHAnsi"/>
          <w:sz w:val="24"/>
          <w:szCs w:val="24"/>
        </w:rPr>
        <w:t>.  If at any point in time an owners corporation amended any of the default rules</w:t>
      </w:r>
      <w:r w:rsidR="00EA1340">
        <w:rPr>
          <w:rFonts w:cstheme="minorHAnsi"/>
          <w:sz w:val="24"/>
          <w:szCs w:val="24"/>
        </w:rPr>
        <w:t xml:space="preserve"> (</w:t>
      </w:r>
      <w:r w:rsidRPr="00D233F2">
        <w:rPr>
          <w:rFonts w:cstheme="minorHAnsi"/>
          <w:sz w:val="24"/>
          <w:szCs w:val="24"/>
        </w:rPr>
        <w:t>previously known as articles</w:t>
      </w:r>
      <w:r w:rsidR="00EA1340">
        <w:rPr>
          <w:rFonts w:cstheme="minorHAnsi"/>
          <w:sz w:val="24"/>
          <w:szCs w:val="24"/>
        </w:rPr>
        <w:t>)</w:t>
      </w:r>
      <w:r w:rsidRPr="00D233F2">
        <w:rPr>
          <w:rFonts w:cstheme="minorHAnsi"/>
          <w:sz w:val="24"/>
          <w:szCs w:val="24"/>
        </w:rPr>
        <w:t>, these amendments will continue to apply after commencement so long as they are no</w:t>
      </w:r>
      <w:r w:rsidR="0013657E">
        <w:rPr>
          <w:rFonts w:cstheme="minorHAnsi"/>
          <w:sz w:val="24"/>
          <w:szCs w:val="24"/>
        </w:rPr>
        <w:t>t</w:t>
      </w:r>
      <w:r w:rsidRPr="00D233F2">
        <w:rPr>
          <w:rFonts w:cstheme="minorHAnsi"/>
          <w:sz w:val="24"/>
          <w:szCs w:val="24"/>
        </w:rPr>
        <w:t xml:space="preserve"> inconsistent with this Act or another territory law</w:t>
      </w:r>
      <w:r w:rsidR="00EA1340">
        <w:rPr>
          <w:rFonts w:cstheme="minorHAnsi"/>
          <w:sz w:val="24"/>
          <w:szCs w:val="24"/>
        </w:rPr>
        <w:t xml:space="preserve"> (new section 169(3))</w:t>
      </w:r>
      <w:r w:rsidRPr="00D233F2">
        <w:rPr>
          <w:rFonts w:cstheme="minorHAnsi"/>
          <w:sz w:val="24"/>
          <w:szCs w:val="24"/>
        </w:rPr>
        <w:t>.</w:t>
      </w:r>
    </w:p>
    <w:p w14:paraId="0B3B30B2" w14:textId="170E1F37" w:rsidR="00674849" w:rsidRPr="00D233F2" w:rsidRDefault="00674849" w:rsidP="00141D7C">
      <w:pPr>
        <w:rPr>
          <w:rFonts w:cstheme="minorHAnsi"/>
          <w:sz w:val="24"/>
          <w:szCs w:val="24"/>
        </w:rPr>
      </w:pPr>
      <w:r w:rsidRPr="00D233F2">
        <w:rPr>
          <w:rFonts w:cstheme="minorHAnsi"/>
          <w:sz w:val="24"/>
          <w:szCs w:val="24"/>
        </w:rPr>
        <w:t>New section 169(4)</w:t>
      </w:r>
      <w:r w:rsidRPr="00D233F2">
        <w:rPr>
          <w:sz w:val="24"/>
          <w:szCs w:val="24"/>
        </w:rPr>
        <w:t xml:space="preserve"> </w:t>
      </w:r>
      <w:r w:rsidR="00EA1340">
        <w:rPr>
          <w:sz w:val="24"/>
          <w:szCs w:val="24"/>
        </w:rPr>
        <w:t xml:space="preserve">provides </w:t>
      </w:r>
      <w:r w:rsidRPr="00D233F2">
        <w:rPr>
          <w:sz w:val="24"/>
          <w:szCs w:val="24"/>
        </w:rPr>
        <w:t xml:space="preserve">that the existing rules of the owners corporation cannot be the subject of an application to </w:t>
      </w:r>
      <w:r w:rsidR="00EA1340">
        <w:rPr>
          <w:sz w:val="24"/>
          <w:szCs w:val="24"/>
        </w:rPr>
        <w:t>the ACT Civil and Administrative Tribunal</w:t>
      </w:r>
      <w:r w:rsidRPr="00D233F2">
        <w:rPr>
          <w:sz w:val="24"/>
          <w:szCs w:val="24"/>
        </w:rPr>
        <w:t xml:space="preserve"> for a declaration </w:t>
      </w:r>
      <w:r w:rsidR="00501997">
        <w:rPr>
          <w:sz w:val="24"/>
          <w:szCs w:val="24"/>
        </w:rPr>
        <w:t xml:space="preserve">that the rule is invalid </w:t>
      </w:r>
      <w:r w:rsidRPr="00D233F2">
        <w:rPr>
          <w:sz w:val="24"/>
          <w:szCs w:val="24"/>
        </w:rPr>
        <w:t>under new section 127(1)</w:t>
      </w:r>
      <w:r w:rsidR="00501997">
        <w:rPr>
          <w:sz w:val="24"/>
          <w:szCs w:val="24"/>
        </w:rPr>
        <w:t>,</w:t>
      </w:r>
      <w:r w:rsidRPr="00D233F2">
        <w:rPr>
          <w:sz w:val="24"/>
          <w:szCs w:val="24"/>
        </w:rPr>
        <w:t xml:space="preserve"> until after the second annual general meeting of the owners corporation following commencement.  </w:t>
      </w:r>
      <w:r w:rsidR="00501997">
        <w:rPr>
          <w:sz w:val="24"/>
          <w:szCs w:val="24"/>
        </w:rPr>
        <w:t xml:space="preserve">This means that owners corporations should review any non-standard rules (defined in new section 169(7) </w:t>
      </w:r>
      <w:r w:rsidR="00501997" w:rsidRPr="00F5039F">
        <w:rPr>
          <w:rFonts w:cstheme="minorHAnsi"/>
          <w:sz w:val="24"/>
          <w:szCs w:val="24"/>
        </w:rPr>
        <w:t>as being a rule other than a default rule or article</w:t>
      </w:r>
      <w:r w:rsidR="00501997">
        <w:rPr>
          <w:rFonts w:cstheme="minorHAnsi"/>
          <w:sz w:val="24"/>
          <w:szCs w:val="24"/>
        </w:rPr>
        <w:t xml:space="preserve">) </w:t>
      </w:r>
      <w:r w:rsidR="00501997">
        <w:rPr>
          <w:sz w:val="24"/>
          <w:szCs w:val="24"/>
        </w:rPr>
        <w:t>within this timeframe.</w:t>
      </w:r>
    </w:p>
    <w:p w14:paraId="2523FFC5" w14:textId="3E5F87F2" w:rsidR="00674849" w:rsidRPr="00D233F2" w:rsidRDefault="0084530B" w:rsidP="00141D7C">
      <w:pPr>
        <w:rPr>
          <w:rFonts w:cstheme="minorHAnsi"/>
          <w:sz w:val="24"/>
          <w:szCs w:val="24"/>
        </w:rPr>
      </w:pPr>
      <w:r w:rsidRPr="00D233F2">
        <w:rPr>
          <w:rFonts w:cstheme="minorHAnsi"/>
          <w:sz w:val="24"/>
          <w:szCs w:val="24"/>
        </w:rPr>
        <w:t xml:space="preserve">New section 169(5) </w:t>
      </w:r>
      <w:r w:rsidR="00674849" w:rsidRPr="00D233F2">
        <w:rPr>
          <w:sz w:val="24"/>
          <w:szCs w:val="24"/>
        </w:rPr>
        <w:t xml:space="preserve">provides that this transitional provision applies even if the non-standard rule was not registered under the </w:t>
      </w:r>
      <w:r w:rsidR="00674849" w:rsidRPr="00D233F2">
        <w:rPr>
          <w:i/>
          <w:iCs/>
          <w:sz w:val="24"/>
          <w:szCs w:val="24"/>
        </w:rPr>
        <w:t>Land Titles (Unit Titles) Act 1970</w:t>
      </w:r>
      <w:r w:rsidR="00674849" w:rsidRPr="00D233F2">
        <w:rPr>
          <w:sz w:val="24"/>
          <w:szCs w:val="24"/>
        </w:rPr>
        <w:t xml:space="preserve"> before the commencement day.  </w:t>
      </w:r>
    </w:p>
    <w:p w14:paraId="7CA12629" w14:textId="051A36A4" w:rsidR="00674849" w:rsidRPr="00F5039F" w:rsidRDefault="00674849" w:rsidP="00141D7C">
      <w:pPr>
        <w:rPr>
          <w:rFonts w:cstheme="minorHAnsi"/>
          <w:sz w:val="24"/>
          <w:szCs w:val="24"/>
        </w:rPr>
      </w:pPr>
      <w:r w:rsidRPr="00F5039F">
        <w:rPr>
          <w:rFonts w:cstheme="minorHAnsi"/>
          <w:sz w:val="24"/>
          <w:szCs w:val="24"/>
        </w:rPr>
        <w:t>New section 169(6)</w:t>
      </w:r>
      <w:r w:rsidR="00501997">
        <w:rPr>
          <w:rFonts w:cstheme="minorHAnsi"/>
          <w:sz w:val="24"/>
          <w:szCs w:val="24"/>
        </w:rPr>
        <w:t xml:space="preserve"> provides that this section</w:t>
      </w:r>
      <w:r w:rsidRPr="00F5039F">
        <w:rPr>
          <w:rFonts w:cstheme="minorHAnsi"/>
          <w:sz w:val="24"/>
          <w:szCs w:val="24"/>
        </w:rPr>
        <w:t xml:space="preserve"> </w:t>
      </w:r>
      <w:r w:rsidR="00501997">
        <w:rPr>
          <w:rFonts w:cstheme="minorHAnsi"/>
          <w:sz w:val="24"/>
          <w:szCs w:val="24"/>
        </w:rPr>
        <w:t xml:space="preserve">is subject to new </w:t>
      </w:r>
      <w:r w:rsidRPr="00F5039F">
        <w:rPr>
          <w:sz w:val="24"/>
          <w:szCs w:val="24"/>
        </w:rPr>
        <w:t>section 170</w:t>
      </w:r>
      <w:r w:rsidR="00501997">
        <w:rPr>
          <w:sz w:val="24"/>
          <w:szCs w:val="24"/>
        </w:rPr>
        <w:t>, which sets out the transitional provisions relating to rules</w:t>
      </w:r>
      <w:r w:rsidRPr="00F5039F">
        <w:rPr>
          <w:sz w:val="24"/>
          <w:szCs w:val="24"/>
        </w:rPr>
        <w:t xml:space="preserve"> about keeping animals in a unit.</w:t>
      </w:r>
    </w:p>
    <w:p w14:paraId="12C2AE84" w14:textId="2AF5DC51" w:rsidR="00141D7C" w:rsidRPr="00F5039F" w:rsidRDefault="00141D7C" w:rsidP="00141D7C">
      <w:pPr>
        <w:rPr>
          <w:rFonts w:cstheme="minorHAnsi"/>
          <w:b/>
          <w:sz w:val="24"/>
          <w:szCs w:val="24"/>
        </w:rPr>
      </w:pPr>
      <w:r w:rsidRPr="00F5039F">
        <w:rPr>
          <w:rFonts w:cstheme="minorHAnsi"/>
          <w:b/>
          <w:sz w:val="24"/>
          <w:szCs w:val="24"/>
        </w:rPr>
        <w:t>Amendment 4</w:t>
      </w:r>
    </w:p>
    <w:p w14:paraId="51ADC0CA" w14:textId="2D62E4D1" w:rsidR="00141D7C" w:rsidRPr="00F5039F" w:rsidRDefault="00141D7C" w:rsidP="00141D7C">
      <w:pPr>
        <w:spacing w:after="0"/>
        <w:rPr>
          <w:rFonts w:cstheme="minorHAnsi"/>
          <w:b/>
          <w:sz w:val="24"/>
          <w:szCs w:val="24"/>
        </w:rPr>
      </w:pPr>
      <w:r w:rsidRPr="00F5039F">
        <w:rPr>
          <w:rFonts w:cstheme="minorHAnsi"/>
          <w:b/>
          <w:sz w:val="24"/>
          <w:szCs w:val="24"/>
        </w:rPr>
        <w:t>Clause 134</w:t>
      </w:r>
      <w:r w:rsidRPr="00F5039F">
        <w:rPr>
          <w:rFonts w:cstheme="minorHAnsi"/>
          <w:b/>
          <w:sz w:val="24"/>
          <w:szCs w:val="24"/>
        </w:rPr>
        <w:tab/>
        <w:t>Proposed new section 4A(a)(iiia)</w:t>
      </w:r>
    </w:p>
    <w:p w14:paraId="1C46666E" w14:textId="196D2295" w:rsidR="000E245A" w:rsidRPr="00110ED3" w:rsidRDefault="00141D7C" w:rsidP="00F5039F">
      <w:pPr>
        <w:spacing w:before="240"/>
        <w:rPr>
          <w:rFonts w:cstheme="minorHAnsi"/>
          <w:sz w:val="24"/>
          <w:szCs w:val="24"/>
        </w:rPr>
      </w:pPr>
      <w:r w:rsidRPr="00F5039F">
        <w:rPr>
          <w:rFonts w:cstheme="minorHAnsi"/>
          <w:sz w:val="24"/>
          <w:szCs w:val="24"/>
        </w:rPr>
        <w:t xml:space="preserve">Amendment 4 </w:t>
      </w:r>
      <w:r w:rsidR="00501997">
        <w:rPr>
          <w:rFonts w:cstheme="minorHAnsi"/>
          <w:sz w:val="24"/>
          <w:szCs w:val="24"/>
        </w:rPr>
        <w:t>inserts</w:t>
      </w:r>
      <w:r w:rsidRPr="00F5039F">
        <w:rPr>
          <w:rFonts w:cstheme="minorHAnsi"/>
          <w:sz w:val="24"/>
          <w:szCs w:val="24"/>
        </w:rPr>
        <w:t xml:space="preserve"> new section 4A(a)(iiia) </w:t>
      </w:r>
      <w:r w:rsidR="00501997">
        <w:rPr>
          <w:rFonts w:cstheme="minorHAnsi"/>
          <w:sz w:val="24"/>
          <w:szCs w:val="24"/>
        </w:rPr>
        <w:t>in</w:t>
      </w:r>
      <w:r w:rsidRPr="00F5039F">
        <w:rPr>
          <w:rFonts w:cstheme="minorHAnsi"/>
          <w:sz w:val="24"/>
          <w:szCs w:val="24"/>
        </w:rPr>
        <w:t xml:space="preserve"> clause 134 of the Bill</w:t>
      </w:r>
      <w:r w:rsidR="00501997">
        <w:rPr>
          <w:rFonts w:cstheme="minorHAnsi"/>
          <w:sz w:val="24"/>
          <w:szCs w:val="24"/>
        </w:rPr>
        <w:t xml:space="preserve">.  This new section </w:t>
      </w:r>
      <w:r w:rsidR="00B16C12" w:rsidRPr="00F5039F">
        <w:rPr>
          <w:rFonts w:cstheme="minorHAnsi"/>
          <w:sz w:val="24"/>
          <w:szCs w:val="24"/>
        </w:rPr>
        <w:t xml:space="preserve">proposes a minor and technical amendment </w:t>
      </w:r>
      <w:r w:rsidRPr="00110ED3">
        <w:rPr>
          <w:rFonts w:cstheme="minorHAnsi"/>
          <w:sz w:val="24"/>
          <w:szCs w:val="24"/>
        </w:rPr>
        <w:t xml:space="preserve">to </w:t>
      </w:r>
      <w:r w:rsidR="00501997">
        <w:rPr>
          <w:rFonts w:cstheme="minorHAnsi"/>
          <w:sz w:val="24"/>
          <w:szCs w:val="24"/>
        </w:rPr>
        <w:t xml:space="preserve">the Unit Titles (Management) Regulation 2011 to </w:t>
      </w:r>
      <w:r w:rsidRPr="00110ED3">
        <w:rPr>
          <w:rFonts w:cstheme="minorHAnsi"/>
          <w:sz w:val="24"/>
          <w:szCs w:val="24"/>
        </w:rPr>
        <w:t>include lifts as item</w:t>
      </w:r>
      <w:r w:rsidR="00110ED3" w:rsidRPr="00110ED3">
        <w:rPr>
          <w:rFonts w:cstheme="minorHAnsi"/>
          <w:sz w:val="24"/>
          <w:szCs w:val="24"/>
        </w:rPr>
        <w:t xml:space="preserve"> that must be included in a maintenance plan of the owners corporation</w:t>
      </w:r>
      <w:r w:rsidRPr="00110ED3">
        <w:rPr>
          <w:rFonts w:cstheme="minorHAnsi"/>
          <w:sz w:val="24"/>
          <w:szCs w:val="24"/>
        </w:rPr>
        <w:t>.</w:t>
      </w:r>
    </w:p>
    <w:sectPr w:rsidR="000E245A" w:rsidRPr="00110ED3" w:rsidSect="00756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D2A4" w14:textId="77777777" w:rsidR="006021F7" w:rsidRDefault="006021F7" w:rsidP="000F766B">
      <w:pPr>
        <w:spacing w:after="0" w:line="240" w:lineRule="auto"/>
      </w:pPr>
      <w:r>
        <w:separator/>
      </w:r>
    </w:p>
  </w:endnote>
  <w:endnote w:type="continuationSeparator" w:id="0">
    <w:p w14:paraId="12F5EFD1" w14:textId="77777777" w:rsidR="006021F7" w:rsidRDefault="006021F7" w:rsidP="000F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D350" w14:textId="77777777" w:rsidR="00244DF2" w:rsidRDefault="00244D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178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C900C" w14:textId="77777777" w:rsidR="00756391" w:rsidRDefault="007563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E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EF1ED" w14:textId="26E9A6C1" w:rsidR="00756391" w:rsidRPr="00244DF2" w:rsidRDefault="00244DF2" w:rsidP="00244DF2">
    <w:pPr>
      <w:pStyle w:val="Footer"/>
      <w:jc w:val="center"/>
      <w:rPr>
        <w:rFonts w:ascii="Arial" w:hAnsi="Arial" w:cs="Arial"/>
        <w:sz w:val="14"/>
      </w:rPr>
    </w:pPr>
    <w:r w:rsidRPr="00244DF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CF10" w14:textId="5B2B4B03" w:rsidR="00244DF2" w:rsidRPr="00244DF2" w:rsidRDefault="00244DF2" w:rsidP="00244DF2">
    <w:pPr>
      <w:pStyle w:val="Footer"/>
      <w:jc w:val="center"/>
      <w:rPr>
        <w:rFonts w:ascii="Arial" w:hAnsi="Arial" w:cs="Arial"/>
        <w:sz w:val="14"/>
      </w:rPr>
    </w:pPr>
    <w:r w:rsidRPr="00244DF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DAF47" w14:textId="77777777" w:rsidR="006021F7" w:rsidRDefault="006021F7" w:rsidP="000F766B">
      <w:pPr>
        <w:spacing w:after="0" w:line="240" w:lineRule="auto"/>
      </w:pPr>
      <w:r>
        <w:separator/>
      </w:r>
    </w:p>
  </w:footnote>
  <w:footnote w:type="continuationSeparator" w:id="0">
    <w:p w14:paraId="36169BDA" w14:textId="77777777" w:rsidR="006021F7" w:rsidRDefault="006021F7" w:rsidP="000F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4049" w14:textId="77777777" w:rsidR="00244DF2" w:rsidRDefault="00244D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83C0" w14:textId="77777777" w:rsidR="00244DF2" w:rsidRDefault="00244D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DDF4" w14:textId="77777777" w:rsidR="00244DF2" w:rsidRDefault="00244D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BA5"/>
    <w:multiLevelType w:val="multilevel"/>
    <w:tmpl w:val="2FAA1C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78556B"/>
    <w:multiLevelType w:val="hybridMultilevel"/>
    <w:tmpl w:val="7570E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A70"/>
    <w:multiLevelType w:val="hybridMultilevel"/>
    <w:tmpl w:val="6F1E3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5B9"/>
    <w:multiLevelType w:val="hybridMultilevel"/>
    <w:tmpl w:val="A8BE2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B6E8E"/>
    <w:multiLevelType w:val="multilevel"/>
    <w:tmpl w:val="9DB256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</w:abstractNum>
  <w:abstractNum w:abstractNumId="5" w15:restartNumberingAfterBreak="0">
    <w:nsid w:val="4203410C"/>
    <w:multiLevelType w:val="hybridMultilevel"/>
    <w:tmpl w:val="6030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5728D"/>
    <w:multiLevelType w:val="multilevel"/>
    <w:tmpl w:val="54549D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77850D9D"/>
    <w:multiLevelType w:val="hybridMultilevel"/>
    <w:tmpl w:val="D068A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92"/>
    <w:rsid w:val="0003228A"/>
    <w:rsid w:val="00037856"/>
    <w:rsid w:val="00043578"/>
    <w:rsid w:val="000538F3"/>
    <w:rsid w:val="00061FA4"/>
    <w:rsid w:val="00065FE7"/>
    <w:rsid w:val="00067D10"/>
    <w:rsid w:val="000761BD"/>
    <w:rsid w:val="000B5A47"/>
    <w:rsid w:val="000D18A8"/>
    <w:rsid w:val="000E245A"/>
    <w:rsid w:val="000F766B"/>
    <w:rsid w:val="00102D1D"/>
    <w:rsid w:val="00110ED3"/>
    <w:rsid w:val="00134EF8"/>
    <w:rsid w:val="0013657E"/>
    <w:rsid w:val="00141D7C"/>
    <w:rsid w:val="00152833"/>
    <w:rsid w:val="00185CF2"/>
    <w:rsid w:val="00194073"/>
    <w:rsid w:val="001B036B"/>
    <w:rsid w:val="001E292B"/>
    <w:rsid w:val="00203180"/>
    <w:rsid w:val="002164F6"/>
    <w:rsid w:val="00216C2C"/>
    <w:rsid w:val="00244DF2"/>
    <w:rsid w:val="00252B9C"/>
    <w:rsid w:val="00262CCC"/>
    <w:rsid w:val="00271FE3"/>
    <w:rsid w:val="00272AB6"/>
    <w:rsid w:val="00292BC1"/>
    <w:rsid w:val="00296DE3"/>
    <w:rsid w:val="002B0850"/>
    <w:rsid w:val="002B4AAB"/>
    <w:rsid w:val="002E055E"/>
    <w:rsid w:val="00313EB4"/>
    <w:rsid w:val="00314A8E"/>
    <w:rsid w:val="003651D1"/>
    <w:rsid w:val="0037078B"/>
    <w:rsid w:val="003A61ED"/>
    <w:rsid w:val="003F6D7C"/>
    <w:rsid w:val="004011FE"/>
    <w:rsid w:val="0043009F"/>
    <w:rsid w:val="0045607C"/>
    <w:rsid w:val="004617E7"/>
    <w:rsid w:val="00464E54"/>
    <w:rsid w:val="00471AA5"/>
    <w:rsid w:val="00480A45"/>
    <w:rsid w:val="00495D80"/>
    <w:rsid w:val="004B19D1"/>
    <w:rsid w:val="004C3ABE"/>
    <w:rsid w:val="004D06AE"/>
    <w:rsid w:val="004E6058"/>
    <w:rsid w:val="004F30AB"/>
    <w:rsid w:val="00501997"/>
    <w:rsid w:val="00514A83"/>
    <w:rsid w:val="005431CE"/>
    <w:rsid w:val="0057401A"/>
    <w:rsid w:val="005876F3"/>
    <w:rsid w:val="005A35F0"/>
    <w:rsid w:val="005D3C99"/>
    <w:rsid w:val="006021F7"/>
    <w:rsid w:val="00617C7C"/>
    <w:rsid w:val="00634CA3"/>
    <w:rsid w:val="0064056C"/>
    <w:rsid w:val="0064619F"/>
    <w:rsid w:val="00647919"/>
    <w:rsid w:val="00650115"/>
    <w:rsid w:val="006542FF"/>
    <w:rsid w:val="0065689B"/>
    <w:rsid w:val="00660BAD"/>
    <w:rsid w:val="00674849"/>
    <w:rsid w:val="006B1DC6"/>
    <w:rsid w:val="006E72F4"/>
    <w:rsid w:val="006F0F84"/>
    <w:rsid w:val="00706BF0"/>
    <w:rsid w:val="00750028"/>
    <w:rsid w:val="00756391"/>
    <w:rsid w:val="00773D64"/>
    <w:rsid w:val="007779DC"/>
    <w:rsid w:val="007C7A94"/>
    <w:rsid w:val="007D4F25"/>
    <w:rsid w:val="0082486B"/>
    <w:rsid w:val="00833725"/>
    <w:rsid w:val="008400CE"/>
    <w:rsid w:val="00843F56"/>
    <w:rsid w:val="0084530B"/>
    <w:rsid w:val="00874F02"/>
    <w:rsid w:val="008C6492"/>
    <w:rsid w:val="008F2EED"/>
    <w:rsid w:val="00934F5F"/>
    <w:rsid w:val="00953E59"/>
    <w:rsid w:val="009550B3"/>
    <w:rsid w:val="00973697"/>
    <w:rsid w:val="0097643B"/>
    <w:rsid w:val="00986399"/>
    <w:rsid w:val="00993DB2"/>
    <w:rsid w:val="00997125"/>
    <w:rsid w:val="009B4B21"/>
    <w:rsid w:val="009B5282"/>
    <w:rsid w:val="009E1A63"/>
    <w:rsid w:val="009E48C9"/>
    <w:rsid w:val="009F1A05"/>
    <w:rsid w:val="00A07728"/>
    <w:rsid w:val="00A34002"/>
    <w:rsid w:val="00A64A08"/>
    <w:rsid w:val="00A86091"/>
    <w:rsid w:val="00A96C26"/>
    <w:rsid w:val="00A97AB9"/>
    <w:rsid w:val="00AA141A"/>
    <w:rsid w:val="00AB0F68"/>
    <w:rsid w:val="00AC170A"/>
    <w:rsid w:val="00AE7240"/>
    <w:rsid w:val="00B02883"/>
    <w:rsid w:val="00B16C12"/>
    <w:rsid w:val="00B34917"/>
    <w:rsid w:val="00B409C4"/>
    <w:rsid w:val="00B655D6"/>
    <w:rsid w:val="00B72FBB"/>
    <w:rsid w:val="00BD44C8"/>
    <w:rsid w:val="00BE0EFB"/>
    <w:rsid w:val="00BF0A4E"/>
    <w:rsid w:val="00BF49E7"/>
    <w:rsid w:val="00C21300"/>
    <w:rsid w:val="00C3010E"/>
    <w:rsid w:val="00C302BE"/>
    <w:rsid w:val="00C41FD3"/>
    <w:rsid w:val="00C97958"/>
    <w:rsid w:val="00CB222C"/>
    <w:rsid w:val="00CB2C32"/>
    <w:rsid w:val="00CB5DFE"/>
    <w:rsid w:val="00CC4F73"/>
    <w:rsid w:val="00D119FB"/>
    <w:rsid w:val="00D233F2"/>
    <w:rsid w:val="00D26E2B"/>
    <w:rsid w:val="00D54814"/>
    <w:rsid w:val="00DB3DCB"/>
    <w:rsid w:val="00DB56D1"/>
    <w:rsid w:val="00DC30EB"/>
    <w:rsid w:val="00DE4F8C"/>
    <w:rsid w:val="00DF3640"/>
    <w:rsid w:val="00E10224"/>
    <w:rsid w:val="00E14305"/>
    <w:rsid w:val="00E4552D"/>
    <w:rsid w:val="00E52440"/>
    <w:rsid w:val="00E52725"/>
    <w:rsid w:val="00E61EFE"/>
    <w:rsid w:val="00E81246"/>
    <w:rsid w:val="00E823E2"/>
    <w:rsid w:val="00E83084"/>
    <w:rsid w:val="00E90877"/>
    <w:rsid w:val="00E92F16"/>
    <w:rsid w:val="00EA1340"/>
    <w:rsid w:val="00EA3D3A"/>
    <w:rsid w:val="00EB4B99"/>
    <w:rsid w:val="00EB7EE2"/>
    <w:rsid w:val="00EC4E50"/>
    <w:rsid w:val="00F139E7"/>
    <w:rsid w:val="00F3381C"/>
    <w:rsid w:val="00F35548"/>
    <w:rsid w:val="00F5039F"/>
    <w:rsid w:val="00F561DF"/>
    <w:rsid w:val="00F565AA"/>
    <w:rsid w:val="00F653EE"/>
    <w:rsid w:val="00F77AA7"/>
    <w:rsid w:val="00F85F29"/>
    <w:rsid w:val="00FA5B6A"/>
    <w:rsid w:val="00FC2919"/>
    <w:rsid w:val="00FC331C"/>
    <w:rsid w:val="00FC6A92"/>
    <w:rsid w:val="00FE0E02"/>
    <w:rsid w:val="00FE1156"/>
    <w:rsid w:val="00FE24CA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9DF4C"/>
  <w15:chartTrackingRefBased/>
  <w15:docId w15:val="{4CCA3774-DE55-4F86-B95B-73F4ED77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49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F766B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F76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0F766B"/>
    <w:rPr>
      <w:vertAlign w:val="superscript"/>
    </w:rPr>
  </w:style>
  <w:style w:type="paragraph" w:styleId="ListParagraph">
    <w:name w:val="List Paragraph"/>
    <w:aliases w:val="Bullet,List Paragraph1,Recommendation,List Paragraph11,Bullet point,L"/>
    <w:basedOn w:val="Normal"/>
    <w:link w:val="ListParagraphChar"/>
    <w:uiPriority w:val="34"/>
    <w:qFormat/>
    <w:rsid w:val="00BE0EF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en-AU"/>
    </w:rPr>
  </w:style>
  <w:style w:type="paragraph" w:customStyle="1" w:styleId="InstructionalText">
    <w:name w:val="Instructional Text"/>
    <w:basedOn w:val="Normal"/>
    <w:link w:val="InstructionalTextChar"/>
    <w:qFormat/>
    <w:rsid w:val="000B5A47"/>
    <w:pPr>
      <w:spacing w:before="40" w:after="100" w:line="240" w:lineRule="auto"/>
    </w:pPr>
    <w:rPr>
      <w:rFonts w:ascii="Calibri" w:hAnsi="Calibri"/>
      <w:color w:val="2E74B5" w:themeColor="accent1" w:themeShade="BF"/>
      <w:szCs w:val="20"/>
    </w:rPr>
  </w:style>
  <w:style w:type="character" w:customStyle="1" w:styleId="InstructionalTextChar">
    <w:name w:val="Instructional Text Char"/>
    <w:basedOn w:val="DefaultParagraphFont"/>
    <w:link w:val="InstructionalText"/>
    <w:rsid w:val="000B5A47"/>
    <w:rPr>
      <w:rFonts w:ascii="Calibri" w:eastAsia="Times New Roman" w:hAnsi="Calibri" w:cs="Times New Roman"/>
      <w:color w:val="2E74B5" w:themeColor="accent1" w:themeShade="BF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0224"/>
    <w:rPr>
      <w:color w:val="0563C1"/>
      <w:u w:val="single"/>
    </w:rPr>
  </w:style>
  <w:style w:type="character" w:customStyle="1" w:styleId="ListParagraphChar">
    <w:name w:val="List Paragraph Char"/>
    <w:aliases w:val="Bullet Char,List Paragraph1 Char,Recommendation Char,List Paragraph11 Char,Bullet point Char,L Char"/>
    <w:link w:val="ListParagraph"/>
    <w:uiPriority w:val="34"/>
    <w:locked/>
    <w:rsid w:val="00495D8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5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39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56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39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E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9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595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4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1812-1783-4531-8834-56F75BE8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3341</Characters>
  <Application>Microsoft Office Word</Application>
  <DocSecurity>0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2020-02-17T05:17:00Z</dcterms:created>
  <dcterms:modified xsi:type="dcterms:W3CDTF">2020-02-17T05:17:00Z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A24509461</vt:lpwstr>
  </property>
  <property fmtid="{D5CDD505-2E9C-101B-9397-08002B2CF9AE}" pid="4" name="Objective-Title">
    <vt:lpwstr>Attachment G - Supplementary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2020-01-14T05:26:33Z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2020-01-27T00:55:45Z</vt:filetime>
  </property>
  <property fmtid="{D5CDD505-2E9C-101B-9397-08002B2CF9AE}" pid="10" name="Objective-ModificationStamp">
    <vt:filetime>2020-01-27T00:55:45Z</vt:filetime>
  </property>
  <property fmtid="{D5CDD505-2E9C-101B-9397-08002B2CF9AE}" pid="11" name="Objective-Owner">
    <vt:lpwstr>Caroline Cogger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Cabinet:01. 9th Assembly:06. COMPLETED Cabinet submissions ( 9th Assembly):2019:19/294 - Cabinet - CO-SPONSO</vt:lpwstr>
  </property>
  <property fmtid="{D5CDD505-2E9C-101B-9397-08002B2CF9AE}" pid="13" name="Objective-Parent">
    <vt:lpwstr>04. Assembly Documents, Speeches, Media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1-2018/35971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