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3073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3727D73" w14:textId="1C3A7569" w:rsidR="00C17FAB" w:rsidRDefault="001A6747">
      <w:pPr>
        <w:pStyle w:val="Billname"/>
        <w:spacing w:before="700"/>
      </w:pPr>
      <w:r>
        <w:t>Utilities</w:t>
      </w:r>
      <w:r w:rsidR="00FD75CE">
        <w:t xml:space="preserve"> (</w:t>
      </w:r>
      <w:r>
        <w:t>Licensing</w:t>
      </w:r>
      <w:r w:rsidR="00FD75CE">
        <w:t xml:space="preserve">) </w:t>
      </w:r>
      <w:r>
        <w:t>Exemption</w:t>
      </w:r>
      <w:r w:rsidR="00FD75CE">
        <w:t xml:space="preserve"> </w:t>
      </w:r>
      <w:r>
        <w:t>2019</w:t>
      </w:r>
    </w:p>
    <w:p w14:paraId="6A437E2A" w14:textId="1E47831A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A6747">
        <w:rPr>
          <w:rFonts w:ascii="Arial" w:hAnsi="Arial" w:cs="Arial"/>
          <w:b/>
          <w:bCs/>
        </w:rPr>
        <w:t>2019</w:t>
      </w:r>
      <w:r w:rsidR="00C17FAB">
        <w:rPr>
          <w:rFonts w:ascii="Arial" w:hAnsi="Arial" w:cs="Arial"/>
          <w:b/>
          <w:bCs/>
        </w:rPr>
        <w:t>–</w:t>
      </w:r>
      <w:r w:rsidR="008772E1">
        <w:rPr>
          <w:rFonts w:ascii="Arial" w:hAnsi="Arial" w:cs="Arial"/>
          <w:b/>
          <w:bCs/>
        </w:rPr>
        <w:t>268</w:t>
      </w:r>
    </w:p>
    <w:p w14:paraId="3A4C05D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1892196" w14:textId="36CD8B0C" w:rsidR="00C17FAB" w:rsidRDefault="001A6747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22 </w:t>
      </w:r>
      <w:r w:rsidR="00C17FAB">
        <w:rPr>
          <w:rFonts w:cs="Arial"/>
          <w:sz w:val="20"/>
        </w:rPr>
        <w:t>(</w:t>
      </w:r>
      <w:r>
        <w:rPr>
          <w:rFonts w:cs="Arial"/>
          <w:sz w:val="20"/>
        </w:rPr>
        <w:t>Exemptions</w:t>
      </w:r>
      <w:r w:rsidR="00C17FAB">
        <w:rPr>
          <w:rFonts w:cs="Arial"/>
          <w:sz w:val="20"/>
        </w:rPr>
        <w:t>)</w:t>
      </w:r>
    </w:p>
    <w:p w14:paraId="54DA437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5B337A" w14:textId="77777777" w:rsidR="00C17FAB" w:rsidRDefault="00C17FAB">
      <w:pPr>
        <w:pStyle w:val="N-line3"/>
        <w:pBdr>
          <w:bottom w:val="none" w:sz="0" w:space="0" w:color="auto"/>
        </w:pBdr>
      </w:pPr>
    </w:p>
    <w:p w14:paraId="49D2A3D7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A00C09A" w14:textId="1B2B7372" w:rsidR="001A6747" w:rsidRDefault="001A1221" w:rsidP="001A1221">
      <w:pPr>
        <w:shd w:val="clear" w:color="auto" w:fill="FFFFFF"/>
        <w:spacing w:after="24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21 of the </w:t>
      </w:r>
      <w:r w:rsidRPr="001A1221">
        <w:rPr>
          <w:i/>
          <w:iCs/>
          <w:szCs w:val="24"/>
          <w:lang w:eastAsia="en-AU"/>
        </w:rPr>
        <w:t>Utilities Act 2000</w:t>
      </w:r>
      <w:r>
        <w:rPr>
          <w:szCs w:val="24"/>
          <w:lang w:eastAsia="en-AU"/>
        </w:rPr>
        <w:t xml:space="preserve"> (the </w:t>
      </w:r>
      <w:r w:rsidRPr="001A1221">
        <w:rPr>
          <w:b/>
          <w:bCs/>
          <w:i/>
          <w:iCs/>
          <w:szCs w:val="24"/>
          <w:lang w:eastAsia="en-AU"/>
        </w:rPr>
        <w:t>Act</w:t>
      </w:r>
      <w:r>
        <w:rPr>
          <w:szCs w:val="24"/>
          <w:lang w:eastAsia="en-AU"/>
        </w:rPr>
        <w:t xml:space="preserve">) provides that a person must not provide a utility service except in accordance with a licence.  </w:t>
      </w:r>
      <w:r w:rsidR="001A6747" w:rsidRPr="001A6747">
        <w:rPr>
          <w:szCs w:val="24"/>
          <w:lang w:eastAsia="en-AU"/>
        </w:rPr>
        <w:t xml:space="preserve">Section 22 of the Act </w:t>
      </w:r>
      <w:r>
        <w:rPr>
          <w:szCs w:val="24"/>
          <w:lang w:eastAsia="en-AU"/>
        </w:rPr>
        <w:t>permits</w:t>
      </w:r>
      <w:r w:rsidR="001A6747" w:rsidRPr="001A6747">
        <w:rPr>
          <w:szCs w:val="24"/>
          <w:lang w:eastAsia="en-AU"/>
        </w:rPr>
        <w:t xml:space="preserve"> the Minister to exempt a person from the requirement to hold a licence in relation to a utility service.  </w:t>
      </w:r>
      <w:r>
        <w:rPr>
          <w:szCs w:val="24"/>
          <w:lang w:eastAsia="en-AU"/>
        </w:rPr>
        <w:t>Under section 22 (2), a</w:t>
      </w:r>
      <w:r w:rsidR="001A6747" w:rsidRPr="001A6747">
        <w:rPr>
          <w:szCs w:val="24"/>
          <w:lang w:eastAsia="en-AU"/>
        </w:rPr>
        <w:t>n exemption is subject to compliance with the conditions stated in the instrument of exemption.</w:t>
      </w:r>
    </w:p>
    <w:p w14:paraId="331FE383" w14:textId="61B48DF2" w:rsidR="001A6747" w:rsidRDefault="001A6747" w:rsidP="001A1221">
      <w:pPr>
        <w:shd w:val="clear" w:color="auto" w:fill="FFFFFF"/>
        <w:spacing w:after="240"/>
        <w:rPr>
          <w:szCs w:val="24"/>
          <w:lang w:eastAsia="en-AU"/>
        </w:rPr>
      </w:pPr>
      <w:r w:rsidRPr="001A6747">
        <w:rPr>
          <w:szCs w:val="24"/>
          <w:lang w:eastAsia="en-AU"/>
        </w:rPr>
        <w:t>This disallowable instrument provides a</w:t>
      </w:r>
      <w:r w:rsidR="00D4502E">
        <w:rPr>
          <w:szCs w:val="24"/>
          <w:lang w:eastAsia="en-AU"/>
        </w:rPr>
        <w:t xml:space="preserve"> licensing</w:t>
      </w:r>
      <w:r w:rsidRPr="001A6747">
        <w:rPr>
          <w:szCs w:val="24"/>
          <w:lang w:eastAsia="en-AU"/>
        </w:rPr>
        <w:t xml:space="preserve"> exemption to the Territory</w:t>
      </w:r>
      <w:r w:rsidR="00D4502E">
        <w:rPr>
          <w:szCs w:val="24"/>
          <w:lang w:eastAsia="en-AU"/>
        </w:rPr>
        <w:t xml:space="preserve"> </w:t>
      </w:r>
      <w:r w:rsidR="00D4502E" w:rsidRPr="001A6747">
        <w:rPr>
          <w:szCs w:val="24"/>
          <w:lang w:eastAsia="en-AU"/>
        </w:rPr>
        <w:t>to operate the Inner North Reticulation Network</w:t>
      </w:r>
      <w:r w:rsidR="00D4502E">
        <w:rPr>
          <w:szCs w:val="24"/>
          <w:lang w:eastAsia="en-AU"/>
        </w:rPr>
        <w:t xml:space="preserve"> (</w:t>
      </w:r>
      <w:r w:rsidR="00D4502E" w:rsidRPr="001A1221">
        <w:rPr>
          <w:b/>
          <w:bCs/>
          <w:i/>
          <w:iCs/>
          <w:szCs w:val="24"/>
          <w:lang w:eastAsia="en-AU"/>
        </w:rPr>
        <w:t>INRN</w:t>
      </w:r>
      <w:r w:rsidR="00D4502E">
        <w:rPr>
          <w:szCs w:val="24"/>
          <w:lang w:eastAsia="en-AU"/>
        </w:rPr>
        <w:t>)</w:t>
      </w:r>
      <w:r w:rsidRPr="001A6747">
        <w:rPr>
          <w:szCs w:val="24"/>
          <w:lang w:eastAsia="en-AU"/>
        </w:rPr>
        <w:t xml:space="preserve">, as represented by the </w:t>
      </w:r>
      <w:r>
        <w:rPr>
          <w:szCs w:val="24"/>
          <w:lang w:eastAsia="en-AU"/>
        </w:rPr>
        <w:t>d</w:t>
      </w:r>
      <w:r w:rsidRPr="001A6747">
        <w:rPr>
          <w:szCs w:val="24"/>
          <w:lang w:eastAsia="en-AU"/>
        </w:rPr>
        <w:t>irectorate that has responsibility from time to time for providing the non</w:t>
      </w:r>
      <w:r>
        <w:rPr>
          <w:szCs w:val="24"/>
          <w:lang w:eastAsia="en-AU"/>
        </w:rPr>
        <w:t>-</w:t>
      </w:r>
      <w:r w:rsidRPr="001A6747">
        <w:rPr>
          <w:szCs w:val="24"/>
          <w:lang w:eastAsia="en-AU"/>
        </w:rPr>
        <w:t xml:space="preserve">potable water supply service. </w:t>
      </w:r>
      <w:r>
        <w:rPr>
          <w:szCs w:val="24"/>
          <w:lang w:eastAsia="en-AU"/>
        </w:rPr>
        <w:t xml:space="preserve"> At the time of the drafting, the relevant directorate is the Transport Canberra and City Services Directorate (</w:t>
      </w:r>
      <w:r w:rsidRPr="001A1221">
        <w:rPr>
          <w:b/>
          <w:bCs/>
          <w:i/>
          <w:iCs/>
          <w:szCs w:val="24"/>
          <w:lang w:eastAsia="en-AU"/>
        </w:rPr>
        <w:t>TCCS</w:t>
      </w:r>
      <w:r>
        <w:rPr>
          <w:szCs w:val="24"/>
          <w:lang w:eastAsia="en-AU"/>
        </w:rPr>
        <w:t>).</w:t>
      </w:r>
    </w:p>
    <w:p w14:paraId="69EE4731" w14:textId="730D0603" w:rsidR="001A6747" w:rsidRPr="001A6747" w:rsidRDefault="001A6747" w:rsidP="001A1221">
      <w:pPr>
        <w:shd w:val="clear" w:color="auto" w:fill="FFFFFF"/>
        <w:spacing w:after="240"/>
        <w:rPr>
          <w:szCs w:val="24"/>
          <w:lang w:eastAsia="en-AU"/>
        </w:rPr>
      </w:pPr>
      <w:r w:rsidRPr="001A6747">
        <w:rPr>
          <w:szCs w:val="24"/>
          <w:lang w:eastAsia="en-AU"/>
        </w:rPr>
        <w:t>The INRN is a stormwater harvesting initiative of the ACT Government</w:t>
      </w:r>
      <w:r w:rsidR="00781BB0">
        <w:rPr>
          <w:szCs w:val="24"/>
          <w:lang w:eastAsia="en-AU"/>
        </w:rPr>
        <w:t xml:space="preserve"> under which n</w:t>
      </w:r>
      <w:r w:rsidRPr="001A6747">
        <w:rPr>
          <w:szCs w:val="24"/>
          <w:lang w:eastAsia="en-AU"/>
        </w:rPr>
        <w:t xml:space="preserve">on-potable water </w:t>
      </w:r>
      <w:r w:rsidR="00872D54">
        <w:rPr>
          <w:szCs w:val="24"/>
          <w:lang w:eastAsia="en-AU"/>
        </w:rPr>
        <w:t>is</w:t>
      </w:r>
      <w:r w:rsidRPr="001A6747">
        <w:rPr>
          <w:szCs w:val="24"/>
          <w:lang w:eastAsia="en-AU"/>
        </w:rPr>
        <w:t xml:space="preserve"> captured in urban ponds, </w:t>
      </w:r>
      <w:r w:rsidR="00781BB0">
        <w:rPr>
          <w:szCs w:val="24"/>
          <w:lang w:eastAsia="en-AU"/>
        </w:rPr>
        <w:t xml:space="preserve">then </w:t>
      </w:r>
      <w:r w:rsidRPr="001A6747">
        <w:rPr>
          <w:szCs w:val="24"/>
          <w:lang w:eastAsia="en-AU"/>
        </w:rPr>
        <w:t>filtered, reticulated and sold for irrigation uses.</w:t>
      </w:r>
      <w:r w:rsidR="00872D54">
        <w:rPr>
          <w:szCs w:val="24"/>
          <w:lang w:eastAsia="en-AU"/>
        </w:rPr>
        <w:t xml:space="preserve">  The exemption specifically permits TCCS to </w:t>
      </w:r>
      <w:r w:rsidRPr="001A6747">
        <w:rPr>
          <w:szCs w:val="24"/>
          <w:lang w:eastAsia="en-AU"/>
        </w:rPr>
        <w:t xml:space="preserve">source stormwater from Flemington Road Pond, Dickson Pond, Lyneham Pond and EPIC bore. </w:t>
      </w:r>
    </w:p>
    <w:p w14:paraId="43CF1987" w14:textId="14AC3EB9" w:rsidR="001A6747" w:rsidRDefault="001A1221" w:rsidP="001A1221">
      <w:pPr>
        <w:shd w:val="clear" w:color="auto" w:fill="FFFFFF"/>
        <w:rPr>
          <w:szCs w:val="24"/>
          <w:lang w:eastAsia="en-AU"/>
        </w:rPr>
      </w:pPr>
      <w:r>
        <w:rPr>
          <w:szCs w:val="24"/>
          <w:lang w:eastAsia="en-AU"/>
        </w:rPr>
        <w:t>Under clause 5 of the exemption, TCCS</w:t>
      </w:r>
      <w:r w:rsidR="001A6747" w:rsidRPr="001A6747">
        <w:rPr>
          <w:szCs w:val="24"/>
          <w:lang w:eastAsia="en-AU"/>
        </w:rPr>
        <w:t xml:space="preserve"> must comply with the following conditions</w:t>
      </w:r>
      <w:r w:rsidR="00872D54">
        <w:rPr>
          <w:szCs w:val="24"/>
          <w:lang w:eastAsia="en-AU"/>
        </w:rPr>
        <w:t>, which are developed from section 25 (2) of the Act</w:t>
      </w:r>
      <w:r w:rsidR="001A6747" w:rsidRPr="001A6747">
        <w:rPr>
          <w:szCs w:val="24"/>
          <w:lang w:eastAsia="en-AU"/>
        </w:rPr>
        <w:t>:</w:t>
      </w:r>
    </w:p>
    <w:p w14:paraId="0858955D" w14:textId="7A4D4ED7" w:rsidR="001A6747" w:rsidRPr="001A6747" w:rsidRDefault="001A6747" w:rsidP="001A1221">
      <w:pPr>
        <w:pStyle w:val="ListParagraph"/>
        <w:numPr>
          <w:ilvl w:val="0"/>
          <w:numId w:val="10"/>
        </w:numPr>
        <w:shd w:val="clear" w:color="auto" w:fill="FFFFFF"/>
        <w:spacing w:after="240"/>
        <w:rPr>
          <w:szCs w:val="24"/>
          <w:lang w:eastAsia="en-AU"/>
        </w:rPr>
      </w:pPr>
      <w:r w:rsidRPr="001A1221">
        <w:rPr>
          <w:szCs w:val="24"/>
          <w:lang w:eastAsia="en-AU"/>
        </w:rPr>
        <w:t xml:space="preserve">each industry code that applies to the </w:t>
      </w:r>
      <w:r w:rsidRPr="001A6747">
        <w:rPr>
          <w:szCs w:val="24"/>
          <w:lang w:eastAsia="en-AU"/>
        </w:rPr>
        <w:t>utility;</w:t>
      </w:r>
    </w:p>
    <w:p w14:paraId="69CB97E9" w14:textId="440B2312" w:rsidR="001A6747" w:rsidRPr="001A6747" w:rsidRDefault="001A6747" w:rsidP="001A1221">
      <w:pPr>
        <w:pStyle w:val="ListParagraph"/>
        <w:numPr>
          <w:ilvl w:val="0"/>
          <w:numId w:val="10"/>
        </w:numPr>
        <w:shd w:val="clear" w:color="auto" w:fill="FFFFFF"/>
        <w:spacing w:after="240"/>
        <w:rPr>
          <w:szCs w:val="24"/>
          <w:lang w:eastAsia="en-AU"/>
        </w:rPr>
      </w:pPr>
      <w:r w:rsidRPr="001A1221">
        <w:rPr>
          <w:szCs w:val="24"/>
          <w:lang w:eastAsia="en-AU"/>
        </w:rPr>
        <w:t>each technical code that applies to th</w:t>
      </w:r>
      <w:r w:rsidRPr="001A6747">
        <w:rPr>
          <w:szCs w:val="24"/>
          <w:lang w:eastAsia="en-AU"/>
        </w:rPr>
        <w:t>e utility;</w:t>
      </w:r>
    </w:p>
    <w:p w14:paraId="044A9263" w14:textId="3CDE6FB3" w:rsidR="001A6747" w:rsidRDefault="001A6747" w:rsidP="001A1221">
      <w:pPr>
        <w:pStyle w:val="ListParagraph"/>
        <w:numPr>
          <w:ilvl w:val="0"/>
          <w:numId w:val="10"/>
        </w:numPr>
        <w:shd w:val="clear" w:color="auto" w:fill="FFFFFF"/>
        <w:spacing w:after="240"/>
        <w:rPr>
          <w:szCs w:val="24"/>
          <w:lang w:eastAsia="en-AU"/>
        </w:rPr>
      </w:pPr>
      <w:bookmarkStart w:id="2" w:name="_Hlk24707574"/>
      <w:r w:rsidRPr="001A1221">
        <w:rPr>
          <w:szCs w:val="24"/>
          <w:lang w:eastAsia="en-AU"/>
        </w:rPr>
        <w:t xml:space="preserve">a </w:t>
      </w:r>
      <w:r w:rsidR="00872D54">
        <w:rPr>
          <w:szCs w:val="24"/>
          <w:lang w:eastAsia="en-AU"/>
        </w:rPr>
        <w:t xml:space="preserve">technical regulator’s </w:t>
      </w:r>
      <w:r w:rsidRPr="001A1221">
        <w:rPr>
          <w:szCs w:val="24"/>
          <w:lang w:eastAsia="en-AU"/>
        </w:rPr>
        <w:t xml:space="preserve">direction given </w:t>
      </w:r>
      <w:r w:rsidR="00872D54">
        <w:rPr>
          <w:szCs w:val="24"/>
          <w:lang w:eastAsia="en-AU"/>
        </w:rPr>
        <w:t xml:space="preserve">under the </w:t>
      </w:r>
      <w:r w:rsidR="00872D54" w:rsidRPr="00872D54">
        <w:rPr>
          <w:i/>
          <w:iCs/>
          <w:szCs w:val="24"/>
          <w:lang w:eastAsia="en-AU"/>
        </w:rPr>
        <w:t>Utilities (Technical Regulation) Act 2014</w:t>
      </w:r>
      <w:bookmarkEnd w:id="2"/>
      <w:r w:rsidR="00872D54">
        <w:rPr>
          <w:szCs w:val="24"/>
          <w:lang w:eastAsia="en-AU"/>
        </w:rPr>
        <w:t>;</w:t>
      </w:r>
    </w:p>
    <w:p w14:paraId="3041B31D" w14:textId="6CCC88BD" w:rsidR="00781BB0" w:rsidRDefault="00781BB0" w:rsidP="00781BB0">
      <w:pPr>
        <w:pStyle w:val="ListParagraph"/>
        <w:numPr>
          <w:ilvl w:val="0"/>
          <w:numId w:val="10"/>
        </w:numPr>
        <w:spacing w:before="140"/>
      </w:pPr>
      <w:r>
        <w:t xml:space="preserve">provide an annual report for 2019-20, 2020-21 and 2021-22 </w:t>
      </w:r>
      <w:r w:rsidR="00DD656D">
        <w:t xml:space="preserve">detailing scheme performance and </w:t>
      </w:r>
      <w:r>
        <w:t>that</w:t>
      </w:r>
      <w:r w:rsidR="00DD656D">
        <w:t xml:space="preserve"> </w:t>
      </w:r>
      <w:r>
        <w:t>includes monitored water quality parameters for the stormwater that enters the aquifer;</w:t>
      </w:r>
    </w:p>
    <w:p w14:paraId="638132EE" w14:textId="492E6086" w:rsidR="00781BB0" w:rsidRDefault="00781BB0" w:rsidP="00781BB0">
      <w:pPr>
        <w:pStyle w:val="ListParagraph"/>
        <w:numPr>
          <w:ilvl w:val="0"/>
          <w:numId w:val="10"/>
        </w:numPr>
        <w:spacing w:before="140"/>
      </w:pPr>
      <w:bookmarkStart w:id="3" w:name="_Hlk24720729"/>
      <w:bookmarkStart w:id="4" w:name="OLE_LINK1"/>
      <w:r>
        <w:t xml:space="preserve">provide a triple bottom line </w:t>
      </w:r>
      <w:r w:rsidR="00DD656D">
        <w:t xml:space="preserve">assessment of the scheme that includes a </w:t>
      </w:r>
      <w:r>
        <w:t>cost-benefit analysis after 5 years in operation</w:t>
      </w:r>
      <w:r w:rsidR="00DD656D">
        <w:t xml:space="preserve"> (2017-18 to 2021-22)</w:t>
      </w:r>
      <w:r>
        <w:t xml:space="preserve"> and then every 5 years </w:t>
      </w:r>
      <w:r w:rsidR="00DD656D">
        <w:t>thereafter</w:t>
      </w:r>
      <w:bookmarkEnd w:id="3"/>
      <w:bookmarkEnd w:id="4"/>
      <w:r>
        <w:t>;</w:t>
      </w:r>
    </w:p>
    <w:p w14:paraId="3C700377" w14:textId="581A79D4" w:rsidR="00781BB0" w:rsidRPr="00781BB0" w:rsidRDefault="00781BB0" w:rsidP="00781BB0">
      <w:pPr>
        <w:pStyle w:val="ListParagraph"/>
        <w:numPr>
          <w:ilvl w:val="0"/>
          <w:numId w:val="10"/>
        </w:numPr>
        <w:spacing w:before="140"/>
      </w:pPr>
      <w:r>
        <w:t xml:space="preserve">dedicate </w:t>
      </w:r>
      <w:r w:rsidR="00517A25">
        <w:t xml:space="preserve">at least </w:t>
      </w:r>
      <w:r>
        <w:t>1.5 full time equivalent staff to manage operation of the utility service; and</w:t>
      </w:r>
    </w:p>
    <w:p w14:paraId="4F388D55" w14:textId="2BBAF09A" w:rsidR="001A6747" w:rsidRPr="001A6747" w:rsidRDefault="001A6747" w:rsidP="001A1221">
      <w:pPr>
        <w:pStyle w:val="ListParagraph"/>
        <w:numPr>
          <w:ilvl w:val="0"/>
          <w:numId w:val="10"/>
        </w:numPr>
        <w:shd w:val="clear" w:color="auto" w:fill="FFFFFF"/>
        <w:spacing w:after="240"/>
        <w:rPr>
          <w:szCs w:val="24"/>
          <w:lang w:eastAsia="en-AU"/>
        </w:rPr>
      </w:pPr>
      <w:r w:rsidRPr="001A1221">
        <w:rPr>
          <w:szCs w:val="24"/>
          <w:lang w:eastAsia="en-AU"/>
        </w:rPr>
        <w:lastRenderedPageBreak/>
        <w:t>keeping all records and documents nece</w:t>
      </w:r>
      <w:r w:rsidRPr="001A6747">
        <w:rPr>
          <w:szCs w:val="24"/>
          <w:lang w:eastAsia="en-AU"/>
        </w:rPr>
        <w:t>ssary to enable T</w:t>
      </w:r>
      <w:r w:rsidR="00872D54">
        <w:rPr>
          <w:szCs w:val="24"/>
          <w:lang w:eastAsia="en-AU"/>
        </w:rPr>
        <w:t>CC</w:t>
      </w:r>
      <w:r w:rsidRPr="001A6747">
        <w:rPr>
          <w:szCs w:val="24"/>
          <w:lang w:eastAsia="en-AU"/>
        </w:rPr>
        <w:t>S to meet any reporting requirement</w:t>
      </w:r>
      <w:r w:rsidR="00872D54">
        <w:rPr>
          <w:szCs w:val="24"/>
          <w:lang w:eastAsia="en-AU"/>
        </w:rPr>
        <w:t>, or any requirement to produce a record or document</w:t>
      </w:r>
      <w:r w:rsidRPr="001A6747">
        <w:rPr>
          <w:szCs w:val="24"/>
          <w:lang w:eastAsia="en-AU"/>
        </w:rPr>
        <w:t xml:space="preserve"> under the Act or another condition of the exemption.</w:t>
      </w:r>
    </w:p>
    <w:p w14:paraId="30E444C0" w14:textId="2F2017A8" w:rsidR="00C17FAB" w:rsidRDefault="001A6747" w:rsidP="00781BB0">
      <w:pPr>
        <w:shd w:val="clear" w:color="auto" w:fill="FFFFFF"/>
        <w:spacing w:after="240"/>
        <w:rPr>
          <w:szCs w:val="24"/>
          <w:lang w:eastAsia="en-AU"/>
        </w:rPr>
      </w:pPr>
      <w:r w:rsidRPr="001A6747">
        <w:rPr>
          <w:szCs w:val="24"/>
          <w:lang w:eastAsia="en-AU"/>
        </w:rPr>
        <w:t>In accordance with section 36</w:t>
      </w:r>
      <w:r w:rsidR="00781BB0">
        <w:rPr>
          <w:szCs w:val="24"/>
          <w:lang w:eastAsia="en-AU"/>
        </w:rPr>
        <w:t xml:space="preserve"> </w:t>
      </w:r>
      <w:r w:rsidRPr="001A6747">
        <w:rPr>
          <w:szCs w:val="24"/>
          <w:lang w:eastAsia="en-AU"/>
        </w:rPr>
        <w:t>(1)</w:t>
      </w:r>
      <w:r w:rsidR="00781BB0">
        <w:rPr>
          <w:szCs w:val="24"/>
          <w:lang w:eastAsia="en-AU"/>
        </w:rPr>
        <w:t xml:space="preserve"> </w:t>
      </w:r>
      <w:r w:rsidRPr="001A6747">
        <w:rPr>
          <w:szCs w:val="24"/>
          <w:lang w:eastAsia="en-AU"/>
        </w:rPr>
        <w:t xml:space="preserve">(b) of the </w:t>
      </w:r>
      <w:r w:rsidRPr="001A6747">
        <w:rPr>
          <w:i/>
          <w:iCs/>
          <w:szCs w:val="24"/>
          <w:lang w:eastAsia="en-AU"/>
        </w:rPr>
        <w:t>Legislation Act 2001</w:t>
      </w:r>
      <w:r w:rsidRPr="001A6747">
        <w:rPr>
          <w:szCs w:val="24"/>
          <w:lang w:eastAsia="en-AU"/>
        </w:rPr>
        <w:t xml:space="preserve"> a </w:t>
      </w:r>
      <w:r w:rsidR="001A1221">
        <w:rPr>
          <w:szCs w:val="24"/>
          <w:lang w:eastAsia="en-AU"/>
        </w:rPr>
        <w:t>r</w:t>
      </w:r>
      <w:r w:rsidRPr="001A6747">
        <w:rPr>
          <w:szCs w:val="24"/>
          <w:lang w:eastAsia="en-AU"/>
        </w:rPr>
        <w:t xml:space="preserve">egulatory </w:t>
      </w:r>
      <w:r w:rsidR="001A1221">
        <w:rPr>
          <w:szCs w:val="24"/>
          <w:lang w:eastAsia="en-AU"/>
        </w:rPr>
        <w:t>i</w:t>
      </w:r>
      <w:r w:rsidRPr="001A6747">
        <w:rPr>
          <w:szCs w:val="24"/>
          <w:lang w:eastAsia="en-AU"/>
        </w:rPr>
        <w:t xml:space="preserve">mpact </w:t>
      </w:r>
      <w:r w:rsidR="001A1221">
        <w:rPr>
          <w:szCs w:val="24"/>
          <w:lang w:eastAsia="en-AU"/>
        </w:rPr>
        <w:t>s</w:t>
      </w:r>
      <w:r w:rsidRPr="001A6747">
        <w:rPr>
          <w:szCs w:val="24"/>
          <w:lang w:eastAsia="en-AU"/>
        </w:rPr>
        <w:t xml:space="preserve">tatement is </w:t>
      </w:r>
      <w:r w:rsidR="00781BB0">
        <w:rPr>
          <w:szCs w:val="24"/>
          <w:lang w:eastAsia="en-AU"/>
        </w:rPr>
        <w:t xml:space="preserve">not required for this </w:t>
      </w:r>
      <w:r w:rsidRPr="001A6747">
        <w:rPr>
          <w:szCs w:val="24"/>
          <w:lang w:eastAsia="en-AU"/>
        </w:rPr>
        <w:t xml:space="preserve">instrument </w:t>
      </w:r>
      <w:r w:rsidR="00781BB0">
        <w:rPr>
          <w:szCs w:val="24"/>
          <w:lang w:eastAsia="en-AU"/>
        </w:rPr>
        <w:t xml:space="preserve">as it </w:t>
      </w:r>
      <w:r w:rsidRPr="001A6747">
        <w:rPr>
          <w:szCs w:val="24"/>
          <w:lang w:eastAsia="en-AU"/>
        </w:rPr>
        <w:t>only provides for a matter that does not operate to the disadvantage of anyone by affecting the person’s rights, or imposing liabilities on the person.</w:t>
      </w:r>
    </w:p>
    <w:p w14:paraId="7D384F0F" w14:textId="774AD489" w:rsidR="00AF5CFC" w:rsidRPr="001A6747" w:rsidRDefault="00AF5CFC" w:rsidP="00781BB0">
      <w:pPr>
        <w:shd w:val="clear" w:color="auto" w:fill="FFFFFF"/>
        <w:spacing w:after="240"/>
        <w:rPr>
          <w:szCs w:val="24"/>
          <w:lang w:eastAsia="en-AU"/>
        </w:rPr>
      </w:pPr>
      <w:r w:rsidRPr="001A6747">
        <w:rPr>
          <w:szCs w:val="24"/>
          <w:lang w:eastAsia="en-AU"/>
        </w:rPr>
        <w:t xml:space="preserve">This </w:t>
      </w:r>
      <w:r>
        <w:rPr>
          <w:szCs w:val="24"/>
          <w:lang w:eastAsia="en-AU"/>
        </w:rPr>
        <w:t>i</w:t>
      </w:r>
      <w:r w:rsidRPr="001A6747">
        <w:rPr>
          <w:szCs w:val="24"/>
          <w:lang w:eastAsia="en-AU"/>
        </w:rPr>
        <w:t>nstrument revoke</w:t>
      </w:r>
      <w:r>
        <w:rPr>
          <w:szCs w:val="24"/>
          <w:lang w:eastAsia="en-AU"/>
        </w:rPr>
        <w:t xml:space="preserve">s the </w:t>
      </w:r>
      <w:r w:rsidRPr="00AF5CFC">
        <w:rPr>
          <w:i/>
          <w:iCs/>
          <w:szCs w:val="24"/>
          <w:lang w:eastAsia="en-AU"/>
        </w:rPr>
        <w:t>Utilities (Licensing) Exemption 2015 (No 1)</w:t>
      </w:r>
      <w:r>
        <w:rPr>
          <w:szCs w:val="24"/>
          <w:lang w:eastAsia="en-AU"/>
        </w:rPr>
        <w:t xml:space="preserve"> (DI2015-10), which gave the Territory a </w:t>
      </w:r>
      <w:r w:rsidR="00D4502E">
        <w:rPr>
          <w:szCs w:val="24"/>
          <w:lang w:eastAsia="en-AU"/>
        </w:rPr>
        <w:t xml:space="preserve">temporary </w:t>
      </w:r>
      <w:r>
        <w:rPr>
          <w:szCs w:val="24"/>
          <w:lang w:eastAsia="en-AU"/>
        </w:rPr>
        <w:t xml:space="preserve">licensing exemption </w:t>
      </w:r>
      <w:r w:rsidR="00D4502E">
        <w:rPr>
          <w:szCs w:val="24"/>
          <w:lang w:eastAsia="en-AU"/>
        </w:rPr>
        <w:t>to run the INRN for a period of 5 years and which was due to expire in January 2020</w:t>
      </w:r>
      <w:r w:rsidRPr="001A6747">
        <w:rPr>
          <w:szCs w:val="24"/>
          <w:lang w:eastAsia="en-AU"/>
        </w:rPr>
        <w:t>.</w:t>
      </w:r>
      <w:r w:rsidR="00D4502E">
        <w:rPr>
          <w:szCs w:val="24"/>
          <w:lang w:eastAsia="en-AU"/>
        </w:rPr>
        <w:t xml:space="preserve">  This instrument does not have an expiry date, to allow the Territory to run the INRN in perpetuity.</w:t>
      </w:r>
    </w:p>
    <w:sectPr w:rsidR="00AF5CFC" w:rsidRPr="001A6747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1868" w14:textId="77777777" w:rsidR="004209E5" w:rsidRDefault="004209E5" w:rsidP="00C17FAB">
      <w:r>
        <w:separator/>
      </w:r>
    </w:p>
  </w:endnote>
  <w:endnote w:type="continuationSeparator" w:id="0">
    <w:p w14:paraId="20CF54FA" w14:textId="77777777" w:rsidR="004209E5" w:rsidRDefault="004209E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440C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2D33" w14:textId="415C24A8" w:rsidR="00DA3B00" w:rsidRPr="00A71697" w:rsidRDefault="00A71697" w:rsidP="00A71697">
    <w:pPr>
      <w:pStyle w:val="Footer"/>
      <w:jc w:val="center"/>
      <w:rPr>
        <w:rFonts w:cs="Arial"/>
        <w:sz w:val="14"/>
      </w:rPr>
    </w:pPr>
    <w:r w:rsidRPr="00A716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AC9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A2C6" w14:textId="77777777" w:rsidR="004209E5" w:rsidRDefault="004209E5" w:rsidP="00C17FAB">
      <w:r>
        <w:separator/>
      </w:r>
    </w:p>
  </w:footnote>
  <w:footnote w:type="continuationSeparator" w:id="0">
    <w:p w14:paraId="3AC38D9F" w14:textId="77777777" w:rsidR="004209E5" w:rsidRDefault="004209E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D521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41EF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6A92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BFB4BC7"/>
    <w:multiLevelType w:val="hybridMultilevel"/>
    <w:tmpl w:val="425EA0A4"/>
    <w:lvl w:ilvl="0" w:tplc="A18613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A713E"/>
    <w:multiLevelType w:val="hybridMultilevel"/>
    <w:tmpl w:val="45DC8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52EF7"/>
    <w:rsid w:val="001A1221"/>
    <w:rsid w:val="001A6747"/>
    <w:rsid w:val="002D7C60"/>
    <w:rsid w:val="003C4613"/>
    <w:rsid w:val="004209E5"/>
    <w:rsid w:val="00517A25"/>
    <w:rsid w:val="00673F11"/>
    <w:rsid w:val="007346AC"/>
    <w:rsid w:val="00781BB0"/>
    <w:rsid w:val="00872D54"/>
    <w:rsid w:val="008772E1"/>
    <w:rsid w:val="009508A5"/>
    <w:rsid w:val="00A71697"/>
    <w:rsid w:val="00AF5CFC"/>
    <w:rsid w:val="00C16202"/>
    <w:rsid w:val="00C17FAB"/>
    <w:rsid w:val="00CE599C"/>
    <w:rsid w:val="00D4502E"/>
    <w:rsid w:val="00DA3B00"/>
    <w:rsid w:val="00DD656D"/>
    <w:rsid w:val="00FD75C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AFB1C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2416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2019-12-10T03:29:00Z</dcterms:created>
  <dcterms:modified xsi:type="dcterms:W3CDTF">2019-12-10T03:29:00Z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A23724470</vt:lpwstr>
  </property>
  <property fmtid="{D5CDD505-2E9C-101B-9397-08002B2CF9AE}" pid="4" name="Objective-Title">
    <vt:lpwstr>Attachment H Licensing Exemption ES</vt:lpwstr>
  </property>
  <property fmtid="{D5CDD505-2E9C-101B-9397-08002B2CF9AE}" pid="5" name="Objective-Comment">
    <vt:lpwstr/>
  </property>
  <property fmtid="{D5CDD505-2E9C-101B-9397-08002B2CF9AE}" pid="6" name="Objective-CreationStamp">
    <vt:filetime>2019-11-15T01:08:29Z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2019-12-03T00:38:52Z</vt:filetime>
  </property>
  <property fmtid="{D5CDD505-2E9C-101B-9397-08002B2CF9AE}" pid="10" name="Objective-ModificationStamp">
    <vt:filetime>2019-12-03T00:38:52Z</vt:filetime>
  </property>
  <property fmtid="{D5CDD505-2E9C-101B-9397-08002B2CF9AE}" pid="11" name="Objective-Owner">
    <vt:lpwstr>Adam Roach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Ministerials:2019 -  Ministerial and Chief Ministerial Briefs / Correspondence:Environment:19/37001 - 19/380</vt:lpwstr>
  </property>
  <property fmtid="{D5CDD505-2E9C-101B-9397-08002B2CF9AE}" pid="13" name="Objective-Parent">
    <vt:lpwstr>19/37319- Ministerial- Information brief- Utility (Licence) Exemption for TCCS to operate the Inner North Reticulation Network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1-2019/37319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