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996B2" w14:textId="2A032066" w:rsidR="00C17FAB" w:rsidRPr="00520F36" w:rsidRDefault="000A0CDA" w:rsidP="006F4177">
      <w:pPr>
        <w:spacing w:before="120"/>
        <w:outlineLvl w:val="0"/>
        <w:rPr>
          <w:rFonts w:ascii="Arial" w:hAnsi="Arial" w:cs="Arial"/>
        </w:rPr>
      </w:pPr>
      <w:bookmarkStart w:id="0" w:name="_Toc44738651"/>
      <w:bookmarkStart w:id="1" w:name="_GoBack"/>
      <w:bookmarkEnd w:id="1"/>
      <w:r>
        <w:rPr>
          <w:rFonts w:ascii="Arial" w:hAnsi="Arial" w:cs="Arial"/>
        </w:rPr>
        <w:t>A</w:t>
      </w:r>
      <w:r w:rsidR="00C17FAB" w:rsidRPr="00520F36">
        <w:rPr>
          <w:rFonts w:ascii="Arial" w:hAnsi="Arial" w:cs="Arial"/>
        </w:rPr>
        <w:t>ustralian Capital Territory</w:t>
      </w:r>
    </w:p>
    <w:p w14:paraId="68B7223F" w14:textId="0F8C1B34" w:rsidR="00C17FAB" w:rsidRPr="00520F36" w:rsidRDefault="00867840">
      <w:pPr>
        <w:pStyle w:val="Billname"/>
        <w:spacing w:before="700"/>
      </w:pPr>
      <w:r>
        <w:t>Duties</w:t>
      </w:r>
      <w:r w:rsidR="00FD75CE" w:rsidRPr="00520F36">
        <w:t xml:space="preserve"> (</w:t>
      </w:r>
      <w:r w:rsidR="00BD2818">
        <w:t xml:space="preserve">Pensioner Concession </w:t>
      </w:r>
      <w:r w:rsidR="003B128C">
        <w:t xml:space="preserve">Duty Deferral </w:t>
      </w:r>
      <w:r w:rsidR="00BD2818">
        <w:t>Scheme</w:t>
      </w:r>
      <w:r w:rsidR="00BD2818" w:rsidRPr="001554AB">
        <w:t xml:space="preserve">) </w:t>
      </w:r>
      <w:r>
        <w:t>Determination</w:t>
      </w:r>
      <w:r w:rsidRPr="001554AB">
        <w:t xml:space="preserve"> </w:t>
      </w:r>
      <w:r w:rsidR="00BD2818" w:rsidRPr="001554AB">
        <w:t xml:space="preserve">2019 </w:t>
      </w:r>
    </w:p>
    <w:p w14:paraId="54A9C731" w14:textId="505EB9CB" w:rsidR="00C17FAB" w:rsidRPr="00520F36" w:rsidRDefault="00D36662" w:rsidP="006F4177">
      <w:pPr>
        <w:spacing w:before="340"/>
        <w:outlineLvl w:val="0"/>
        <w:rPr>
          <w:rFonts w:ascii="Arial" w:hAnsi="Arial" w:cs="Arial"/>
          <w:b/>
          <w:bCs/>
        </w:rPr>
      </w:pPr>
      <w:r w:rsidRPr="00520F36">
        <w:rPr>
          <w:rFonts w:ascii="Arial" w:hAnsi="Arial" w:cs="Arial"/>
          <w:b/>
          <w:bCs/>
        </w:rPr>
        <w:t>Disallowable</w:t>
      </w:r>
      <w:r w:rsidR="002D7C60" w:rsidRPr="00520F36">
        <w:rPr>
          <w:rFonts w:ascii="Arial" w:hAnsi="Arial" w:cs="Arial"/>
          <w:b/>
          <w:bCs/>
        </w:rPr>
        <w:t xml:space="preserve"> instrument DI</w:t>
      </w:r>
      <w:r w:rsidR="000C0320" w:rsidRPr="00520F36">
        <w:rPr>
          <w:rFonts w:ascii="Arial" w:hAnsi="Arial" w:cs="Arial"/>
          <w:b/>
          <w:bCs/>
        </w:rPr>
        <w:t>201</w:t>
      </w:r>
      <w:r w:rsidR="006174F0" w:rsidRPr="00520F36">
        <w:rPr>
          <w:rFonts w:ascii="Arial" w:hAnsi="Arial" w:cs="Arial"/>
          <w:b/>
          <w:bCs/>
        </w:rPr>
        <w:t>9</w:t>
      </w:r>
      <w:r w:rsidR="00C17FAB" w:rsidRPr="00520F36">
        <w:rPr>
          <w:rFonts w:ascii="Arial" w:hAnsi="Arial" w:cs="Arial"/>
          <w:b/>
          <w:bCs/>
        </w:rPr>
        <w:t>–</w:t>
      </w:r>
      <w:r w:rsidR="00A20A8C">
        <w:rPr>
          <w:rFonts w:ascii="Arial" w:hAnsi="Arial" w:cs="Arial"/>
          <w:b/>
          <w:bCs/>
        </w:rPr>
        <w:t>270</w:t>
      </w:r>
    </w:p>
    <w:p w14:paraId="104B89C1" w14:textId="77777777" w:rsidR="00C17FAB" w:rsidRPr="00520F36" w:rsidRDefault="00C17FAB" w:rsidP="00DA3B00">
      <w:pPr>
        <w:pStyle w:val="madeunder"/>
        <w:spacing w:before="300" w:after="0"/>
      </w:pPr>
      <w:r w:rsidRPr="00520F36">
        <w:t xml:space="preserve">made under the  </w:t>
      </w:r>
    </w:p>
    <w:p w14:paraId="105E2A94" w14:textId="77777777" w:rsidR="00867840" w:rsidRPr="001554AB" w:rsidRDefault="00867840" w:rsidP="00867840">
      <w:pPr>
        <w:pStyle w:val="CoverActName"/>
        <w:spacing w:before="320" w:after="0"/>
        <w:outlineLvl w:val="0"/>
        <w:rPr>
          <w:rFonts w:cs="Arial"/>
          <w:sz w:val="20"/>
        </w:rPr>
      </w:pPr>
      <w:r>
        <w:rPr>
          <w:rFonts w:cs="Arial"/>
          <w:i/>
          <w:sz w:val="20"/>
        </w:rPr>
        <w:t>Duties</w:t>
      </w:r>
      <w:r w:rsidRPr="001554AB">
        <w:rPr>
          <w:rFonts w:cs="Arial"/>
          <w:i/>
          <w:sz w:val="20"/>
        </w:rPr>
        <w:t xml:space="preserve"> Act 1999</w:t>
      </w:r>
      <w:r w:rsidRPr="001554AB">
        <w:rPr>
          <w:rFonts w:cs="Arial"/>
          <w:sz w:val="20"/>
        </w:rPr>
        <w:t xml:space="preserve">, s </w:t>
      </w:r>
      <w:r>
        <w:rPr>
          <w:rFonts w:cs="Arial"/>
          <w:sz w:val="20"/>
        </w:rPr>
        <w:t>75AG</w:t>
      </w:r>
      <w:r w:rsidRPr="001554AB">
        <w:rPr>
          <w:rFonts w:cs="Arial"/>
          <w:sz w:val="20"/>
        </w:rPr>
        <w:t xml:space="preserve"> (</w:t>
      </w:r>
      <w:r>
        <w:rPr>
          <w:rFonts w:cs="Arial"/>
          <w:sz w:val="20"/>
        </w:rPr>
        <w:t>Duty deferral schemes</w:t>
      </w:r>
      <w:r w:rsidRPr="00115492">
        <w:rPr>
          <w:rFonts w:cs="Arial"/>
          <w:sz w:val="20"/>
        </w:rPr>
        <w:t>—determination</w:t>
      </w:r>
      <w:r w:rsidRPr="001554AB">
        <w:rPr>
          <w:rFonts w:cs="Arial"/>
          <w:sz w:val="20"/>
        </w:rPr>
        <w:t>)</w:t>
      </w:r>
    </w:p>
    <w:p w14:paraId="709CE081" w14:textId="77777777" w:rsidR="00C17FAB" w:rsidRPr="00520F36" w:rsidRDefault="00C17FAB" w:rsidP="005F4557">
      <w:pPr>
        <w:pStyle w:val="CoverActName"/>
        <w:spacing w:before="320" w:after="0"/>
        <w:outlineLvl w:val="0"/>
        <w:rPr>
          <w:rFonts w:cs="Arial"/>
          <w:bCs/>
          <w:sz w:val="28"/>
          <w:szCs w:val="28"/>
        </w:rPr>
      </w:pPr>
      <w:r w:rsidRPr="00520F36">
        <w:rPr>
          <w:rFonts w:cs="Arial"/>
          <w:bCs/>
          <w:sz w:val="28"/>
          <w:szCs w:val="28"/>
        </w:rPr>
        <w:t>EXPLANATORY STATEMENT</w:t>
      </w:r>
    </w:p>
    <w:p w14:paraId="4D5D9E49" w14:textId="77777777" w:rsidR="00C17FAB" w:rsidRPr="00520F36" w:rsidRDefault="00C17FAB">
      <w:pPr>
        <w:pStyle w:val="N-line3"/>
        <w:pBdr>
          <w:bottom w:val="none" w:sz="0" w:space="0" w:color="auto"/>
        </w:pBdr>
      </w:pPr>
    </w:p>
    <w:p w14:paraId="1B8E463D" w14:textId="77777777" w:rsidR="00C17FAB" w:rsidRPr="00520F36" w:rsidRDefault="00C17FAB">
      <w:pPr>
        <w:pStyle w:val="N-line3"/>
        <w:pBdr>
          <w:top w:val="single" w:sz="12" w:space="1" w:color="auto"/>
          <w:bottom w:val="none" w:sz="0" w:space="0" w:color="auto"/>
        </w:pBdr>
      </w:pPr>
    </w:p>
    <w:bookmarkEnd w:id="0"/>
    <w:p w14:paraId="3C296555" w14:textId="77777777" w:rsidR="00C07E4C" w:rsidRPr="00520F36" w:rsidRDefault="00C07E4C" w:rsidP="00C07E4C">
      <w:pPr>
        <w:rPr>
          <w:b/>
        </w:rPr>
      </w:pPr>
      <w:r w:rsidRPr="00520F36">
        <w:rPr>
          <w:b/>
        </w:rPr>
        <w:t>Background</w:t>
      </w:r>
    </w:p>
    <w:p w14:paraId="1B21392F" w14:textId="77777777" w:rsidR="00C07E4C" w:rsidRPr="00520F36" w:rsidRDefault="00C07E4C" w:rsidP="00C07E4C"/>
    <w:p w14:paraId="649B889A" w14:textId="06E830FF" w:rsidR="00A05764" w:rsidRDefault="00A05764" w:rsidP="00C77D03">
      <w:r w:rsidRPr="00001F9E">
        <w:t xml:space="preserve">The </w:t>
      </w:r>
      <w:r>
        <w:t xml:space="preserve">Pensioner Duty Concession Scheme </w:t>
      </w:r>
      <w:r w:rsidR="00233323">
        <w:t xml:space="preserve">(the PDCS) </w:t>
      </w:r>
      <w:r w:rsidRPr="00001F9E">
        <w:t>assists eligible pensioners who own a residential home to move to accommodation more sui</w:t>
      </w:r>
      <w:r>
        <w:t>ted to their needs (</w:t>
      </w:r>
      <w:r w:rsidR="00233323">
        <w:t>for example,</w:t>
      </w:r>
      <w:r>
        <w:t xml:space="preserve"> from a </w:t>
      </w:r>
      <w:r w:rsidRPr="00001F9E">
        <w:t>house to a townhouse) by reducing the duty payable on their new purchase of a residential home</w:t>
      </w:r>
      <w:r w:rsidR="00F51E5C">
        <w:t>,</w:t>
      </w:r>
      <w:r w:rsidRPr="00001F9E">
        <w:t xml:space="preserve"> or residential vacant land.</w:t>
      </w:r>
    </w:p>
    <w:p w14:paraId="3DD4758E" w14:textId="77777777" w:rsidR="00A05764" w:rsidRDefault="00A05764" w:rsidP="00C77D03"/>
    <w:p w14:paraId="1AAE9ADC" w14:textId="5560F548" w:rsidR="007659B0" w:rsidRDefault="00F51E5C" w:rsidP="00C77D03">
      <w:r>
        <w:t>In line with the 2019-20 Budget, th</w:t>
      </w:r>
      <w:r w:rsidR="00D56FBF">
        <w:t xml:space="preserve">e PDCS </w:t>
      </w:r>
      <w:r w:rsidR="0038342A">
        <w:t>was</w:t>
      </w:r>
      <w:r>
        <w:t xml:space="preserve"> extended </w:t>
      </w:r>
      <w:r w:rsidR="00256FA9">
        <w:t xml:space="preserve">from 1 July 2019 </w:t>
      </w:r>
      <w:r>
        <w:t xml:space="preserve">to </w:t>
      </w:r>
      <w:r w:rsidR="00233323">
        <w:t>30 </w:t>
      </w:r>
      <w:r>
        <w:t>June</w:t>
      </w:r>
      <w:r w:rsidR="0038342A">
        <w:t> </w:t>
      </w:r>
      <w:r>
        <w:t>2020</w:t>
      </w:r>
      <w:r w:rsidR="00256FA9">
        <w:t xml:space="preserve"> where</w:t>
      </w:r>
      <w:r>
        <w:t xml:space="preserve"> </w:t>
      </w:r>
      <w:r w:rsidR="00545537">
        <w:t>e</w:t>
      </w:r>
      <w:r>
        <w:t>ligible</w:t>
      </w:r>
      <w:r w:rsidR="005D7612">
        <w:t xml:space="preserve"> transferees</w:t>
      </w:r>
      <w:r>
        <w:t xml:space="preserve"> purchasing a property below $420,000 w</w:t>
      </w:r>
      <w:r w:rsidR="00256FA9">
        <w:t>ill</w:t>
      </w:r>
      <w:r>
        <w:t xml:space="preserve"> qualify for a full duty concession, while those purchasing a property valued up to $530,0000 </w:t>
      </w:r>
      <w:r w:rsidR="00EB365D">
        <w:t>w</w:t>
      </w:r>
      <w:r w:rsidR="00256FA9">
        <w:t>ill</w:t>
      </w:r>
      <w:r>
        <w:t xml:space="preserve"> receive a partial duty concession.</w:t>
      </w:r>
      <w:r w:rsidR="00256FA9">
        <w:t xml:space="preserve"> </w:t>
      </w:r>
    </w:p>
    <w:p w14:paraId="3777AE55" w14:textId="77777777" w:rsidR="007659B0" w:rsidRDefault="007659B0" w:rsidP="00C77D03"/>
    <w:p w14:paraId="0567C681" w14:textId="77777777" w:rsidR="00EB365D" w:rsidRDefault="00256FA9" w:rsidP="00C77D03">
      <w:r>
        <w:t>In addition,</w:t>
      </w:r>
      <w:r w:rsidR="006F11E7">
        <w:t xml:space="preserve"> </w:t>
      </w:r>
      <w:r>
        <w:t>those receiving a partial duty concession will be able to defer any remaining duty payable if they have at least 75 per cent equity in the property they acquire.</w:t>
      </w:r>
      <w:r w:rsidR="00F51E5C">
        <w:t xml:space="preserve"> </w:t>
      </w:r>
    </w:p>
    <w:p w14:paraId="7936EB3F" w14:textId="77777777" w:rsidR="00EB365D" w:rsidRDefault="00EB365D" w:rsidP="00C77D03"/>
    <w:p w14:paraId="4AEBCC6B" w14:textId="77777777" w:rsidR="006F11E7" w:rsidRDefault="006F11E7" w:rsidP="00C77D03">
      <w:r>
        <w:t xml:space="preserve">Ordinarily, duty is payable </w:t>
      </w:r>
      <w:r w:rsidR="008275AD">
        <w:t>at</w:t>
      </w:r>
      <w:r w:rsidR="007659B0">
        <w:t xml:space="preserve"> the times tabled in section 16 of the </w:t>
      </w:r>
      <w:r w:rsidR="007659B0" w:rsidRPr="007659B0">
        <w:rPr>
          <w:i/>
        </w:rPr>
        <w:t>Duties Act 1999</w:t>
      </w:r>
      <w:r w:rsidR="007659B0">
        <w:t xml:space="preserve"> (the Duties Act). For example, duty becomes payable on a transfer of dutiable property when the transfer is registered with the Registrar-General </w:t>
      </w:r>
      <w:r w:rsidR="007659B0" w:rsidRPr="00AA1C85">
        <w:t xml:space="preserve">on the land titles register under the </w:t>
      </w:r>
      <w:r w:rsidR="007659B0" w:rsidRPr="00AA1C85">
        <w:rPr>
          <w:i/>
        </w:rPr>
        <w:t>Land Titles Act 1925</w:t>
      </w:r>
      <w:r w:rsidR="007659B0" w:rsidRPr="00AA1C85">
        <w:t>.</w:t>
      </w:r>
      <w:r w:rsidR="007659B0">
        <w:t xml:space="preserve"> </w:t>
      </w:r>
    </w:p>
    <w:p w14:paraId="530DFA83" w14:textId="77777777" w:rsidR="007659B0" w:rsidRDefault="007659B0" w:rsidP="00C77D03"/>
    <w:p w14:paraId="7078C786" w14:textId="472D24C0" w:rsidR="00A104AD" w:rsidRDefault="00867840" w:rsidP="007659B0">
      <w:r>
        <w:t xml:space="preserve">Under </w:t>
      </w:r>
      <w:r w:rsidR="00815B1B">
        <w:t>D</w:t>
      </w:r>
      <w:r>
        <w:t xml:space="preserve">ivision 2.6A.2 of the Duties Act, inserted by </w:t>
      </w:r>
      <w:r w:rsidRPr="005F4557">
        <w:rPr>
          <w:i/>
          <w:iCs/>
        </w:rPr>
        <w:t>Revenue Legislation Amendment Act 2019 (No 2)</w:t>
      </w:r>
      <w:r>
        <w:t xml:space="preserve">, the Minister </w:t>
      </w:r>
      <w:r w:rsidR="00A104AD">
        <w:t>may</w:t>
      </w:r>
      <w:r>
        <w:t xml:space="preserve"> determine a scheme for deferring duty. </w:t>
      </w:r>
    </w:p>
    <w:p w14:paraId="4DB16379" w14:textId="77777777" w:rsidR="00A104AD" w:rsidRDefault="00A104AD" w:rsidP="007659B0"/>
    <w:p w14:paraId="65FCF4B9" w14:textId="31D2DD0F" w:rsidR="00916960" w:rsidRPr="005F4557" w:rsidRDefault="00916960" w:rsidP="003B128C">
      <w:pPr>
        <w:rPr>
          <w:b/>
          <w:bCs/>
        </w:rPr>
      </w:pPr>
      <w:r w:rsidRPr="005F4557">
        <w:rPr>
          <w:b/>
          <w:bCs/>
        </w:rPr>
        <w:t>Pensioner Concession Duty Deferral Scheme</w:t>
      </w:r>
      <w:r w:rsidR="000620F8">
        <w:rPr>
          <w:b/>
          <w:bCs/>
        </w:rPr>
        <w:t xml:space="preserve"> Determination</w:t>
      </w:r>
    </w:p>
    <w:p w14:paraId="08FE7321" w14:textId="77777777" w:rsidR="00916960" w:rsidRDefault="00916960" w:rsidP="003B128C"/>
    <w:p w14:paraId="539275AC" w14:textId="3962D3B5" w:rsidR="004F477B" w:rsidRDefault="003B128C" w:rsidP="003B128C">
      <w:r>
        <w:t>By t</w:t>
      </w:r>
      <w:r w:rsidR="00815B1B">
        <w:t>his instrument</w:t>
      </w:r>
      <w:r>
        <w:t xml:space="preserve">, </w:t>
      </w:r>
      <w:r w:rsidR="00815B1B">
        <w:t>the Minister</w:t>
      </w:r>
      <w:r>
        <w:t xml:space="preserve"> makes a </w:t>
      </w:r>
      <w:r w:rsidR="00815B1B">
        <w:t xml:space="preserve">determination </w:t>
      </w:r>
      <w:r>
        <w:t xml:space="preserve">for the Pensioner Concession Duty Deferral Scheme. This instrument </w:t>
      </w:r>
      <w:r w:rsidR="00A104AD">
        <w:t xml:space="preserve">revokes and </w:t>
      </w:r>
      <w:r w:rsidR="00867840">
        <w:t>replaces the</w:t>
      </w:r>
      <w:r>
        <w:t xml:space="preserve"> previous instrument </w:t>
      </w:r>
      <w:r w:rsidR="004F477B">
        <w:t>f</w:t>
      </w:r>
      <w:r>
        <w:t xml:space="preserve">or the Scheme, the </w:t>
      </w:r>
      <w:r w:rsidR="00A104AD" w:rsidRPr="00115492">
        <w:rPr>
          <w:i/>
        </w:rPr>
        <w:t>Taxation Administration (Special Arrangements—Pensioner Duty Concession Scheme Deferrals) Approval 2019 (No 1)</w:t>
      </w:r>
      <w:r w:rsidR="00A104AD">
        <w:rPr>
          <w:i/>
        </w:rPr>
        <w:t>,</w:t>
      </w:r>
      <w:r w:rsidR="00A104AD" w:rsidRPr="007758C9">
        <w:t xml:space="preserve"> DI201</w:t>
      </w:r>
      <w:r w:rsidR="00A104AD">
        <w:t>9</w:t>
      </w:r>
      <w:r w:rsidR="00A104AD" w:rsidRPr="007758C9">
        <w:t>-</w:t>
      </w:r>
      <w:r w:rsidR="00A104AD">
        <w:t>139</w:t>
      </w:r>
      <w:r w:rsidR="00815B1B">
        <w:t xml:space="preserve">. </w:t>
      </w:r>
    </w:p>
    <w:p w14:paraId="3E964F6F" w14:textId="77777777" w:rsidR="004F477B" w:rsidRDefault="004F477B" w:rsidP="003B128C"/>
    <w:p w14:paraId="13CDB3A1" w14:textId="1ADC64FF" w:rsidR="00815B1B" w:rsidRDefault="00815B1B">
      <w:r>
        <w:lastRenderedPageBreak/>
        <w:t xml:space="preserve">DI2019-139 made </w:t>
      </w:r>
      <w:r w:rsidR="007659B0">
        <w:t>provision for a special arrangement</w:t>
      </w:r>
      <w:r w:rsidR="00867840">
        <w:t xml:space="preserve"> under section 42 of </w:t>
      </w:r>
      <w:r w:rsidR="00867840" w:rsidRPr="00565168">
        <w:rPr>
          <w:i/>
          <w:iCs/>
        </w:rPr>
        <w:t>Taxation Administration Act 1999</w:t>
      </w:r>
      <w:r w:rsidR="00867840" w:rsidRPr="00565168">
        <w:t xml:space="preserve"> </w:t>
      </w:r>
      <w:r w:rsidR="009F7509">
        <w:t xml:space="preserve">(the TAA) </w:t>
      </w:r>
      <w:r w:rsidR="007659B0">
        <w:t xml:space="preserve">for the </w:t>
      </w:r>
      <w:r w:rsidR="00A82A9D">
        <w:t xml:space="preserve">deferred payment of duty by eligible </w:t>
      </w:r>
      <w:r w:rsidR="005D7612">
        <w:t xml:space="preserve">transferees </w:t>
      </w:r>
      <w:r w:rsidR="00A82A9D">
        <w:t xml:space="preserve">of the PDCS. </w:t>
      </w:r>
    </w:p>
    <w:p w14:paraId="67F14BDB" w14:textId="1626471C" w:rsidR="00815B1B" w:rsidRDefault="00815B1B" w:rsidP="00815B1B"/>
    <w:p w14:paraId="23C1D9CD" w14:textId="5556A15D" w:rsidR="007659B0" w:rsidRDefault="00867840" w:rsidP="007659B0">
      <w:r>
        <w:t xml:space="preserve">This instrument </w:t>
      </w:r>
      <w:r w:rsidR="00A82A9D">
        <w:t xml:space="preserve">has a commencement date of </w:t>
      </w:r>
      <w:r w:rsidR="009F7509" w:rsidRPr="008A5EC7">
        <w:t>16 December</w:t>
      </w:r>
      <w:r w:rsidRPr="008A5EC7">
        <w:t xml:space="preserve"> </w:t>
      </w:r>
      <w:r w:rsidR="00A82A9D" w:rsidRPr="008A5EC7">
        <w:t>2019</w:t>
      </w:r>
      <w:r w:rsidR="005D7612">
        <w:t xml:space="preserve"> and</w:t>
      </w:r>
      <w:r>
        <w:t xml:space="preserve"> </w:t>
      </w:r>
      <w:r w:rsidR="004F477B">
        <w:t xml:space="preserve">in effect </w:t>
      </w:r>
      <w:r>
        <w:t>re</w:t>
      </w:r>
      <w:r w:rsidR="004F477B">
        <w:t>tains</w:t>
      </w:r>
      <w:r w:rsidR="005D7612">
        <w:t xml:space="preserve"> </w:t>
      </w:r>
      <w:r w:rsidR="004F477B">
        <w:t xml:space="preserve">the same eligibility criteria and </w:t>
      </w:r>
      <w:r w:rsidR="005D7612">
        <w:t xml:space="preserve">conditions </w:t>
      </w:r>
      <w:r w:rsidR="004F477B">
        <w:t>for duty deferral under DI2019-139</w:t>
      </w:r>
      <w:r w:rsidR="00A82A9D">
        <w:t>.</w:t>
      </w:r>
    </w:p>
    <w:p w14:paraId="5ECD5E9E" w14:textId="13CB42D6" w:rsidR="006F11E7" w:rsidRDefault="006F11E7" w:rsidP="00C77D03"/>
    <w:p w14:paraId="596E8D40" w14:textId="0C59A992" w:rsidR="005D7612" w:rsidRDefault="004F477B" w:rsidP="0014009A">
      <w:r>
        <w:t>To be eligible for a duty deferral under this instrument, an applicant must</w:t>
      </w:r>
      <w:r w:rsidR="004B0456">
        <w:t xml:space="preserve"> </w:t>
      </w:r>
      <w:r>
        <w:t>be eligible for the PDCS duty concession unde</w:t>
      </w:r>
      <w:r w:rsidRPr="009F7509">
        <w:t>r</w:t>
      </w:r>
      <w:r w:rsidR="00233323" w:rsidRPr="009F7509">
        <w:t xml:space="preserve"> </w:t>
      </w:r>
      <w:r w:rsidR="00545537" w:rsidRPr="009F7509">
        <w:t xml:space="preserve">the </w:t>
      </w:r>
      <w:r w:rsidR="00545537" w:rsidRPr="009F7509">
        <w:rPr>
          <w:i/>
        </w:rPr>
        <w:t>Taxation Administration (Amounts Payable—Pensioner Duty Concession Scheme) Determination 2019 (No 1)</w:t>
      </w:r>
      <w:r w:rsidR="00545537" w:rsidRPr="009F7509">
        <w:t>, DI2019-</w:t>
      </w:r>
      <w:r w:rsidR="000A0CDA" w:rsidRPr="009F7509">
        <w:t>101</w:t>
      </w:r>
      <w:r w:rsidR="006F11E7" w:rsidRPr="009F7509">
        <w:t>.</w:t>
      </w:r>
    </w:p>
    <w:p w14:paraId="5B68CF57" w14:textId="5C10F86B" w:rsidR="004B0456" w:rsidRDefault="004B0456" w:rsidP="00C07E4C">
      <w:pPr>
        <w:rPr>
          <w:b/>
        </w:rPr>
      </w:pPr>
    </w:p>
    <w:p w14:paraId="32D11236" w14:textId="6F2296D2" w:rsidR="004B0456" w:rsidRDefault="004B0456" w:rsidP="004B0456">
      <w:pPr>
        <w:pStyle w:val="ListParagraph"/>
        <w:ind w:left="0"/>
      </w:pPr>
      <w:r>
        <w:t xml:space="preserve">A PDCS transferee </w:t>
      </w:r>
      <w:r w:rsidR="00DF690B">
        <w:t>can</w:t>
      </w:r>
      <w:r>
        <w:t xml:space="preserve"> apply to the Commissioner for the deferred payment of duty – refer </w:t>
      </w:r>
      <w:r w:rsidR="009F7509">
        <w:t xml:space="preserve">to </w:t>
      </w:r>
      <w:r>
        <w:t xml:space="preserve">section 75AH of the Duties Act. The application must be made at the same time the instrument of transfer for the property (the subject of the PDCS) is lodged with the Registrar of Land Titles. </w:t>
      </w:r>
    </w:p>
    <w:p w14:paraId="6493CB38" w14:textId="77777777" w:rsidR="004B0456" w:rsidRDefault="004B0456" w:rsidP="00C07E4C">
      <w:pPr>
        <w:rPr>
          <w:b/>
        </w:rPr>
      </w:pPr>
    </w:p>
    <w:p w14:paraId="114268A5" w14:textId="1D00E7CF" w:rsidR="005C73CE" w:rsidRPr="00520F36" w:rsidRDefault="00A0434D" w:rsidP="00C07E4C">
      <w:pPr>
        <w:rPr>
          <w:b/>
        </w:rPr>
      </w:pPr>
      <w:r>
        <w:rPr>
          <w:b/>
        </w:rPr>
        <w:t xml:space="preserve">Conditions of </w:t>
      </w:r>
      <w:r w:rsidR="00916960">
        <w:rPr>
          <w:b/>
        </w:rPr>
        <w:t>Duty Deferral</w:t>
      </w:r>
    </w:p>
    <w:p w14:paraId="3BB54035" w14:textId="77777777" w:rsidR="0079709A" w:rsidRDefault="0079709A" w:rsidP="00C07E4C"/>
    <w:p w14:paraId="336D08EC" w14:textId="38D5DAFC" w:rsidR="0079709A" w:rsidRDefault="004B0456" w:rsidP="00C07E4C">
      <w:r>
        <w:t xml:space="preserve">A duty deferral arrangement under Division 2.6A.2 may be subject to conditions – refer </w:t>
      </w:r>
      <w:r w:rsidR="009F7509">
        <w:t xml:space="preserve">to </w:t>
      </w:r>
      <w:r>
        <w:t xml:space="preserve">section 75AG (3) and section </w:t>
      </w:r>
      <w:r w:rsidR="00DF690B">
        <w:t>75AJ of the Duties Act</w:t>
      </w:r>
      <w:r>
        <w:t xml:space="preserve">. </w:t>
      </w:r>
    </w:p>
    <w:p w14:paraId="78FC0D23" w14:textId="77777777" w:rsidR="0079709A" w:rsidRDefault="0079709A" w:rsidP="00C07E4C"/>
    <w:p w14:paraId="7890FBE3" w14:textId="29CC6B8C" w:rsidR="008275AD" w:rsidRPr="00520F36" w:rsidRDefault="00DF690B" w:rsidP="00C07E4C">
      <w:r>
        <w:t>T</w:t>
      </w:r>
      <w:r w:rsidR="0079709A">
        <w:t>he conditions f</w:t>
      </w:r>
      <w:r w:rsidR="008275AD">
        <w:t xml:space="preserve">or the deferred payment of duty </w:t>
      </w:r>
      <w:r w:rsidR="0079709A">
        <w:t>by</w:t>
      </w:r>
      <w:r w:rsidR="008275AD">
        <w:t xml:space="preserve"> </w:t>
      </w:r>
      <w:r w:rsidR="00DA1B90">
        <w:t xml:space="preserve">transferees </w:t>
      </w:r>
      <w:r w:rsidR="0079709A">
        <w:t>of the PDCS</w:t>
      </w:r>
      <w:r>
        <w:t xml:space="preserve"> </w:t>
      </w:r>
      <w:r w:rsidR="0014009A">
        <w:t>are</w:t>
      </w:r>
      <w:r w:rsidR="0079709A">
        <w:t>:</w:t>
      </w:r>
    </w:p>
    <w:p w14:paraId="0D1AA1DA" w14:textId="77777777" w:rsidR="0079709A" w:rsidRDefault="0079709A" w:rsidP="0079709A"/>
    <w:p w14:paraId="51BFDDB2" w14:textId="77777777" w:rsidR="00A0434D" w:rsidRDefault="0079709A" w:rsidP="0079709A">
      <w:pPr>
        <w:pStyle w:val="ListParagraph"/>
        <w:numPr>
          <w:ilvl w:val="0"/>
          <w:numId w:val="15"/>
        </w:numPr>
        <w:ind w:left="426" w:hanging="426"/>
      </w:pPr>
      <w:r>
        <w:t>75 per cent equity</w:t>
      </w:r>
    </w:p>
    <w:p w14:paraId="48A8C3AA" w14:textId="77777777" w:rsidR="00A0434D" w:rsidRPr="005F4557" w:rsidRDefault="00A0434D" w:rsidP="00C07E4C">
      <w:pPr>
        <w:rPr>
          <w:sz w:val="12"/>
          <w:szCs w:val="12"/>
        </w:rPr>
      </w:pPr>
    </w:p>
    <w:p w14:paraId="0D672DF9" w14:textId="17DA311E" w:rsidR="0079709A" w:rsidRDefault="0079709A" w:rsidP="00C07E4C">
      <w:r>
        <w:t>A</w:t>
      </w:r>
      <w:r w:rsidR="00BB5C97">
        <w:t xml:space="preserve"> PDCS</w:t>
      </w:r>
      <w:r>
        <w:t xml:space="preserve"> </w:t>
      </w:r>
      <w:r w:rsidR="00DA1B90">
        <w:t>transferee</w:t>
      </w:r>
      <w:r>
        <w:t xml:space="preserve">, or </w:t>
      </w:r>
      <w:r w:rsidR="00BB5C97">
        <w:t>PDCS</w:t>
      </w:r>
      <w:r>
        <w:t xml:space="preserve"> </w:t>
      </w:r>
      <w:r w:rsidR="00DA1B90">
        <w:t>transferees</w:t>
      </w:r>
      <w:r w:rsidR="0011786A">
        <w:t>,</w:t>
      </w:r>
      <w:r w:rsidR="00DA1B90">
        <w:t xml:space="preserve"> </w:t>
      </w:r>
      <w:r>
        <w:t>must no</w:t>
      </w:r>
      <w:r w:rsidR="006A550B">
        <w:t>t</w:t>
      </w:r>
      <w:r>
        <w:t xml:space="preserve"> </w:t>
      </w:r>
      <w:r w:rsidR="005035B3">
        <w:t xml:space="preserve">have </w:t>
      </w:r>
      <w:r>
        <w:t xml:space="preserve">less than 75 per cent equity in the property </w:t>
      </w:r>
      <w:r w:rsidR="00BB5C97">
        <w:t>at the time they apply f</w:t>
      </w:r>
      <w:r>
        <w:t>or a duty deferral under this instrument.</w:t>
      </w:r>
    </w:p>
    <w:p w14:paraId="5F26DE19" w14:textId="71234DFB" w:rsidR="006C7109" w:rsidRDefault="006C7109" w:rsidP="00C07E4C"/>
    <w:p w14:paraId="72737B69" w14:textId="5EF13926" w:rsidR="006C7109" w:rsidRDefault="006C7109" w:rsidP="00C07E4C">
      <w:r>
        <w:t>For example, Mary and Bob (</w:t>
      </w:r>
      <w:r w:rsidR="00CA540C">
        <w:t>a</w:t>
      </w:r>
      <w:r>
        <w:t xml:space="preserve"> pensioner) acquire a house in Coombs for $500,000. In order to fund the purchase, they obtain a bank loan </w:t>
      </w:r>
      <w:r w:rsidR="00CA540C">
        <w:t>to cover</w:t>
      </w:r>
      <w:r>
        <w:t xml:space="preserve"> 20 per cent of the purchase price. Mary and Bob </w:t>
      </w:r>
      <w:r w:rsidR="00CA540C">
        <w:t xml:space="preserve">self-fund the rest of the purchase price. As Mary and Bob </w:t>
      </w:r>
      <w:r>
        <w:t>have</w:t>
      </w:r>
      <w:r w:rsidR="00BB5C97">
        <w:t xml:space="preserve"> acquired</w:t>
      </w:r>
      <w:r>
        <w:t xml:space="preserve"> 80 per cent equity in the property</w:t>
      </w:r>
      <w:r w:rsidR="00CA540C">
        <w:t xml:space="preserve"> they</w:t>
      </w:r>
      <w:r>
        <w:t xml:space="preserve"> would </w:t>
      </w:r>
      <w:r w:rsidR="00CA540C">
        <w:t>satisfy</w:t>
      </w:r>
      <w:r>
        <w:t xml:space="preserve"> this </w:t>
      </w:r>
      <w:r w:rsidR="00CA540C">
        <w:t>condition for the deferred payment of duty.</w:t>
      </w:r>
    </w:p>
    <w:p w14:paraId="4A5B5B6F" w14:textId="77777777" w:rsidR="0079709A" w:rsidRDefault="0079709A" w:rsidP="00C07E4C"/>
    <w:p w14:paraId="2DCF9116" w14:textId="77777777" w:rsidR="0079709A" w:rsidRDefault="0079709A" w:rsidP="0079709A">
      <w:pPr>
        <w:pStyle w:val="ListParagraph"/>
        <w:numPr>
          <w:ilvl w:val="0"/>
          <w:numId w:val="15"/>
        </w:numPr>
        <w:ind w:left="426" w:hanging="426"/>
      </w:pPr>
      <w:r>
        <w:t>Interest</w:t>
      </w:r>
    </w:p>
    <w:p w14:paraId="0EFDB1B7" w14:textId="77777777" w:rsidR="00A0434D" w:rsidRPr="005F4557" w:rsidRDefault="00A0434D" w:rsidP="00C07E4C">
      <w:pPr>
        <w:rPr>
          <w:sz w:val="12"/>
          <w:szCs w:val="12"/>
        </w:rPr>
      </w:pPr>
    </w:p>
    <w:p w14:paraId="35978037" w14:textId="2E0ECC95" w:rsidR="0079709A" w:rsidRDefault="0079709A" w:rsidP="00C07E4C">
      <w:r>
        <w:t xml:space="preserve">Interest at the market rate </w:t>
      </w:r>
      <w:r w:rsidR="00DF690B">
        <w:t xml:space="preserve">(determined under the </w:t>
      </w:r>
      <w:r w:rsidR="009F7509">
        <w:rPr>
          <w:iCs/>
        </w:rPr>
        <w:t>TAA</w:t>
      </w:r>
      <w:r w:rsidR="00DF690B">
        <w:t xml:space="preserve">, section 26) </w:t>
      </w:r>
      <w:r>
        <w:t xml:space="preserve">will be payable on the deferred amount of duty </w:t>
      </w:r>
      <w:r w:rsidR="000A4BA4">
        <w:t>for as long as the amount of duty remains unpaid</w:t>
      </w:r>
      <w:r>
        <w:t>.</w:t>
      </w:r>
    </w:p>
    <w:p w14:paraId="101E8371" w14:textId="77777777" w:rsidR="0079709A" w:rsidRDefault="0079709A" w:rsidP="00C07E4C"/>
    <w:p w14:paraId="7DA54822" w14:textId="77777777" w:rsidR="0079709A" w:rsidRDefault="0079709A" w:rsidP="0079709A">
      <w:pPr>
        <w:pStyle w:val="ListParagraph"/>
        <w:numPr>
          <w:ilvl w:val="0"/>
          <w:numId w:val="15"/>
        </w:numPr>
        <w:ind w:left="426" w:hanging="426"/>
      </w:pPr>
      <w:r>
        <w:t xml:space="preserve">Payment of deferred </w:t>
      </w:r>
      <w:r w:rsidR="000A4BA4">
        <w:t>amount</w:t>
      </w:r>
    </w:p>
    <w:p w14:paraId="48CD487F" w14:textId="289B006D" w:rsidR="00A82A9D" w:rsidRPr="005F4557" w:rsidRDefault="00A82A9D" w:rsidP="00C07E4C">
      <w:pPr>
        <w:rPr>
          <w:sz w:val="12"/>
          <w:szCs w:val="12"/>
        </w:rPr>
      </w:pPr>
    </w:p>
    <w:p w14:paraId="1F3F6712" w14:textId="1843F5DF" w:rsidR="00CB5A12" w:rsidRPr="0066291F" w:rsidRDefault="000A4BA4" w:rsidP="0066291F">
      <w:pPr>
        <w:spacing w:after="140"/>
      </w:pPr>
      <w:r w:rsidRPr="0066291F">
        <w:t xml:space="preserve">The deferred duty and any interest that accrues must be paid by the </w:t>
      </w:r>
      <w:r w:rsidR="00BB5C97" w:rsidRPr="0066291F">
        <w:t xml:space="preserve">PDCS </w:t>
      </w:r>
      <w:r w:rsidR="00CA540C" w:rsidRPr="0066291F">
        <w:t>transferee</w:t>
      </w:r>
      <w:r w:rsidR="00B30776" w:rsidRPr="0066291F">
        <w:t xml:space="preserve"> or</w:t>
      </w:r>
      <w:r w:rsidR="00BB5C97" w:rsidRPr="0066291F">
        <w:t xml:space="preserve"> PDCS</w:t>
      </w:r>
      <w:r w:rsidR="00B30776" w:rsidRPr="0066291F">
        <w:t xml:space="preserve"> transferee</w:t>
      </w:r>
      <w:r w:rsidR="00CB5A12" w:rsidRPr="0066291F">
        <w:t>s</w:t>
      </w:r>
      <w:r w:rsidR="00CA540C" w:rsidRPr="0066291F">
        <w:t xml:space="preserve"> </w:t>
      </w:r>
      <w:r w:rsidRPr="0066291F">
        <w:t>when</w:t>
      </w:r>
      <w:r w:rsidR="00CB5A12" w:rsidRPr="0066291F">
        <w:t>:</w:t>
      </w:r>
    </w:p>
    <w:p w14:paraId="22530992" w14:textId="61D0E1A8" w:rsidR="00CB5A12" w:rsidRPr="0066291F" w:rsidRDefault="000A4BA4" w:rsidP="0066291F">
      <w:pPr>
        <w:pStyle w:val="ListParagraph"/>
        <w:numPr>
          <w:ilvl w:val="0"/>
          <w:numId w:val="16"/>
        </w:numPr>
        <w:ind w:left="426" w:hanging="426"/>
      </w:pPr>
      <w:r w:rsidRPr="0066291F">
        <w:t>the property is transferred to an</w:t>
      </w:r>
      <w:r w:rsidR="007F669E" w:rsidRPr="0066291F">
        <w:t xml:space="preserve">y </w:t>
      </w:r>
      <w:r w:rsidRPr="0066291F">
        <w:t>other person</w:t>
      </w:r>
      <w:r w:rsidR="00BB5C97" w:rsidRPr="0066291F">
        <w:t>;</w:t>
      </w:r>
    </w:p>
    <w:p w14:paraId="32772769" w14:textId="59A49832" w:rsidR="00CB5A12" w:rsidRPr="0066291F" w:rsidRDefault="00B30776" w:rsidP="0066291F">
      <w:pPr>
        <w:pStyle w:val="ListParagraph"/>
        <w:numPr>
          <w:ilvl w:val="0"/>
          <w:numId w:val="16"/>
        </w:numPr>
        <w:ind w:left="426" w:hanging="426"/>
      </w:pPr>
      <w:r w:rsidRPr="0066291F">
        <w:t>t</w:t>
      </w:r>
      <w:r w:rsidR="00CB5A12" w:rsidRPr="0066291F">
        <w:t xml:space="preserve">he interest in the property held by the </w:t>
      </w:r>
      <w:r w:rsidR="00BB5C97" w:rsidRPr="0066291F">
        <w:t xml:space="preserve">PDCS </w:t>
      </w:r>
      <w:r w:rsidR="00CB5A12" w:rsidRPr="0066291F">
        <w:t>transferee</w:t>
      </w:r>
      <w:r w:rsidR="00BB5C97" w:rsidRPr="0066291F">
        <w:t>,</w:t>
      </w:r>
      <w:r w:rsidR="00CB5A12" w:rsidRPr="0066291F">
        <w:t xml:space="preserve"> who is the </w:t>
      </w:r>
      <w:r w:rsidR="00BB5C97" w:rsidRPr="0066291F">
        <w:t>‘</w:t>
      </w:r>
      <w:r w:rsidR="00CB5A12" w:rsidRPr="0066291F">
        <w:t>pensioner</w:t>
      </w:r>
      <w:r w:rsidR="00BB5C97" w:rsidRPr="0066291F">
        <w:t>’</w:t>
      </w:r>
      <w:r w:rsidR="00CB5A12" w:rsidRPr="0066291F">
        <w:t xml:space="preserve"> for the purposes of the PDCS transaction</w:t>
      </w:r>
      <w:r w:rsidR="00BB5C97" w:rsidRPr="0066291F">
        <w:t>,</w:t>
      </w:r>
      <w:r w:rsidR="00CB5A12" w:rsidRPr="0066291F">
        <w:t xml:space="preserve"> is transferred</w:t>
      </w:r>
      <w:r w:rsidR="00BB5C97" w:rsidRPr="0066291F">
        <w:t xml:space="preserve"> </w:t>
      </w:r>
      <w:r w:rsidR="00CB5A12" w:rsidRPr="0066291F">
        <w:t>to:</w:t>
      </w:r>
    </w:p>
    <w:p w14:paraId="7157977D" w14:textId="5CB515D8" w:rsidR="00CB5A12" w:rsidRPr="0066291F" w:rsidRDefault="00CB5A12" w:rsidP="0066291F">
      <w:pPr>
        <w:pStyle w:val="ListParagraph"/>
        <w:numPr>
          <w:ilvl w:val="0"/>
          <w:numId w:val="17"/>
        </w:numPr>
        <w:ind w:hanging="1014"/>
      </w:pPr>
      <w:r w:rsidRPr="0066291F">
        <w:t xml:space="preserve">another </w:t>
      </w:r>
      <w:r w:rsidR="00BB5C97" w:rsidRPr="0066291F">
        <w:t>PDCS</w:t>
      </w:r>
      <w:r w:rsidRPr="0066291F">
        <w:t xml:space="preserve"> transferee;</w:t>
      </w:r>
    </w:p>
    <w:p w14:paraId="4FDA6FEE" w14:textId="3662991C" w:rsidR="00CB5A12" w:rsidRPr="0066291F" w:rsidRDefault="00CB5A12" w:rsidP="0066291F">
      <w:pPr>
        <w:ind w:left="1440" w:hanging="1014"/>
      </w:pPr>
      <w:r w:rsidRPr="0066291F">
        <w:t xml:space="preserve">(ii) </w:t>
      </w:r>
      <w:r w:rsidR="00B30776" w:rsidRPr="0066291F">
        <w:tab/>
      </w:r>
      <w:r w:rsidRPr="0066291F">
        <w:t>an administrator or executor of the estate of the pensioner</w:t>
      </w:r>
      <w:r w:rsidR="00BB5C97" w:rsidRPr="0066291F">
        <w:t xml:space="preserve"> (includes a transfer by transmission application);</w:t>
      </w:r>
    </w:p>
    <w:p w14:paraId="239DF523" w14:textId="4682CEAE" w:rsidR="00CB5A12" w:rsidRPr="0066291F" w:rsidRDefault="00CB5A12" w:rsidP="0066291F">
      <w:pPr>
        <w:ind w:left="426"/>
      </w:pPr>
      <w:r w:rsidRPr="0066291F">
        <w:t>(iii)</w:t>
      </w:r>
      <w:r w:rsidR="00B30776" w:rsidRPr="0066291F">
        <w:tab/>
      </w:r>
      <w:r w:rsidRPr="0066291F">
        <w:t xml:space="preserve">any other person. </w:t>
      </w:r>
    </w:p>
    <w:p w14:paraId="20C1CAA6" w14:textId="77777777" w:rsidR="000A4BA4" w:rsidRDefault="000A4BA4" w:rsidP="0066291F">
      <w:pPr>
        <w:pStyle w:val="ListParagraph"/>
      </w:pPr>
    </w:p>
    <w:p w14:paraId="22D34D60" w14:textId="5AE51028" w:rsidR="003C158F" w:rsidRPr="0066291F" w:rsidRDefault="00B30776" w:rsidP="00C07E4C">
      <w:r w:rsidRPr="0066291F">
        <w:lastRenderedPageBreak/>
        <w:t>For the purposes of this instrument ‘pensioner’ is defined to mean the person who meets the requirements under section 5</w:t>
      </w:r>
      <w:r w:rsidR="003C158F" w:rsidRPr="0066291F">
        <w:t xml:space="preserve"> </w:t>
      </w:r>
      <w:r w:rsidRPr="0066291F">
        <w:t>(1)</w:t>
      </w:r>
      <w:r w:rsidR="003C158F" w:rsidRPr="0066291F">
        <w:t xml:space="preserve"> </w:t>
      </w:r>
      <w:r w:rsidRPr="0066291F">
        <w:t xml:space="preserve">(a) of </w:t>
      </w:r>
      <w:r w:rsidR="003C158F" w:rsidRPr="00BB5C97">
        <w:t>DI2019-</w:t>
      </w:r>
      <w:r w:rsidR="000A0CDA">
        <w:t>101,</w:t>
      </w:r>
      <w:r w:rsidR="003C158F" w:rsidRPr="0066291F">
        <w:t xml:space="preserve"> that is</w:t>
      </w:r>
      <w:r w:rsidR="00BB5C97" w:rsidRPr="0066291F">
        <w:t xml:space="preserve"> a person who </w:t>
      </w:r>
      <w:r w:rsidR="003C158F" w:rsidRPr="0066291F">
        <w:t>on the transaction date:</w:t>
      </w:r>
    </w:p>
    <w:p w14:paraId="03D92831" w14:textId="77777777" w:rsidR="003C158F" w:rsidRDefault="003C158F" w:rsidP="0066291F">
      <w:pPr>
        <w:pStyle w:val="ListParagraph"/>
        <w:numPr>
          <w:ilvl w:val="0"/>
          <w:numId w:val="18"/>
        </w:numPr>
        <w:spacing w:before="140"/>
        <w:ind w:left="425" w:hanging="425"/>
      </w:pPr>
      <w:r w:rsidRPr="008071CE">
        <w:t>received an Australian Centrelink age pension or Department</w:t>
      </w:r>
      <w:r>
        <w:t> </w:t>
      </w:r>
      <w:r w:rsidRPr="008071CE">
        <w:t>of</w:t>
      </w:r>
      <w:r>
        <w:t> </w:t>
      </w:r>
      <w:r w:rsidRPr="008071CE">
        <w:t>Veterans’ Affairs age pension equivalent; or</w:t>
      </w:r>
    </w:p>
    <w:p w14:paraId="3B908737" w14:textId="77777777" w:rsidR="003C158F" w:rsidRDefault="003C158F" w:rsidP="0066291F">
      <w:pPr>
        <w:pStyle w:val="ListParagraph"/>
        <w:numPr>
          <w:ilvl w:val="0"/>
          <w:numId w:val="18"/>
        </w:numPr>
        <w:spacing w:before="140"/>
        <w:ind w:left="426" w:hanging="426"/>
      </w:pPr>
      <w:r>
        <w:t>r</w:t>
      </w:r>
      <w:r w:rsidRPr="008071CE">
        <w:t>eceived an Australian Centrelink disability support pension and was 50 years of age or older; or</w:t>
      </w:r>
    </w:p>
    <w:p w14:paraId="63D10DC8" w14:textId="300A0958" w:rsidR="00B30776" w:rsidRDefault="003C158F" w:rsidP="0066291F">
      <w:pPr>
        <w:pStyle w:val="ListParagraph"/>
        <w:numPr>
          <w:ilvl w:val="0"/>
          <w:numId w:val="18"/>
        </w:numPr>
        <w:spacing w:before="140"/>
        <w:ind w:left="426" w:hanging="426"/>
      </w:pPr>
      <w:r w:rsidRPr="008071CE">
        <w:t>had held a Department of Veterans’ Affairs Gold Card for a period of at least 1 year</w:t>
      </w:r>
      <w:r>
        <w:t>.</w:t>
      </w:r>
    </w:p>
    <w:p w14:paraId="3D14DAA7" w14:textId="77777777" w:rsidR="003C158F" w:rsidRDefault="003C158F" w:rsidP="00C07E4C">
      <w:pPr>
        <w:rPr>
          <w:highlight w:val="yellow"/>
        </w:rPr>
      </w:pPr>
    </w:p>
    <w:p w14:paraId="45880DC2" w14:textId="20FD3E8E" w:rsidR="000A4BA4" w:rsidRDefault="000A4BA4" w:rsidP="00C07E4C">
      <w:r w:rsidRPr="0066291F">
        <w:t>Any duty payable is a debt owing to the Territory and is a first charge on the interest held by an owner that takes priority over other interests – see section 5 of the Duties Act</w:t>
      </w:r>
      <w:r w:rsidR="0011786A" w:rsidRPr="0066291F">
        <w:t xml:space="preserve"> </w:t>
      </w:r>
      <w:r w:rsidRPr="0066291F">
        <w:t>and section 56H of the Act.</w:t>
      </w:r>
    </w:p>
    <w:p w14:paraId="0F84A1F2" w14:textId="77777777" w:rsidR="000A4BA4" w:rsidRDefault="000A4BA4" w:rsidP="00C07E4C"/>
    <w:p w14:paraId="36E94B68" w14:textId="77777777" w:rsidR="006724AD" w:rsidRPr="005F4557" w:rsidRDefault="006724AD" w:rsidP="005F4557">
      <w:pPr>
        <w:rPr>
          <w:b/>
        </w:rPr>
      </w:pPr>
      <w:r w:rsidRPr="005F4557">
        <w:rPr>
          <w:b/>
        </w:rPr>
        <w:t>Revocation</w:t>
      </w:r>
    </w:p>
    <w:p w14:paraId="2EFEA88D" w14:textId="77777777" w:rsidR="006724AD" w:rsidRPr="001878CD" w:rsidRDefault="006724AD" w:rsidP="006724AD">
      <w:pPr>
        <w:pStyle w:val="Amain"/>
        <w:tabs>
          <w:tab w:val="clear" w:pos="500"/>
          <w:tab w:val="clear" w:pos="700"/>
          <w:tab w:val="right" w:pos="-284"/>
          <w:tab w:val="left" w:pos="567"/>
        </w:tabs>
        <w:spacing w:before="0" w:after="0"/>
        <w:ind w:left="0" w:firstLine="0"/>
        <w:jc w:val="left"/>
        <w:outlineLvl w:val="9"/>
        <w:rPr>
          <w:rFonts w:ascii="Arial" w:hAnsi="Arial" w:cs="Arial"/>
          <w:b/>
          <w:szCs w:val="22"/>
        </w:rPr>
      </w:pPr>
    </w:p>
    <w:p w14:paraId="7A9505E8" w14:textId="2F664D4C" w:rsidR="006724AD" w:rsidRPr="001878CD" w:rsidRDefault="006724AD" w:rsidP="006724AD">
      <w:pPr>
        <w:pStyle w:val="Amain"/>
        <w:tabs>
          <w:tab w:val="clear" w:pos="500"/>
          <w:tab w:val="clear" w:pos="700"/>
          <w:tab w:val="right" w:pos="-284"/>
          <w:tab w:val="left" w:pos="567"/>
        </w:tabs>
        <w:spacing w:before="0" w:after="0"/>
        <w:ind w:left="0" w:firstLine="0"/>
        <w:jc w:val="left"/>
        <w:outlineLvl w:val="9"/>
      </w:pPr>
      <w:r w:rsidRPr="001878CD">
        <w:t xml:space="preserve">This instrument revokes the </w:t>
      </w:r>
      <w:bookmarkStart w:id="2" w:name="_Hlk10111054"/>
      <w:r w:rsidRPr="00115492">
        <w:rPr>
          <w:i/>
        </w:rPr>
        <w:t>Taxation Administration (Special Arrangements—Pensioner Duty Concession Scheme Deferrals) Approval 2019 (No 1)</w:t>
      </w:r>
      <w:r>
        <w:rPr>
          <w:i/>
        </w:rPr>
        <w:t>,</w:t>
      </w:r>
      <w:r w:rsidRPr="007758C9">
        <w:t xml:space="preserve"> DI201</w:t>
      </w:r>
      <w:r>
        <w:t>9</w:t>
      </w:r>
      <w:r w:rsidRPr="007758C9">
        <w:t>-</w:t>
      </w:r>
      <w:bookmarkEnd w:id="2"/>
      <w:r>
        <w:t>139</w:t>
      </w:r>
      <w:r w:rsidRPr="001878CD">
        <w:t>.</w:t>
      </w:r>
    </w:p>
    <w:p w14:paraId="42108992" w14:textId="77777777" w:rsidR="006724AD" w:rsidRPr="001878CD" w:rsidRDefault="006724AD" w:rsidP="006724AD">
      <w:pPr>
        <w:pStyle w:val="ListParagraph"/>
      </w:pPr>
    </w:p>
    <w:p w14:paraId="0F7A7C49" w14:textId="1666E4AE" w:rsidR="006724AD" w:rsidRPr="001878CD" w:rsidRDefault="006724AD" w:rsidP="006724AD">
      <w:pPr>
        <w:pStyle w:val="Amain"/>
        <w:tabs>
          <w:tab w:val="clear" w:pos="500"/>
          <w:tab w:val="clear" w:pos="700"/>
          <w:tab w:val="right" w:pos="-284"/>
          <w:tab w:val="left" w:pos="567"/>
        </w:tabs>
        <w:spacing w:before="0" w:after="0"/>
        <w:ind w:left="0" w:firstLine="0"/>
        <w:jc w:val="left"/>
        <w:outlineLvl w:val="9"/>
      </w:pPr>
      <w:r w:rsidRPr="001878CD">
        <w:t>DI201</w:t>
      </w:r>
      <w:r>
        <w:t>9</w:t>
      </w:r>
      <w:r w:rsidRPr="001878CD">
        <w:t>-1</w:t>
      </w:r>
      <w:r>
        <w:t>39</w:t>
      </w:r>
      <w:r w:rsidRPr="001878CD">
        <w:t xml:space="preserve"> continues to apply in the period between </w:t>
      </w:r>
      <w:r>
        <w:t xml:space="preserve">1 July 2019 and </w:t>
      </w:r>
      <w:r w:rsidR="005F4557" w:rsidRPr="008A5EC7">
        <w:t>15 December 2019 inclusive</w:t>
      </w:r>
      <w:r w:rsidRPr="008A5EC7">
        <w:t>.</w:t>
      </w:r>
    </w:p>
    <w:p w14:paraId="240A36E9" w14:textId="77777777" w:rsidR="006724AD" w:rsidRDefault="006724AD" w:rsidP="000A4BA4">
      <w:pPr>
        <w:rPr>
          <w:b/>
        </w:rPr>
      </w:pPr>
    </w:p>
    <w:p w14:paraId="6E458BEA" w14:textId="7DE06185" w:rsidR="000A4BA4" w:rsidRPr="000A4BA4" w:rsidRDefault="000A4BA4" w:rsidP="000A4BA4">
      <w:pPr>
        <w:rPr>
          <w:b/>
        </w:rPr>
      </w:pPr>
      <w:r w:rsidRPr="000A4BA4">
        <w:rPr>
          <w:b/>
        </w:rPr>
        <w:t>Expiry</w:t>
      </w:r>
    </w:p>
    <w:p w14:paraId="5AAB1AF8" w14:textId="4EA60D57" w:rsidR="00896DB3" w:rsidRDefault="000A4BA4" w:rsidP="000A4BA4">
      <w:pPr>
        <w:spacing w:before="140"/>
      </w:pPr>
      <w:r w:rsidRPr="00F253C3">
        <w:t>This instrument expires on 30 June 2020</w:t>
      </w:r>
      <w:r>
        <w:t xml:space="preserve"> in line with the </w:t>
      </w:r>
      <w:r w:rsidR="006C5788">
        <w:t>expiration date of the PDCS</w:t>
      </w:r>
      <w:r w:rsidR="00F43DFE">
        <w:t xml:space="preserve"> </w:t>
      </w:r>
      <w:r w:rsidR="009F7509">
        <w:t xml:space="preserve">– </w:t>
      </w:r>
      <w:r w:rsidR="00DF690B">
        <w:t>refer</w:t>
      </w:r>
      <w:r w:rsidR="00F43DFE">
        <w:t xml:space="preserve"> </w:t>
      </w:r>
      <w:r w:rsidR="009F7509">
        <w:t xml:space="preserve">to </w:t>
      </w:r>
      <w:r w:rsidR="00F43DFE">
        <w:t>DI2019</w:t>
      </w:r>
      <w:r w:rsidR="0011786A">
        <w:t>-</w:t>
      </w:r>
      <w:r w:rsidR="000A0CDA">
        <w:t>101</w:t>
      </w:r>
      <w:r w:rsidR="0011786A">
        <w:t xml:space="preserve">. </w:t>
      </w:r>
    </w:p>
    <w:p w14:paraId="7DB3AABF" w14:textId="535AB445" w:rsidR="00896DB3" w:rsidRPr="0066291F" w:rsidRDefault="00896DB3" w:rsidP="0066291F">
      <w:pPr>
        <w:spacing w:before="140"/>
      </w:pPr>
      <w:r w:rsidRPr="0066291F">
        <w:t xml:space="preserve">This means </w:t>
      </w:r>
      <w:r w:rsidR="0014009A">
        <w:t>PDCS</w:t>
      </w:r>
      <w:r w:rsidR="0014009A" w:rsidRPr="0066291F">
        <w:t xml:space="preserve"> </w:t>
      </w:r>
      <w:r w:rsidR="009943F3" w:rsidRPr="0066291F">
        <w:t>transferees</w:t>
      </w:r>
      <w:r w:rsidR="00771DEB">
        <w:t xml:space="preserve"> </w:t>
      </w:r>
      <w:r w:rsidR="00771DEB" w:rsidRPr="00727AA5">
        <w:t>have until 30 June 2020 to apply for a duty deferral</w:t>
      </w:r>
      <w:r w:rsidR="00A665DB" w:rsidRPr="0066291F">
        <w:t>. F</w:t>
      </w:r>
      <w:r w:rsidR="00BB5C97" w:rsidRPr="0066291F">
        <w:t>or the avoidance of doubt</w:t>
      </w:r>
      <w:r w:rsidR="0014009A">
        <w:t>,</w:t>
      </w:r>
      <w:r w:rsidR="00A665DB" w:rsidRPr="0066291F">
        <w:t xml:space="preserve"> d</w:t>
      </w:r>
      <w:r w:rsidR="0011786A" w:rsidRPr="0066291F">
        <w:t xml:space="preserve">uty </w:t>
      </w:r>
      <w:r w:rsidR="00DA410E" w:rsidRPr="0066291F">
        <w:t xml:space="preserve">deferrals approved under this instrument </w:t>
      </w:r>
      <w:r w:rsidR="00A665DB" w:rsidRPr="0066291F">
        <w:t xml:space="preserve">(and its conditions of approval) </w:t>
      </w:r>
      <w:r w:rsidR="00DA410E" w:rsidRPr="0066291F">
        <w:t>will continue to apply after the expiration of this instrument until the</w:t>
      </w:r>
      <w:r w:rsidRPr="0066291F">
        <w:t xml:space="preserve"> duty </w:t>
      </w:r>
      <w:r w:rsidR="0014009A">
        <w:t xml:space="preserve">amount </w:t>
      </w:r>
      <w:r w:rsidRPr="0066291F">
        <w:t xml:space="preserve">deferred and any accrued interest is </w:t>
      </w:r>
      <w:r w:rsidR="00DA410E" w:rsidRPr="0066291F">
        <w:t>paid out</w:t>
      </w:r>
      <w:r w:rsidR="0014009A">
        <w:t xml:space="preserve"> in full</w:t>
      </w:r>
      <w:r w:rsidRPr="0066291F">
        <w:t xml:space="preserve">. </w:t>
      </w:r>
    </w:p>
    <w:p w14:paraId="1DF5652B" w14:textId="77777777" w:rsidR="00896DB3" w:rsidRDefault="00896DB3"/>
    <w:p w14:paraId="55D72235" w14:textId="77777777" w:rsidR="00896DB3" w:rsidRDefault="00896DB3"/>
    <w:p w14:paraId="230855C2" w14:textId="77777777" w:rsidR="00896DB3" w:rsidRDefault="00896DB3"/>
    <w:p w14:paraId="6A7D014B" w14:textId="1BFF159D" w:rsidR="007D28F9" w:rsidRPr="00520F36" w:rsidRDefault="007D28F9">
      <w:r w:rsidRPr="00520F36">
        <w:t xml:space="preserve">Authorised by </w:t>
      </w:r>
      <w:r w:rsidR="00AA6B8B" w:rsidRPr="00520F36">
        <w:t>the</w:t>
      </w:r>
      <w:r w:rsidR="005C73CE" w:rsidRPr="00520F36">
        <w:t xml:space="preserve"> </w:t>
      </w:r>
      <w:r w:rsidR="006724AD">
        <w:t>Treasurer</w:t>
      </w:r>
    </w:p>
    <w:p w14:paraId="58A79A13" w14:textId="23ECFA4F" w:rsidR="00AA6B8B" w:rsidRDefault="006724AD">
      <w:r>
        <w:t>Andrew Barr MLA</w:t>
      </w:r>
    </w:p>
    <w:sectPr w:rsidR="00AA6B8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7A291" w14:textId="77777777" w:rsidR="00D3463A" w:rsidRDefault="00D3463A" w:rsidP="00C17FAB">
      <w:r>
        <w:separator/>
      </w:r>
    </w:p>
  </w:endnote>
  <w:endnote w:type="continuationSeparator" w:id="0">
    <w:p w14:paraId="6741F435" w14:textId="77777777" w:rsidR="00D3463A" w:rsidRDefault="00D3463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4C8C" w14:textId="77777777" w:rsidR="00284688" w:rsidRDefault="0028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59E3" w14:textId="664C4570" w:rsidR="005477AA" w:rsidRPr="00284688" w:rsidRDefault="00284688" w:rsidP="00284688">
    <w:pPr>
      <w:pStyle w:val="Footer"/>
      <w:jc w:val="center"/>
      <w:rPr>
        <w:rFonts w:cs="Arial"/>
        <w:sz w:val="14"/>
      </w:rPr>
    </w:pPr>
    <w:r w:rsidRPr="002846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472C" w14:textId="77777777" w:rsidR="00284688" w:rsidRDefault="0028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73FB5" w14:textId="77777777" w:rsidR="00D3463A" w:rsidRDefault="00D3463A" w:rsidP="00C17FAB">
      <w:r>
        <w:separator/>
      </w:r>
    </w:p>
  </w:footnote>
  <w:footnote w:type="continuationSeparator" w:id="0">
    <w:p w14:paraId="0EAF1E3E" w14:textId="77777777" w:rsidR="00D3463A" w:rsidRDefault="00D3463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7106" w14:textId="77777777" w:rsidR="00284688" w:rsidRDefault="00284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6CD5" w14:textId="77777777" w:rsidR="00284688" w:rsidRDefault="00284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ABD6" w14:textId="77777777" w:rsidR="00284688" w:rsidRDefault="00284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E67479"/>
    <w:multiLevelType w:val="hybridMultilevel"/>
    <w:tmpl w:val="0F3E0C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671568"/>
    <w:multiLevelType w:val="hybridMultilevel"/>
    <w:tmpl w:val="996C3D50"/>
    <w:lvl w:ilvl="0" w:tplc="02640ED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14416C"/>
    <w:multiLevelType w:val="hybridMultilevel"/>
    <w:tmpl w:val="B57247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1F335A"/>
    <w:multiLevelType w:val="hybridMultilevel"/>
    <w:tmpl w:val="C31A709E"/>
    <w:lvl w:ilvl="0" w:tplc="18EC8AF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8F6636"/>
    <w:multiLevelType w:val="hybridMultilevel"/>
    <w:tmpl w:val="39A49D4E"/>
    <w:lvl w:ilvl="0" w:tplc="370ADA8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4714EF"/>
    <w:multiLevelType w:val="hybridMultilevel"/>
    <w:tmpl w:val="DA581434"/>
    <w:lvl w:ilvl="0" w:tplc="FBACB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322A27"/>
    <w:multiLevelType w:val="hybridMultilevel"/>
    <w:tmpl w:val="BBD0B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0AD7C41"/>
    <w:multiLevelType w:val="hybridMultilevel"/>
    <w:tmpl w:val="053AE3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E4F40AE4">
      <w:start w:val="1"/>
      <w:numFmt w:val="lowerRoman"/>
      <w:lvlText w:val="%3."/>
      <w:lvlJc w:val="right"/>
      <w:pPr>
        <w:ind w:left="2160" w:hanging="180"/>
      </w:pPr>
      <w:rPr>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8"/>
  </w:num>
  <w:num w:numId="5">
    <w:abstractNumId w:val="16"/>
  </w:num>
  <w:num w:numId="6">
    <w:abstractNumId w:val="1"/>
  </w:num>
  <w:num w:numId="7">
    <w:abstractNumId w:val="6"/>
  </w:num>
  <w:num w:numId="8">
    <w:abstractNumId w:val="7"/>
  </w:num>
  <w:num w:numId="9">
    <w:abstractNumId w:val="18"/>
  </w:num>
  <w:num w:numId="10">
    <w:abstractNumId w:val="17"/>
  </w:num>
  <w:num w:numId="11">
    <w:abstractNumId w:val="4"/>
  </w:num>
  <w:num w:numId="12">
    <w:abstractNumId w:val="10"/>
  </w:num>
  <w:num w:numId="13">
    <w:abstractNumId w:val="12"/>
  </w:num>
  <w:num w:numId="14">
    <w:abstractNumId w:val="9"/>
  </w:num>
  <w:num w:numId="15">
    <w:abstractNumId w:val="15"/>
  </w:num>
  <w:num w:numId="16">
    <w:abstractNumId w:val="5"/>
  </w:num>
  <w:num w:numId="17">
    <w:abstractNumId w:val="11"/>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1555E"/>
    <w:rsid w:val="000370B7"/>
    <w:rsid w:val="0004401B"/>
    <w:rsid w:val="00044A47"/>
    <w:rsid w:val="00044D06"/>
    <w:rsid w:val="00047F7C"/>
    <w:rsid w:val="0005616A"/>
    <w:rsid w:val="000620F8"/>
    <w:rsid w:val="00084151"/>
    <w:rsid w:val="00084A95"/>
    <w:rsid w:val="000A0CDA"/>
    <w:rsid w:val="000A4950"/>
    <w:rsid w:val="000A4BA4"/>
    <w:rsid w:val="000A69CC"/>
    <w:rsid w:val="000B47B3"/>
    <w:rsid w:val="000C0320"/>
    <w:rsid w:val="000D7351"/>
    <w:rsid w:val="00104E59"/>
    <w:rsid w:val="0011786A"/>
    <w:rsid w:val="0013287B"/>
    <w:rsid w:val="0014009A"/>
    <w:rsid w:val="0015449C"/>
    <w:rsid w:val="001546D9"/>
    <w:rsid w:val="00163067"/>
    <w:rsid w:val="00175FAA"/>
    <w:rsid w:val="001F780B"/>
    <w:rsid w:val="00233323"/>
    <w:rsid w:val="00244B5E"/>
    <w:rsid w:val="00256FA9"/>
    <w:rsid w:val="002838D3"/>
    <w:rsid w:val="00284688"/>
    <w:rsid w:val="00295B06"/>
    <w:rsid w:val="002A3727"/>
    <w:rsid w:val="002C747B"/>
    <w:rsid w:val="002D24F1"/>
    <w:rsid w:val="002D3299"/>
    <w:rsid w:val="002D6F30"/>
    <w:rsid w:val="002D7C60"/>
    <w:rsid w:val="00324663"/>
    <w:rsid w:val="003642CE"/>
    <w:rsid w:val="0038342A"/>
    <w:rsid w:val="003A2713"/>
    <w:rsid w:val="003A5656"/>
    <w:rsid w:val="003B128C"/>
    <w:rsid w:val="003B2344"/>
    <w:rsid w:val="003C158F"/>
    <w:rsid w:val="003F111B"/>
    <w:rsid w:val="0047377C"/>
    <w:rsid w:val="004B0456"/>
    <w:rsid w:val="004E6ED0"/>
    <w:rsid w:val="004F477B"/>
    <w:rsid w:val="005035B3"/>
    <w:rsid w:val="00520F36"/>
    <w:rsid w:val="00545537"/>
    <w:rsid w:val="005477AA"/>
    <w:rsid w:val="00577C99"/>
    <w:rsid w:val="005B0A55"/>
    <w:rsid w:val="005C73CE"/>
    <w:rsid w:val="005D7612"/>
    <w:rsid w:val="005E0D3B"/>
    <w:rsid w:val="005F29A0"/>
    <w:rsid w:val="005F4557"/>
    <w:rsid w:val="005F6AF3"/>
    <w:rsid w:val="006174F0"/>
    <w:rsid w:val="00656F3F"/>
    <w:rsid w:val="0066291F"/>
    <w:rsid w:val="006724AD"/>
    <w:rsid w:val="006A45E0"/>
    <w:rsid w:val="006A550B"/>
    <w:rsid w:val="006C5788"/>
    <w:rsid w:val="006C7109"/>
    <w:rsid w:val="006C7D45"/>
    <w:rsid w:val="006D2B49"/>
    <w:rsid w:val="006D2FC8"/>
    <w:rsid w:val="006F11E7"/>
    <w:rsid w:val="006F4177"/>
    <w:rsid w:val="00727AA5"/>
    <w:rsid w:val="007346AC"/>
    <w:rsid w:val="00746C1D"/>
    <w:rsid w:val="00750038"/>
    <w:rsid w:val="007659B0"/>
    <w:rsid w:val="00771DEB"/>
    <w:rsid w:val="007819E5"/>
    <w:rsid w:val="0079709A"/>
    <w:rsid w:val="007D28F9"/>
    <w:rsid w:val="007F669E"/>
    <w:rsid w:val="00803D9B"/>
    <w:rsid w:val="00815B1B"/>
    <w:rsid w:val="008275AD"/>
    <w:rsid w:val="00831E29"/>
    <w:rsid w:val="00860C3C"/>
    <w:rsid w:val="0086346C"/>
    <w:rsid w:val="00867840"/>
    <w:rsid w:val="00896DB3"/>
    <w:rsid w:val="008A5EC7"/>
    <w:rsid w:val="008C0A45"/>
    <w:rsid w:val="00916960"/>
    <w:rsid w:val="00930A10"/>
    <w:rsid w:val="00953D64"/>
    <w:rsid w:val="009943F3"/>
    <w:rsid w:val="00994473"/>
    <w:rsid w:val="009D7400"/>
    <w:rsid w:val="009E46E7"/>
    <w:rsid w:val="009F7509"/>
    <w:rsid w:val="00A0434D"/>
    <w:rsid w:val="00A05764"/>
    <w:rsid w:val="00A104AD"/>
    <w:rsid w:val="00A20A8C"/>
    <w:rsid w:val="00A438C9"/>
    <w:rsid w:val="00A56DE4"/>
    <w:rsid w:val="00A665DB"/>
    <w:rsid w:val="00A82A9D"/>
    <w:rsid w:val="00A84C4F"/>
    <w:rsid w:val="00A87FA6"/>
    <w:rsid w:val="00A96525"/>
    <w:rsid w:val="00AA6B8B"/>
    <w:rsid w:val="00AE2586"/>
    <w:rsid w:val="00B30776"/>
    <w:rsid w:val="00B474F6"/>
    <w:rsid w:val="00B82282"/>
    <w:rsid w:val="00BB5C97"/>
    <w:rsid w:val="00BC61FF"/>
    <w:rsid w:val="00BD2818"/>
    <w:rsid w:val="00BE45A4"/>
    <w:rsid w:val="00C07E4C"/>
    <w:rsid w:val="00C17FAB"/>
    <w:rsid w:val="00C614AD"/>
    <w:rsid w:val="00C66225"/>
    <w:rsid w:val="00C77D03"/>
    <w:rsid w:val="00C80CE3"/>
    <w:rsid w:val="00CA11F6"/>
    <w:rsid w:val="00CA540C"/>
    <w:rsid w:val="00CB46F5"/>
    <w:rsid w:val="00CB5A12"/>
    <w:rsid w:val="00CB6874"/>
    <w:rsid w:val="00CE2DC9"/>
    <w:rsid w:val="00CE599C"/>
    <w:rsid w:val="00CF0B1F"/>
    <w:rsid w:val="00CF1C02"/>
    <w:rsid w:val="00D13F6F"/>
    <w:rsid w:val="00D3463A"/>
    <w:rsid w:val="00D36662"/>
    <w:rsid w:val="00D44937"/>
    <w:rsid w:val="00D45330"/>
    <w:rsid w:val="00D56FBF"/>
    <w:rsid w:val="00D624E7"/>
    <w:rsid w:val="00D72B24"/>
    <w:rsid w:val="00DA1B90"/>
    <w:rsid w:val="00DA3B00"/>
    <w:rsid w:val="00DA410E"/>
    <w:rsid w:val="00DC022E"/>
    <w:rsid w:val="00DF690B"/>
    <w:rsid w:val="00E05B50"/>
    <w:rsid w:val="00E534C1"/>
    <w:rsid w:val="00E60E52"/>
    <w:rsid w:val="00E64DA7"/>
    <w:rsid w:val="00E809D1"/>
    <w:rsid w:val="00EB2F3D"/>
    <w:rsid w:val="00EB365D"/>
    <w:rsid w:val="00EB466E"/>
    <w:rsid w:val="00ED6089"/>
    <w:rsid w:val="00EE3561"/>
    <w:rsid w:val="00EE47CE"/>
    <w:rsid w:val="00F119D0"/>
    <w:rsid w:val="00F43DFE"/>
    <w:rsid w:val="00F441F6"/>
    <w:rsid w:val="00F51E5C"/>
    <w:rsid w:val="00FB6069"/>
    <w:rsid w:val="00FC277C"/>
    <w:rsid w:val="00FD75CE"/>
    <w:rsid w:val="00FF091E"/>
    <w:rsid w:val="00FF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5985415"/>
  <w15:docId w15:val="{C613F87D-B3BC-45CB-868E-9427CDD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DocumentMap">
    <w:name w:val="Document Map"/>
    <w:basedOn w:val="Normal"/>
    <w:link w:val="DocumentMapChar"/>
    <w:uiPriority w:val="99"/>
    <w:semiHidden/>
    <w:unhideWhenUsed/>
    <w:rsid w:val="006F4177"/>
    <w:rPr>
      <w:rFonts w:ascii="Tahoma" w:hAnsi="Tahoma" w:cs="Tahoma"/>
      <w:sz w:val="16"/>
      <w:szCs w:val="16"/>
    </w:rPr>
  </w:style>
  <w:style w:type="character" w:customStyle="1" w:styleId="DocumentMapChar">
    <w:name w:val="Document Map Char"/>
    <w:basedOn w:val="DefaultParagraphFont"/>
    <w:link w:val="DocumentMap"/>
    <w:uiPriority w:val="99"/>
    <w:semiHidden/>
    <w:rsid w:val="006F4177"/>
    <w:rPr>
      <w:rFonts w:ascii="Tahoma" w:hAnsi="Tahoma" w:cs="Tahoma"/>
      <w:sz w:val="16"/>
      <w:szCs w:val="16"/>
      <w:lang w:eastAsia="en-US"/>
    </w:rPr>
  </w:style>
  <w:style w:type="paragraph" w:styleId="ListParagraph">
    <w:name w:val="List Paragraph"/>
    <w:basedOn w:val="Normal"/>
    <w:uiPriority w:val="34"/>
    <w:qFormat/>
    <w:rsid w:val="00656F3F"/>
    <w:pPr>
      <w:ind w:left="720"/>
      <w:contextualSpacing/>
    </w:pPr>
  </w:style>
  <w:style w:type="character" w:styleId="CommentReference">
    <w:name w:val="annotation reference"/>
    <w:basedOn w:val="DefaultParagraphFont"/>
    <w:uiPriority w:val="99"/>
    <w:semiHidden/>
    <w:unhideWhenUsed/>
    <w:rsid w:val="00A84C4F"/>
    <w:rPr>
      <w:sz w:val="16"/>
      <w:szCs w:val="16"/>
    </w:rPr>
  </w:style>
  <w:style w:type="paragraph" w:styleId="CommentText">
    <w:name w:val="annotation text"/>
    <w:basedOn w:val="Normal"/>
    <w:link w:val="CommentTextChar"/>
    <w:uiPriority w:val="99"/>
    <w:semiHidden/>
    <w:unhideWhenUsed/>
    <w:rsid w:val="00A84C4F"/>
    <w:rPr>
      <w:sz w:val="20"/>
    </w:rPr>
  </w:style>
  <w:style w:type="character" w:customStyle="1" w:styleId="CommentTextChar">
    <w:name w:val="Comment Text Char"/>
    <w:basedOn w:val="DefaultParagraphFont"/>
    <w:link w:val="CommentText"/>
    <w:uiPriority w:val="99"/>
    <w:semiHidden/>
    <w:rsid w:val="00A84C4F"/>
    <w:rPr>
      <w:lang w:eastAsia="en-US"/>
    </w:rPr>
  </w:style>
  <w:style w:type="paragraph" w:styleId="CommentSubject">
    <w:name w:val="annotation subject"/>
    <w:basedOn w:val="CommentText"/>
    <w:next w:val="CommentText"/>
    <w:link w:val="CommentSubjectChar"/>
    <w:uiPriority w:val="99"/>
    <w:semiHidden/>
    <w:unhideWhenUsed/>
    <w:rsid w:val="00A84C4F"/>
    <w:rPr>
      <w:b/>
      <w:bCs/>
    </w:rPr>
  </w:style>
  <w:style w:type="character" w:customStyle="1" w:styleId="CommentSubjectChar">
    <w:name w:val="Comment Subject Char"/>
    <w:basedOn w:val="CommentTextChar"/>
    <w:link w:val="CommentSubject"/>
    <w:uiPriority w:val="99"/>
    <w:semiHidden/>
    <w:rsid w:val="00A84C4F"/>
    <w:rPr>
      <w:b/>
      <w:bCs/>
      <w:lang w:eastAsia="en-US"/>
    </w:rPr>
  </w:style>
  <w:style w:type="paragraph" w:styleId="BalloonText">
    <w:name w:val="Balloon Text"/>
    <w:basedOn w:val="Normal"/>
    <w:link w:val="BalloonTextChar"/>
    <w:uiPriority w:val="99"/>
    <w:semiHidden/>
    <w:unhideWhenUsed/>
    <w:rsid w:val="00A84C4F"/>
    <w:rPr>
      <w:rFonts w:ascii="Tahoma" w:hAnsi="Tahoma" w:cs="Tahoma"/>
      <w:sz w:val="16"/>
      <w:szCs w:val="16"/>
    </w:rPr>
  </w:style>
  <w:style w:type="character" w:customStyle="1" w:styleId="BalloonTextChar">
    <w:name w:val="Balloon Text Char"/>
    <w:basedOn w:val="DefaultParagraphFont"/>
    <w:link w:val="BalloonText"/>
    <w:uiPriority w:val="99"/>
    <w:semiHidden/>
    <w:rsid w:val="00A84C4F"/>
    <w:rPr>
      <w:rFonts w:ascii="Tahoma" w:hAnsi="Tahoma" w:cs="Tahoma"/>
      <w:sz w:val="16"/>
      <w:szCs w:val="16"/>
      <w:lang w:eastAsia="en-US"/>
    </w:rPr>
  </w:style>
  <w:style w:type="paragraph" w:styleId="Revision">
    <w:name w:val="Revision"/>
    <w:hidden/>
    <w:uiPriority w:val="99"/>
    <w:semiHidden/>
    <w:rsid w:val="002333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25F8-71DD-4FD3-95FB-0B27B457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4712</Characters>
  <Application>Microsoft Office Word</Application>
  <DocSecurity>0</DocSecurity>
  <Lines>125</Lines>
  <Paragraphs>46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2019-04-29T03:14:00Z</cp:lastPrinted>
  <dcterms:created xsi:type="dcterms:W3CDTF">2019-12-11T22:32:00Z</dcterms:created>
  <dcterms:modified xsi:type="dcterms:W3CDTF">2019-12-11T22:32:00Z</dcterms:modified>
</cp:coreProperties>
</file>