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8FA5" w14:textId="77777777" w:rsidR="00C17FAB" w:rsidRDefault="00C17FAB" w:rsidP="004857AD">
      <w:pPr>
        <w:spacing w:line="360" w:lineRule="auto"/>
        <w:rPr>
          <w:rFonts w:ascii="Arial" w:hAnsi="Arial" w:cs="Arial"/>
        </w:rPr>
      </w:pPr>
      <w:bookmarkStart w:id="0" w:name="_Toc44738651"/>
      <w:bookmarkStart w:id="1" w:name="_GoBack"/>
      <w:bookmarkEnd w:id="1"/>
      <w:r>
        <w:rPr>
          <w:rFonts w:ascii="Arial" w:hAnsi="Arial" w:cs="Arial"/>
        </w:rPr>
        <w:t>Australian Capital Territory</w:t>
      </w:r>
    </w:p>
    <w:p w14:paraId="766EA1D4" w14:textId="1223502D" w:rsidR="004857AD" w:rsidRPr="002144E4" w:rsidRDefault="004857AD" w:rsidP="004857AD">
      <w:pPr>
        <w:pStyle w:val="Billname"/>
        <w:spacing w:before="700"/>
      </w:pPr>
      <w:bookmarkStart w:id="2" w:name="_Hlk5805584"/>
      <w:r>
        <w:t xml:space="preserve">Senior Practitioner </w:t>
      </w:r>
      <w:bookmarkStart w:id="3" w:name="_Hlk5796358"/>
      <w:r>
        <w:t xml:space="preserve">(Positive Behaviour Support Plan) Guideline 2019 </w:t>
      </w:r>
      <w:r w:rsidRPr="00BE06D0">
        <w:t>(No </w:t>
      </w:r>
      <w:r w:rsidR="000577D6">
        <w:t>2</w:t>
      </w:r>
      <w:r w:rsidRPr="00BE06D0">
        <w:t>)</w:t>
      </w:r>
      <w:bookmarkEnd w:id="3"/>
    </w:p>
    <w:p w14:paraId="0D4329A5" w14:textId="7DEF9F35" w:rsidR="004857AD" w:rsidRPr="002144E4" w:rsidRDefault="004857AD" w:rsidP="004857AD">
      <w:pPr>
        <w:spacing w:before="240" w:after="60"/>
        <w:rPr>
          <w:rFonts w:cs="Arial"/>
          <w:b/>
          <w:bCs/>
          <w:vertAlign w:val="superscript"/>
        </w:rPr>
      </w:pPr>
      <w:r w:rsidRPr="002144E4">
        <w:rPr>
          <w:rFonts w:cs="Arial"/>
          <w:b/>
          <w:bCs/>
        </w:rPr>
        <w:t xml:space="preserve">Disallowable instrument </w:t>
      </w:r>
      <w:r>
        <w:rPr>
          <w:rFonts w:cs="Arial"/>
          <w:b/>
          <w:bCs/>
        </w:rPr>
        <w:t xml:space="preserve">– </w:t>
      </w:r>
      <w:r w:rsidRPr="00853009">
        <w:rPr>
          <w:rFonts w:cs="Arial"/>
          <w:b/>
          <w:bCs/>
        </w:rPr>
        <w:t>DI</w:t>
      </w:r>
      <w:r w:rsidR="00584569" w:rsidRPr="00853009">
        <w:rPr>
          <w:rFonts w:cs="Arial"/>
          <w:b/>
          <w:bCs/>
        </w:rPr>
        <w:t>2019</w:t>
      </w:r>
      <w:r w:rsidR="00853009">
        <w:rPr>
          <w:rFonts w:cs="Arial"/>
          <w:b/>
          <w:bCs/>
        </w:rPr>
        <w:t>-</w:t>
      </w:r>
      <w:r w:rsidR="00FC7CC3">
        <w:rPr>
          <w:rFonts w:cs="Arial"/>
          <w:b/>
          <w:bCs/>
        </w:rPr>
        <w:t>273</w:t>
      </w:r>
    </w:p>
    <w:p w14:paraId="64A15A82" w14:textId="77777777" w:rsidR="004857AD" w:rsidRPr="002144E4" w:rsidRDefault="004857AD" w:rsidP="004857AD">
      <w:pPr>
        <w:pStyle w:val="madeunder"/>
        <w:spacing w:before="240" w:after="120"/>
      </w:pPr>
      <w:r w:rsidRPr="002144E4">
        <w:t xml:space="preserve">made under the  </w:t>
      </w:r>
    </w:p>
    <w:p w14:paraId="1D1A1694" w14:textId="77777777" w:rsidR="004857AD" w:rsidRDefault="004857AD" w:rsidP="004857AD">
      <w:pPr>
        <w:pStyle w:val="CoverActName"/>
        <w:jc w:val="left"/>
        <w:rPr>
          <w:rFonts w:cs="Arial"/>
          <w:sz w:val="20"/>
        </w:rPr>
      </w:pPr>
      <w:bookmarkStart w:id="4" w:name="_Hlk5796483"/>
      <w:r>
        <w:rPr>
          <w:rFonts w:cs="Arial"/>
          <w:sz w:val="20"/>
        </w:rPr>
        <w:t>Senior Practitioner Act 2018</w:t>
      </w:r>
      <w:r w:rsidRPr="002144E4">
        <w:rPr>
          <w:rFonts w:cs="Arial"/>
          <w:sz w:val="20"/>
        </w:rPr>
        <w:t xml:space="preserve">, Section </w:t>
      </w:r>
      <w:r>
        <w:rPr>
          <w:rFonts w:cs="Arial"/>
          <w:sz w:val="20"/>
        </w:rPr>
        <w:t xml:space="preserve">12 </w:t>
      </w:r>
    </w:p>
    <w:bookmarkEnd w:id="2"/>
    <w:p w14:paraId="0CE0EE15" w14:textId="77777777" w:rsidR="004857AD" w:rsidRPr="002144E4" w:rsidRDefault="004857AD" w:rsidP="004857AD">
      <w:pPr>
        <w:pStyle w:val="CoverActName"/>
        <w:jc w:val="left"/>
      </w:pPr>
    </w:p>
    <w:p w14:paraId="2C1A4597" w14:textId="77777777" w:rsidR="00C17FAB" w:rsidRDefault="00C17FAB" w:rsidP="004857AD">
      <w:pPr>
        <w:spacing w:line="360" w:lineRule="auto"/>
        <w:ind w:right="565"/>
        <w:rPr>
          <w:rFonts w:ascii="Arial" w:hAnsi="Arial" w:cs="Arial"/>
          <w:b/>
          <w:bCs/>
          <w:sz w:val="28"/>
          <w:szCs w:val="28"/>
        </w:rPr>
      </w:pPr>
      <w:bookmarkStart w:id="5" w:name="_Hlk5800419"/>
      <w:bookmarkEnd w:id="4"/>
      <w:r>
        <w:rPr>
          <w:rFonts w:ascii="Arial" w:hAnsi="Arial" w:cs="Arial"/>
          <w:b/>
          <w:bCs/>
          <w:sz w:val="28"/>
          <w:szCs w:val="28"/>
        </w:rPr>
        <w:t>EXPLANATORY STATEMENT</w:t>
      </w:r>
    </w:p>
    <w:p w14:paraId="06EC80E9" w14:textId="77777777" w:rsidR="00C17FAB" w:rsidRDefault="00C17FAB">
      <w:pPr>
        <w:pStyle w:val="N-line3"/>
        <w:pBdr>
          <w:bottom w:val="none" w:sz="0" w:space="0" w:color="auto"/>
        </w:pBdr>
      </w:pPr>
    </w:p>
    <w:p w14:paraId="3A1A0FF6" w14:textId="77777777" w:rsidR="00C17FAB" w:rsidRDefault="00C17FAB" w:rsidP="003A07E3">
      <w:pPr>
        <w:pStyle w:val="N-line3"/>
        <w:pBdr>
          <w:top w:val="single" w:sz="12" w:space="6" w:color="auto"/>
          <w:bottom w:val="none" w:sz="0" w:space="0" w:color="auto"/>
        </w:pBdr>
      </w:pPr>
    </w:p>
    <w:bookmarkEnd w:id="0"/>
    <w:bookmarkEnd w:id="5"/>
    <w:p w14:paraId="14E31561" w14:textId="77777777" w:rsidR="004857AD" w:rsidRPr="004857AD" w:rsidRDefault="004857AD" w:rsidP="004857AD">
      <w:pPr>
        <w:rPr>
          <w:rFonts w:ascii="Arial" w:hAnsi="Arial"/>
          <w:szCs w:val="24"/>
          <w:lang w:eastAsia="en-AU"/>
        </w:rPr>
      </w:pPr>
    </w:p>
    <w:p w14:paraId="66B7E8E0" w14:textId="77777777" w:rsidR="004857AD" w:rsidRPr="004857AD" w:rsidRDefault="004857AD" w:rsidP="004857AD">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Introduction</w:t>
      </w:r>
    </w:p>
    <w:p w14:paraId="386DD3E2" w14:textId="77777777" w:rsidR="004857AD" w:rsidRPr="004857AD" w:rsidRDefault="004857AD" w:rsidP="004857AD">
      <w:pPr>
        <w:rPr>
          <w:rFonts w:ascii="Arial" w:hAnsi="Arial"/>
          <w:szCs w:val="24"/>
        </w:rPr>
      </w:pPr>
    </w:p>
    <w:p w14:paraId="68665E44" w14:textId="77777777" w:rsidR="004857AD" w:rsidRPr="004857AD" w:rsidRDefault="004857AD" w:rsidP="004857AD">
      <w:pPr>
        <w:rPr>
          <w:rFonts w:ascii="Arial" w:hAnsi="Arial"/>
          <w:szCs w:val="24"/>
        </w:rPr>
      </w:pPr>
      <w:r w:rsidRPr="004857AD">
        <w:rPr>
          <w:rFonts w:ascii="Arial" w:hAnsi="Arial"/>
          <w:szCs w:val="24"/>
        </w:rPr>
        <w:t xml:space="preserve">The </w:t>
      </w:r>
      <w:r w:rsidRPr="004857AD">
        <w:rPr>
          <w:rFonts w:ascii="Arial" w:hAnsi="Arial"/>
          <w:i/>
          <w:szCs w:val="24"/>
        </w:rPr>
        <w:t>Senior Practitioner Act 2018</w:t>
      </w:r>
      <w:r w:rsidRPr="004857AD">
        <w:rPr>
          <w:rFonts w:ascii="Arial" w:hAnsi="Arial"/>
          <w:szCs w:val="24"/>
        </w:rPr>
        <w:t xml:space="preserve"> (‘the Act’) provides a formal framework for the reduction and elimination of restrictive practices by service providers in the ACT. </w:t>
      </w:r>
    </w:p>
    <w:p w14:paraId="3A3B3663" w14:textId="77777777" w:rsidR="004857AD" w:rsidRPr="004857AD" w:rsidRDefault="004857AD" w:rsidP="004857AD">
      <w:pPr>
        <w:rPr>
          <w:rFonts w:ascii="Arial" w:hAnsi="Arial"/>
          <w:szCs w:val="24"/>
        </w:rPr>
      </w:pPr>
    </w:p>
    <w:p w14:paraId="0CA24C15" w14:textId="77777777" w:rsidR="004857AD" w:rsidRPr="004857AD" w:rsidRDefault="004857AD" w:rsidP="004857AD">
      <w:pPr>
        <w:rPr>
          <w:rFonts w:ascii="Arial" w:hAnsi="Arial"/>
          <w:szCs w:val="24"/>
          <w:lang w:val="en" w:eastAsia="en-AU"/>
        </w:rPr>
      </w:pPr>
      <w:r w:rsidRPr="004857AD">
        <w:rPr>
          <w:rFonts w:ascii="Arial" w:hAnsi="Arial"/>
          <w:szCs w:val="24"/>
        </w:rPr>
        <w:t xml:space="preserve">A ‘restrictive practice’ is defined under Section 7(1) of the Act to mean </w:t>
      </w:r>
      <w:r w:rsidRPr="004857AD">
        <w:rPr>
          <w:rFonts w:ascii="Arial" w:hAnsi="Arial"/>
          <w:szCs w:val="24"/>
          <w:lang w:val="en" w:eastAsia="en-AU"/>
        </w:rPr>
        <w:t>a practice that is used to restrict the rights or freedom of movement of a person for the primary purpose of protecting the person or others from harm. It includes:</w:t>
      </w:r>
    </w:p>
    <w:p w14:paraId="494D8C7B" w14:textId="77777777" w:rsidR="004857AD" w:rsidRPr="004857AD" w:rsidRDefault="004857AD" w:rsidP="005D43CA">
      <w:pPr>
        <w:numPr>
          <w:ilvl w:val="0"/>
          <w:numId w:val="12"/>
        </w:numPr>
        <w:autoSpaceDE w:val="0"/>
        <w:autoSpaceDN w:val="0"/>
        <w:adjustRightInd w:val="0"/>
        <w:spacing w:before="240"/>
        <w:ind w:left="714" w:hanging="357"/>
        <w:rPr>
          <w:rFonts w:ascii="Arial" w:hAnsi="Arial"/>
          <w:szCs w:val="24"/>
          <w:lang w:eastAsia="en-AU"/>
        </w:rPr>
      </w:pPr>
      <w:r w:rsidRPr="004857AD">
        <w:rPr>
          <w:rFonts w:ascii="Arial" w:hAnsi="Arial"/>
          <w:szCs w:val="24"/>
          <w:lang w:eastAsia="en-AU"/>
        </w:rPr>
        <w:t>chemical restraint;</w:t>
      </w:r>
    </w:p>
    <w:p w14:paraId="3F133622"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environmental restraint;</w:t>
      </w:r>
    </w:p>
    <w:p w14:paraId="5F107BF5"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mechanical restraint;</w:t>
      </w:r>
    </w:p>
    <w:p w14:paraId="16705C65"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physical restraint;</w:t>
      </w:r>
    </w:p>
    <w:p w14:paraId="6F9541DD" w14:textId="748FFE4F"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seclusion; or</w:t>
      </w:r>
    </w:p>
    <w:p w14:paraId="4C0CBDCF"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verbal directions, or gestural conduct, of a coercive nature</w:t>
      </w:r>
    </w:p>
    <w:p w14:paraId="1FDA983A" w14:textId="77777777" w:rsidR="004857AD" w:rsidRPr="004857AD" w:rsidRDefault="004857AD" w:rsidP="004857AD">
      <w:pPr>
        <w:rPr>
          <w:rFonts w:ascii="Arial" w:hAnsi="Arial"/>
          <w:szCs w:val="24"/>
        </w:rPr>
      </w:pPr>
    </w:p>
    <w:p w14:paraId="200E9D5F" w14:textId="0E019590" w:rsidR="004857AD" w:rsidRPr="004857AD" w:rsidRDefault="004857AD" w:rsidP="004857AD">
      <w:pPr>
        <w:rPr>
          <w:rFonts w:ascii="Arial" w:hAnsi="Arial"/>
          <w:szCs w:val="24"/>
        </w:rPr>
      </w:pPr>
      <w:r w:rsidRPr="004857AD">
        <w:rPr>
          <w:rFonts w:ascii="Arial" w:hAnsi="Arial"/>
          <w:szCs w:val="24"/>
        </w:rPr>
        <w:t>The Act enshrines the principle that providers should only use restrictive practices in very limited circumstances – as a last resort</w:t>
      </w:r>
      <w:r w:rsidR="00D21A4B">
        <w:rPr>
          <w:rFonts w:ascii="Arial" w:hAnsi="Arial"/>
          <w:szCs w:val="24"/>
        </w:rPr>
        <w:t>,</w:t>
      </w:r>
      <w:r w:rsidRPr="004857AD">
        <w:rPr>
          <w:rFonts w:ascii="Arial" w:hAnsi="Arial"/>
          <w:szCs w:val="24"/>
        </w:rPr>
        <w:t xml:space="preserve"> for the shortest period possible in the circumstances</w:t>
      </w:r>
      <w:r w:rsidR="00D21A4B">
        <w:rPr>
          <w:rFonts w:ascii="Arial" w:hAnsi="Arial"/>
          <w:szCs w:val="24"/>
        </w:rPr>
        <w:t>, and in the least restrictive way to prevent harm to the person or others</w:t>
      </w:r>
      <w:r w:rsidRPr="004857AD">
        <w:rPr>
          <w:rFonts w:ascii="Arial" w:hAnsi="Arial"/>
          <w:szCs w:val="24"/>
        </w:rPr>
        <w:t>.</w:t>
      </w:r>
    </w:p>
    <w:p w14:paraId="6BB8171B" w14:textId="77777777" w:rsidR="004857AD" w:rsidRPr="004857AD" w:rsidRDefault="004857AD" w:rsidP="004857AD">
      <w:pPr>
        <w:rPr>
          <w:rFonts w:ascii="Arial" w:hAnsi="Arial"/>
          <w:szCs w:val="24"/>
        </w:rPr>
      </w:pPr>
    </w:p>
    <w:p w14:paraId="105B5F99" w14:textId="77777777" w:rsidR="004857AD" w:rsidRDefault="004857AD" w:rsidP="004857AD">
      <w:pPr>
        <w:rPr>
          <w:rFonts w:ascii="Arial" w:hAnsi="Arial"/>
          <w:szCs w:val="24"/>
        </w:rPr>
      </w:pPr>
      <w:r w:rsidRPr="004857AD">
        <w:rPr>
          <w:rFonts w:ascii="Arial" w:hAnsi="Arial"/>
          <w:szCs w:val="24"/>
        </w:rPr>
        <w:t>The Act also provides an operational structure for the Senior Practitioner which reaffirms and strengthens the rights and responsibilities of vulnerable people, recognising that this requires support from across the government sector and within the community.</w:t>
      </w:r>
    </w:p>
    <w:p w14:paraId="1C6F1C91" w14:textId="77777777" w:rsidR="004857AD" w:rsidRPr="004857AD" w:rsidRDefault="004857AD" w:rsidP="004857AD">
      <w:pPr>
        <w:rPr>
          <w:rFonts w:ascii="Arial" w:hAnsi="Arial"/>
          <w:szCs w:val="24"/>
        </w:rPr>
      </w:pPr>
      <w:r>
        <w:rPr>
          <w:rFonts w:ascii="Arial" w:hAnsi="Arial"/>
          <w:szCs w:val="24"/>
        </w:rPr>
        <w:br w:type="page"/>
      </w:r>
    </w:p>
    <w:p w14:paraId="6DA7B20D" w14:textId="77777777" w:rsidR="004857AD" w:rsidRPr="004857AD" w:rsidRDefault="004857AD" w:rsidP="00097014">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lastRenderedPageBreak/>
        <w:t>To whom does the Act apply?</w:t>
      </w:r>
    </w:p>
    <w:p w14:paraId="55669295" w14:textId="77777777" w:rsidR="004857AD" w:rsidRPr="004857AD" w:rsidRDefault="004857AD" w:rsidP="004857AD">
      <w:pPr>
        <w:rPr>
          <w:rFonts w:ascii="Arial" w:hAnsi="Arial"/>
          <w:szCs w:val="24"/>
        </w:rPr>
      </w:pPr>
    </w:p>
    <w:p w14:paraId="5B1253B1" w14:textId="6DD36796" w:rsidR="004857AD" w:rsidRPr="004857AD" w:rsidRDefault="004857AD" w:rsidP="004857AD">
      <w:pPr>
        <w:rPr>
          <w:rFonts w:ascii="Arial" w:hAnsi="Arial"/>
          <w:szCs w:val="24"/>
        </w:rPr>
      </w:pPr>
      <w:r w:rsidRPr="004857AD">
        <w:rPr>
          <w:rFonts w:ascii="Arial" w:hAnsi="Arial"/>
          <w:szCs w:val="24"/>
        </w:rPr>
        <w:t>The Act is specifically aimed at regulating the use of restrictive practices by providers.</w:t>
      </w:r>
    </w:p>
    <w:p w14:paraId="692186EA" w14:textId="77777777" w:rsidR="004857AD" w:rsidRPr="004857AD" w:rsidRDefault="004857AD" w:rsidP="004857AD">
      <w:pPr>
        <w:rPr>
          <w:rFonts w:ascii="Arial" w:hAnsi="Arial"/>
          <w:szCs w:val="24"/>
        </w:rPr>
      </w:pPr>
    </w:p>
    <w:p w14:paraId="4641A223" w14:textId="02CCAF51" w:rsidR="004857AD" w:rsidRPr="004857AD" w:rsidRDefault="00F1569A" w:rsidP="004857AD">
      <w:pPr>
        <w:rPr>
          <w:rFonts w:ascii="Arial" w:hAnsi="Arial"/>
          <w:szCs w:val="24"/>
        </w:rPr>
      </w:pPr>
      <w:r>
        <w:rPr>
          <w:rFonts w:ascii="Arial" w:hAnsi="Arial"/>
          <w:szCs w:val="24"/>
        </w:rPr>
        <w:t xml:space="preserve">It applies to all </w:t>
      </w:r>
      <w:r w:rsidR="004857AD" w:rsidRPr="004857AD">
        <w:rPr>
          <w:rFonts w:ascii="Arial" w:hAnsi="Arial"/>
          <w:szCs w:val="24"/>
        </w:rPr>
        <w:t>persons or other entities who provide any of the following services to another person:</w:t>
      </w:r>
    </w:p>
    <w:p w14:paraId="5EF5FE77" w14:textId="77777777" w:rsidR="004857AD" w:rsidRPr="004857AD" w:rsidRDefault="004857AD" w:rsidP="005D43CA">
      <w:pPr>
        <w:numPr>
          <w:ilvl w:val="0"/>
          <w:numId w:val="12"/>
        </w:numPr>
        <w:autoSpaceDE w:val="0"/>
        <w:autoSpaceDN w:val="0"/>
        <w:adjustRightInd w:val="0"/>
        <w:spacing w:before="240"/>
        <w:ind w:left="714" w:hanging="357"/>
        <w:rPr>
          <w:rFonts w:ascii="Arial" w:hAnsi="Arial"/>
          <w:szCs w:val="24"/>
          <w:lang w:eastAsia="en-AU"/>
        </w:rPr>
      </w:pPr>
      <w:r w:rsidRPr="004857AD">
        <w:rPr>
          <w:rFonts w:ascii="Arial" w:hAnsi="Arial"/>
          <w:szCs w:val="24"/>
          <w:lang w:eastAsia="en-AU"/>
        </w:rPr>
        <w:t>education (including education and care);</w:t>
      </w:r>
    </w:p>
    <w:p w14:paraId="1E300EB3"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disability;</w:t>
      </w:r>
    </w:p>
    <w:p w14:paraId="34B098FC" w14:textId="7BD4281A"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care and protection of children;</w:t>
      </w:r>
      <w:r w:rsidR="00F1569A">
        <w:rPr>
          <w:rFonts w:ascii="Arial" w:hAnsi="Arial"/>
          <w:szCs w:val="24"/>
          <w:lang w:eastAsia="en-AU"/>
        </w:rPr>
        <w:t xml:space="preserve"> or</w:t>
      </w:r>
    </w:p>
    <w:p w14:paraId="75E9B89C"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a service prescribed by regulation.</w:t>
      </w:r>
    </w:p>
    <w:p w14:paraId="225C3A4D" w14:textId="77777777" w:rsidR="004857AD" w:rsidRPr="004857AD" w:rsidRDefault="004857AD" w:rsidP="004857AD">
      <w:pPr>
        <w:rPr>
          <w:rFonts w:ascii="Arial" w:hAnsi="Arial"/>
          <w:szCs w:val="24"/>
        </w:rPr>
      </w:pPr>
    </w:p>
    <w:p w14:paraId="473558BD" w14:textId="77777777" w:rsidR="004857AD" w:rsidRPr="004857AD" w:rsidRDefault="004857AD" w:rsidP="004857AD">
      <w:pPr>
        <w:rPr>
          <w:rFonts w:ascii="Arial" w:hAnsi="Arial"/>
          <w:szCs w:val="24"/>
        </w:rPr>
      </w:pPr>
      <w:r w:rsidRPr="004857AD">
        <w:rPr>
          <w:rFonts w:ascii="Arial" w:hAnsi="Arial"/>
          <w:szCs w:val="24"/>
        </w:rPr>
        <w:t>The legislation protects the rights of all individuals in the above settings, not just those with a disability.</w:t>
      </w:r>
    </w:p>
    <w:p w14:paraId="649A3069" w14:textId="77777777" w:rsidR="004857AD" w:rsidRPr="004857AD" w:rsidRDefault="004857AD" w:rsidP="004857AD">
      <w:pPr>
        <w:rPr>
          <w:rFonts w:ascii="Arial" w:hAnsi="Arial"/>
          <w:szCs w:val="24"/>
        </w:rPr>
      </w:pPr>
    </w:p>
    <w:p w14:paraId="0A401F9D" w14:textId="77777777" w:rsidR="004857AD" w:rsidRPr="004857AD" w:rsidRDefault="004857AD" w:rsidP="004857AD">
      <w:pPr>
        <w:rPr>
          <w:rFonts w:ascii="Arial" w:hAnsi="Arial"/>
          <w:szCs w:val="24"/>
        </w:rPr>
      </w:pPr>
      <w:r w:rsidRPr="004857AD">
        <w:rPr>
          <w:rFonts w:ascii="Arial" w:hAnsi="Arial"/>
          <w:szCs w:val="24"/>
        </w:rPr>
        <w:t>The influence and leadership of the Senior Practitioner will also drive cultural change across all sectors where restrictive practices may be an issue.</w:t>
      </w:r>
    </w:p>
    <w:p w14:paraId="590979FD" w14:textId="77777777" w:rsidR="004857AD" w:rsidRPr="004857AD" w:rsidRDefault="004857AD" w:rsidP="004857AD">
      <w:pPr>
        <w:rPr>
          <w:rFonts w:ascii="Arial" w:hAnsi="Arial"/>
          <w:szCs w:val="24"/>
        </w:rPr>
      </w:pPr>
    </w:p>
    <w:p w14:paraId="5B99C257" w14:textId="77777777" w:rsidR="004857AD" w:rsidRPr="004857AD" w:rsidRDefault="004857AD" w:rsidP="004857AD">
      <w:pPr>
        <w:keepNext/>
        <w:keepLines/>
        <w:spacing w:before="40" w:line="276" w:lineRule="auto"/>
        <w:ind w:left="426" w:hanging="360"/>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Purpose of this Guideline</w:t>
      </w:r>
    </w:p>
    <w:p w14:paraId="34C15EDE" w14:textId="77777777" w:rsidR="00B55F9E" w:rsidRDefault="00B55F9E" w:rsidP="004857AD">
      <w:pPr>
        <w:rPr>
          <w:rFonts w:ascii="Arial" w:hAnsi="Arial"/>
          <w:szCs w:val="24"/>
          <w:lang w:eastAsia="en-AU"/>
        </w:rPr>
      </w:pPr>
    </w:p>
    <w:p w14:paraId="79614DA0" w14:textId="6F3906FE" w:rsidR="004857AD" w:rsidRDefault="004857AD" w:rsidP="004857AD">
      <w:pPr>
        <w:rPr>
          <w:rFonts w:ascii="Arial" w:hAnsi="Arial"/>
          <w:szCs w:val="24"/>
        </w:rPr>
      </w:pPr>
      <w:r w:rsidRPr="004857AD">
        <w:rPr>
          <w:rFonts w:ascii="Arial" w:hAnsi="Arial"/>
          <w:szCs w:val="24"/>
          <w:lang w:eastAsia="en-AU"/>
        </w:rPr>
        <w:t xml:space="preserve">The Senior Practitioner is required to issue Guidelines about certain matters to assist providers to </w:t>
      </w:r>
      <w:r w:rsidRPr="004857AD">
        <w:rPr>
          <w:rFonts w:ascii="Arial" w:hAnsi="Arial"/>
          <w:szCs w:val="24"/>
        </w:rPr>
        <w:t>understand their responsibilities in relation to restrictive practices.</w:t>
      </w:r>
    </w:p>
    <w:p w14:paraId="79CE3F72" w14:textId="7864FE4F" w:rsidR="004C085F" w:rsidRDefault="004C085F" w:rsidP="004857AD">
      <w:pPr>
        <w:rPr>
          <w:rFonts w:ascii="Arial" w:hAnsi="Arial"/>
          <w:szCs w:val="24"/>
        </w:rPr>
      </w:pPr>
    </w:p>
    <w:p w14:paraId="3974B691" w14:textId="77777777" w:rsidR="004C085F" w:rsidRPr="004857AD" w:rsidRDefault="004C085F" w:rsidP="004C085F">
      <w:pPr>
        <w:rPr>
          <w:rFonts w:ascii="Arial" w:hAnsi="Arial"/>
          <w:szCs w:val="24"/>
        </w:rPr>
      </w:pPr>
      <w:r>
        <w:rPr>
          <w:rFonts w:ascii="Arial" w:hAnsi="Arial"/>
          <w:szCs w:val="24"/>
        </w:rPr>
        <w:t>Regulated restrictive practices are further defined at Appendix D of this Guideline.</w:t>
      </w:r>
    </w:p>
    <w:p w14:paraId="24EBF14E" w14:textId="77777777" w:rsidR="004857AD" w:rsidRPr="004857AD" w:rsidRDefault="004857AD" w:rsidP="004857AD">
      <w:pPr>
        <w:rPr>
          <w:rFonts w:ascii="Arial" w:hAnsi="Arial"/>
          <w:szCs w:val="24"/>
        </w:rPr>
      </w:pPr>
    </w:p>
    <w:p w14:paraId="0A9512AF" w14:textId="77777777" w:rsidR="004857AD" w:rsidRPr="004857AD" w:rsidRDefault="004857AD" w:rsidP="004857AD">
      <w:pPr>
        <w:rPr>
          <w:rFonts w:ascii="Arial" w:hAnsi="Arial"/>
          <w:szCs w:val="24"/>
          <w:lang w:eastAsia="en-AU"/>
        </w:rPr>
      </w:pPr>
      <w:r w:rsidRPr="004857AD">
        <w:rPr>
          <w:rFonts w:ascii="Arial" w:hAnsi="Arial"/>
          <w:szCs w:val="24"/>
          <w:lang w:eastAsia="en-AU"/>
        </w:rPr>
        <w:t>Section 12(1) of the Act states that the Senior Practitioner must issue a guideline in relation to Positive Behaviour Support (PBS) Plans, including:</w:t>
      </w:r>
    </w:p>
    <w:p w14:paraId="13FA72C8" w14:textId="77777777" w:rsidR="004857AD" w:rsidRPr="004857AD" w:rsidRDefault="004857AD" w:rsidP="005D43CA">
      <w:pPr>
        <w:numPr>
          <w:ilvl w:val="0"/>
          <w:numId w:val="12"/>
        </w:numPr>
        <w:autoSpaceDE w:val="0"/>
        <w:autoSpaceDN w:val="0"/>
        <w:adjustRightInd w:val="0"/>
        <w:spacing w:before="240"/>
        <w:ind w:left="714" w:hanging="357"/>
        <w:rPr>
          <w:rFonts w:ascii="Arial" w:hAnsi="Arial"/>
          <w:szCs w:val="24"/>
          <w:lang w:eastAsia="en-AU"/>
        </w:rPr>
      </w:pPr>
      <w:r w:rsidRPr="004857AD">
        <w:rPr>
          <w:rFonts w:ascii="Arial" w:hAnsi="Arial"/>
          <w:szCs w:val="24"/>
          <w:lang w:eastAsia="en-AU"/>
        </w:rPr>
        <w:t>the content of plans;</w:t>
      </w:r>
    </w:p>
    <w:p w14:paraId="0A1226C5"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the preparation of plans;</w:t>
      </w:r>
    </w:p>
    <w:p w14:paraId="75660B4F"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the assessment and approval of plans;</w:t>
      </w:r>
    </w:p>
    <w:p w14:paraId="66CCDB4B"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the review and amendment of plans; and</w:t>
      </w:r>
    </w:p>
    <w:p w14:paraId="5C05C75A"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 xml:space="preserve">notifying the Senior Practitioner about the use of restrictive practices under plans. </w:t>
      </w:r>
    </w:p>
    <w:p w14:paraId="64BDB23E" w14:textId="77777777" w:rsidR="004857AD" w:rsidRPr="004857AD" w:rsidRDefault="004857AD" w:rsidP="004857AD">
      <w:pPr>
        <w:rPr>
          <w:rFonts w:ascii="Arial" w:hAnsi="Arial"/>
          <w:szCs w:val="24"/>
          <w:lang w:eastAsia="en-AU"/>
        </w:rPr>
      </w:pPr>
    </w:p>
    <w:p w14:paraId="5C6BD99A" w14:textId="7A7CDCAD" w:rsidR="004857AD" w:rsidRDefault="004857AD" w:rsidP="004857AD">
      <w:pPr>
        <w:rPr>
          <w:rFonts w:ascii="Arial" w:hAnsi="Arial"/>
          <w:szCs w:val="24"/>
          <w:lang w:eastAsia="en-AU"/>
        </w:rPr>
      </w:pPr>
      <w:r w:rsidRPr="004857AD">
        <w:rPr>
          <w:rFonts w:ascii="Arial" w:hAnsi="Arial"/>
          <w:szCs w:val="24"/>
          <w:lang w:eastAsia="en-AU"/>
        </w:rPr>
        <w:t xml:space="preserve">While the Act prescribes the obligations and requirements of service providers, the </w:t>
      </w:r>
      <w:r w:rsidRPr="004857AD">
        <w:rPr>
          <w:rFonts w:ascii="Arial" w:hAnsi="Arial"/>
          <w:i/>
          <w:szCs w:val="24"/>
        </w:rPr>
        <w:t>Positive Behaviour Support Plan Guideline</w:t>
      </w:r>
      <w:r w:rsidRPr="004857AD">
        <w:rPr>
          <w:rFonts w:ascii="Arial" w:hAnsi="Arial"/>
          <w:szCs w:val="24"/>
        </w:rPr>
        <w:t xml:space="preserve"> has been issued as a further point of reference. It </w:t>
      </w:r>
      <w:r w:rsidR="00F1569A">
        <w:rPr>
          <w:rFonts w:ascii="Arial" w:hAnsi="Arial"/>
          <w:szCs w:val="24"/>
        </w:rPr>
        <w:t>defines</w:t>
      </w:r>
      <w:r w:rsidRPr="004857AD">
        <w:rPr>
          <w:rFonts w:ascii="Arial" w:hAnsi="Arial"/>
          <w:szCs w:val="24"/>
        </w:rPr>
        <w:t xml:space="preserve"> key terms</w:t>
      </w:r>
      <w:r w:rsidR="00F1569A">
        <w:rPr>
          <w:rFonts w:ascii="Arial" w:hAnsi="Arial"/>
          <w:szCs w:val="24"/>
        </w:rPr>
        <w:t xml:space="preserve"> </w:t>
      </w:r>
      <w:r w:rsidRPr="004857AD">
        <w:rPr>
          <w:rFonts w:ascii="Arial" w:hAnsi="Arial"/>
          <w:szCs w:val="24"/>
        </w:rPr>
        <w:t xml:space="preserve">and steps </w:t>
      </w:r>
      <w:r w:rsidR="00F1569A">
        <w:rPr>
          <w:rFonts w:ascii="Arial" w:hAnsi="Arial"/>
          <w:szCs w:val="24"/>
        </w:rPr>
        <w:t>through</w:t>
      </w:r>
      <w:r w:rsidRPr="004857AD">
        <w:rPr>
          <w:rFonts w:ascii="Arial" w:hAnsi="Arial"/>
          <w:szCs w:val="24"/>
        </w:rPr>
        <w:t xml:space="preserve"> the PBS planning process, as well as</w:t>
      </w:r>
      <w:r w:rsidRPr="004857AD">
        <w:rPr>
          <w:rFonts w:ascii="Arial" w:hAnsi="Arial"/>
          <w:szCs w:val="24"/>
          <w:lang w:eastAsia="en-AU"/>
        </w:rPr>
        <w:t xml:space="preserve"> optional templates that may assist providers to write a PBS Plan. </w:t>
      </w:r>
    </w:p>
    <w:p w14:paraId="50009147" w14:textId="77777777" w:rsidR="005D43CA" w:rsidRDefault="005D43CA" w:rsidP="005D43CA">
      <w:pPr>
        <w:keepNext/>
        <w:keepLines/>
        <w:spacing w:before="40" w:line="276" w:lineRule="auto"/>
        <w:outlineLvl w:val="1"/>
        <w:rPr>
          <w:rFonts w:ascii="Arial" w:hAnsi="Arial"/>
          <w:bCs/>
          <w:szCs w:val="24"/>
          <w:u w:val="single"/>
        </w:rPr>
      </w:pPr>
    </w:p>
    <w:p w14:paraId="25E76336" w14:textId="30D3FF94" w:rsidR="005D43CA" w:rsidRDefault="005D43CA" w:rsidP="005D43CA">
      <w:pPr>
        <w:keepNext/>
        <w:keepLines/>
        <w:spacing w:before="40" w:line="276" w:lineRule="auto"/>
        <w:outlineLvl w:val="1"/>
        <w:rPr>
          <w:rFonts w:ascii="Arial" w:hAnsi="Arial"/>
          <w:bCs/>
          <w:szCs w:val="24"/>
          <w:u w:val="single"/>
        </w:rPr>
      </w:pPr>
      <w:r>
        <w:rPr>
          <w:rFonts w:ascii="Arial" w:hAnsi="Arial"/>
          <w:bCs/>
          <w:szCs w:val="24"/>
          <w:u w:val="single"/>
        </w:rPr>
        <w:t>What’s new in this version of the Guideline?</w:t>
      </w:r>
    </w:p>
    <w:p w14:paraId="38D5CE15" w14:textId="77777777" w:rsidR="005D43CA" w:rsidRDefault="005D43CA" w:rsidP="005D43CA">
      <w:pPr>
        <w:rPr>
          <w:rFonts w:ascii="Arial" w:hAnsi="Arial"/>
          <w:szCs w:val="24"/>
          <w:lang w:eastAsia="en-AU"/>
        </w:rPr>
      </w:pPr>
    </w:p>
    <w:p w14:paraId="7D4FCFB2" w14:textId="77777777" w:rsidR="005D43CA" w:rsidRDefault="005D43CA" w:rsidP="005D43CA">
      <w:pPr>
        <w:rPr>
          <w:rFonts w:ascii="Arial" w:hAnsi="Arial"/>
          <w:szCs w:val="24"/>
          <w:lang w:eastAsia="en-AU"/>
        </w:rPr>
      </w:pPr>
      <w:r>
        <w:rPr>
          <w:rFonts w:ascii="Arial" w:hAnsi="Arial"/>
          <w:szCs w:val="24"/>
          <w:lang w:eastAsia="en-AU"/>
        </w:rPr>
        <w:t xml:space="preserve">This </w:t>
      </w:r>
      <w:r>
        <w:rPr>
          <w:rFonts w:ascii="Arial" w:hAnsi="Arial"/>
          <w:szCs w:val="24"/>
        </w:rPr>
        <w:t>Guideline</w:t>
      </w:r>
      <w:r>
        <w:rPr>
          <w:rFonts w:ascii="Arial" w:hAnsi="Arial"/>
          <w:szCs w:val="24"/>
          <w:lang w:eastAsia="en-AU"/>
        </w:rPr>
        <w:t xml:space="preserve"> has been updated to reflect a number of amendments to the Senior Practitioner Act 2018, which came into effect on 15 June 2019. </w:t>
      </w:r>
      <w:bookmarkStart w:id="6" w:name="_Hlk22549119"/>
    </w:p>
    <w:p w14:paraId="79DFD838" w14:textId="77777777" w:rsidR="005D43CA" w:rsidRDefault="005D43CA" w:rsidP="005D43CA">
      <w:pPr>
        <w:rPr>
          <w:rFonts w:ascii="Arial" w:hAnsi="Arial"/>
          <w:szCs w:val="24"/>
          <w:lang w:eastAsia="en-AU"/>
        </w:rPr>
      </w:pPr>
    </w:p>
    <w:p w14:paraId="1B76E697" w14:textId="77777777" w:rsidR="005D43CA" w:rsidRDefault="005D43CA" w:rsidP="005D43CA">
      <w:pPr>
        <w:rPr>
          <w:rFonts w:ascii="Arial" w:hAnsi="Arial"/>
          <w:szCs w:val="24"/>
          <w:lang w:eastAsia="en-AU"/>
        </w:rPr>
      </w:pPr>
      <w:r>
        <w:rPr>
          <w:rFonts w:ascii="Arial" w:hAnsi="Arial"/>
          <w:szCs w:val="24"/>
          <w:lang w:eastAsia="en-AU"/>
        </w:rPr>
        <w:t>The legislative changes ensure alignment with the National Disability Insurance Scheme (NDIS) National Quality and Safeguarding Framework and support a culture of openness of reporting and disclosure to the Senior Practitioner.</w:t>
      </w:r>
      <w:bookmarkEnd w:id="6"/>
      <w:r>
        <w:rPr>
          <w:rFonts w:ascii="Arial" w:hAnsi="Arial"/>
          <w:szCs w:val="24"/>
          <w:lang w:eastAsia="en-AU"/>
        </w:rPr>
        <w:t xml:space="preserve"> The amendments include: </w:t>
      </w:r>
    </w:p>
    <w:p w14:paraId="3B78E747" w14:textId="77777777" w:rsidR="005D43CA" w:rsidRDefault="005D43CA" w:rsidP="005D43CA">
      <w:pPr>
        <w:pStyle w:val="ListParagraph"/>
        <w:numPr>
          <w:ilvl w:val="0"/>
          <w:numId w:val="13"/>
        </w:numPr>
        <w:spacing w:before="240"/>
        <w:rPr>
          <w:rFonts w:ascii="Arial" w:hAnsi="Arial"/>
          <w:szCs w:val="24"/>
          <w:lang w:eastAsia="en-AU"/>
        </w:rPr>
      </w:pPr>
      <w:r>
        <w:rPr>
          <w:rFonts w:ascii="Arial" w:hAnsi="Arial"/>
          <w:szCs w:val="24"/>
          <w:lang w:eastAsia="en-AU"/>
        </w:rPr>
        <w:t>changing the definition of ‘chemical restraint’ to align with the NDIS Quality and Safeguarding Framework;</w:t>
      </w:r>
    </w:p>
    <w:p w14:paraId="284D6004" w14:textId="77777777" w:rsidR="005D43CA" w:rsidRDefault="005D43CA" w:rsidP="005D43CA">
      <w:pPr>
        <w:pStyle w:val="ListParagraph"/>
        <w:numPr>
          <w:ilvl w:val="0"/>
          <w:numId w:val="13"/>
        </w:numPr>
        <w:rPr>
          <w:rFonts w:ascii="Arial" w:hAnsi="Arial"/>
          <w:szCs w:val="24"/>
          <w:lang w:eastAsia="en-AU"/>
        </w:rPr>
      </w:pPr>
      <w:r>
        <w:rPr>
          <w:rFonts w:ascii="Arial" w:hAnsi="Arial"/>
          <w:szCs w:val="24"/>
          <w:lang w:eastAsia="en-AU"/>
        </w:rPr>
        <w:t>addressing the use of a restrictive practice outside of a registered positive behaviour support plan where use of the restrictive practice is reasonably believed to be necessary to avoid imminent harm;</w:t>
      </w:r>
    </w:p>
    <w:p w14:paraId="3B694F65" w14:textId="77777777" w:rsidR="005D43CA" w:rsidRDefault="005D43CA" w:rsidP="005D43CA">
      <w:pPr>
        <w:pStyle w:val="ListParagraph"/>
        <w:numPr>
          <w:ilvl w:val="0"/>
          <w:numId w:val="13"/>
        </w:numPr>
        <w:rPr>
          <w:rFonts w:ascii="Arial" w:hAnsi="Arial"/>
          <w:szCs w:val="24"/>
          <w:lang w:eastAsia="en-AU"/>
        </w:rPr>
      </w:pPr>
      <w:r>
        <w:rPr>
          <w:rFonts w:ascii="Arial" w:hAnsi="Arial"/>
          <w:szCs w:val="24"/>
          <w:lang w:eastAsia="en-AU"/>
        </w:rPr>
        <w:t xml:space="preserve">amending applicable penalties to make allowance for the use of a restrictive practice outside of a registered positive behaviour support plan in the circumstances detailed above; </w:t>
      </w:r>
    </w:p>
    <w:p w14:paraId="5217BCA4" w14:textId="77777777" w:rsidR="005D43CA" w:rsidRDefault="005D43CA" w:rsidP="005D43CA">
      <w:pPr>
        <w:pStyle w:val="ListParagraph"/>
        <w:numPr>
          <w:ilvl w:val="0"/>
          <w:numId w:val="13"/>
        </w:numPr>
        <w:rPr>
          <w:rFonts w:ascii="Arial" w:hAnsi="Arial"/>
          <w:szCs w:val="24"/>
          <w:lang w:eastAsia="en-AU"/>
        </w:rPr>
      </w:pPr>
      <w:r>
        <w:rPr>
          <w:rFonts w:ascii="Arial" w:hAnsi="Arial"/>
          <w:szCs w:val="24"/>
          <w:lang w:eastAsia="en-AU"/>
        </w:rPr>
        <w:t>extending the timeframe for the commencement of offences from 1 July 2019 to 1 July 2020; and</w:t>
      </w:r>
    </w:p>
    <w:p w14:paraId="73ACCF71" w14:textId="77777777" w:rsidR="005D43CA" w:rsidRDefault="005D43CA" w:rsidP="005D43CA">
      <w:pPr>
        <w:pStyle w:val="ListParagraph"/>
        <w:numPr>
          <w:ilvl w:val="0"/>
          <w:numId w:val="13"/>
        </w:numPr>
        <w:rPr>
          <w:rFonts w:ascii="Arial" w:hAnsi="Arial"/>
          <w:szCs w:val="24"/>
          <w:lang w:eastAsia="en-AU"/>
        </w:rPr>
      </w:pPr>
      <w:r>
        <w:rPr>
          <w:rFonts w:ascii="Arial" w:hAnsi="Arial"/>
          <w:szCs w:val="24"/>
          <w:lang w:eastAsia="en-AU"/>
        </w:rPr>
        <w:t xml:space="preserve">adding the NDIS National Quality and Safeguards Commission as an entity to which the Senior Practitioner may provide information. </w:t>
      </w:r>
    </w:p>
    <w:p w14:paraId="232ADB3A" w14:textId="77777777" w:rsidR="005D43CA" w:rsidRPr="004857AD" w:rsidRDefault="005D43CA" w:rsidP="004857AD">
      <w:pPr>
        <w:rPr>
          <w:rFonts w:ascii="Arial" w:hAnsi="Arial"/>
          <w:szCs w:val="24"/>
          <w:lang w:eastAsia="en-AU"/>
        </w:rPr>
      </w:pPr>
    </w:p>
    <w:p w14:paraId="6379487E" w14:textId="4D8C9FDB" w:rsidR="004857AD" w:rsidRPr="004857AD" w:rsidRDefault="004857AD" w:rsidP="00D875F9">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Service provider responsibilities under the Act</w:t>
      </w:r>
    </w:p>
    <w:p w14:paraId="3EDEE9D5" w14:textId="77777777" w:rsidR="004857AD" w:rsidRPr="004857AD" w:rsidRDefault="004857AD" w:rsidP="004857AD">
      <w:pPr>
        <w:rPr>
          <w:rFonts w:ascii="Arial" w:hAnsi="Arial"/>
          <w:bCs/>
          <w:szCs w:val="24"/>
          <w:u w:val="single"/>
        </w:rPr>
      </w:pPr>
    </w:p>
    <w:p w14:paraId="08BD64FA" w14:textId="77777777" w:rsidR="004857AD" w:rsidRPr="004857AD" w:rsidRDefault="004857AD" w:rsidP="004857AD">
      <w:pPr>
        <w:rPr>
          <w:rFonts w:ascii="Arial" w:hAnsi="Arial"/>
          <w:szCs w:val="24"/>
          <w:u w:val="single"/>
        </w:rPr>
      </w:pPr>
      <w:r w:rsidRPr="004857AD">
        <w:rPr>
          <w:rFonts w:ascii="Arial" w:hAnsi="Arial"/>
          <w:bCs/>
          <w:szCs w:val="24"/>
          <w:u w:val="single"/>
        </w:rPr>
        <w:t>To ensure restrictive practices are used in accordance with a registered PBS Plan for the person</w:t>
      </w:r>
    </w:p>
    <w:p w14:paraId="64D78111" w14:textId="77777777" w:rsidR="004857AD" w:rsidRPr="004857AD" w:rsidRDefault="004857AD" w:rsidP="004857AD">
      <w:pPr>
        <w:rPr>
          <w:rFonts w:ascii="Arial" w:hAnsi="Arial"/>
          <w:szCs w:val="24"/>
        </w:rPr>
      </w:pPr>
    </w:p>
    <w:p w14:paraId="7D0C7FCC" w14:textId="715AD588" w:rsidR="00F1569A" w:rsidRDefault="004857AD" w:rsidP="004857AD">
      <w:pPr>
        <w:rPr>
          <w:rFonts w:ascii="Arial" w:hAnsi="Arial"/>
          <w:szCs w:val="24"/>
        </w:rPr>
      </w:pPr>
      <w:r w:rsidRPr="004857AD">
        <w:rPr>
          <w:rFonts w:ascii="Arial" w:hAnsi="Arial"/>
          <w:szCs w:val="24"/>
        </w:rPr>
        <w:t xml:space="preserve">Under </w:t>
      </w:r>
      <w:r w:rsidR="00F1569A">
        <w:rPr>
          <w:rFonts w:ascii="Arial" w:hAnsi="Arial"/>
          <w:szCs w:val="24"/>
        </w:rPr>
        <w:t xml:space="preserve">Section 10 of </w:t>
      </w:r>
      <w:r w:rsidRPr="004857AD">
        <w:rPr>
          <w:rFonts w:ascii="Arial" w:hAnsi="Arial"/>
          <w:szCs w:val="24"/>
        </w:rPr>
        <w:t xml:space="preserve">the Act, a provider must not use a restrictive practice on a person other than in accordance with a PBS Plan that has been approved by a registered PBS Panel (see Section 14) and registered by the Senior Practitioner (see Section 15). </w:t>
      </w:r>
    </w:p>
    <w:p w14:paraId="62F5D5B0" w14:textId="77777777" w:rsidR="004C085F" w:rsidRDefault="004C085F" w:rsidP="004857AD">
      <w:pPr>
        <w:rPr>
          <w:rFonts w:ascii="Arial" w:hAnsi="Arial"/>
          <w:szCs w:val="24"/>
        </w:rPr>
      </w:pPr>
    </w:p>
    <w:p w14:paraId="44BEBCC4" w14:textId="1B172BBE" w:rsidR="00F1569A" w:rsidRDefault="00F1569A" w:rsidP="004857AD">
      <w:pPr>
        <w:rPr>
          <w:rFonts w:ascii="Arial" w:hAnsi="Arial"/>
          <w:szCs w:val="24"/>
        </w:rPr>
      </w:pPr>
      <w:r>
        <w:rPr>
          <w:rFonts w:ascii="Arial" w:hAnsi="Arial"/>
          <w:szCs w:val="24"/>
        </w:rPr>
        <w:t>A restrictive practice can only be used outside of a registered PBS Plan in certain emergency situations, when the provider or relevant person for the provider believes on reasonable grounds that is necessary to avoid imminent harm to the person or others (Section 10(b)).</w:t>
      </w:r>
    </w:p>
    <w:p w14:paraId="1A70B84B" w14:textId="77777777" w:rsidR="00F1569A" w:rsidRDefault="00F1569A" w:rsidP="004857AD">
      <w:pPr>
        <w:rPr>
          <w:rFonts w:ascii="Arial" w:hAnsi="Arial"/>
          <w:szCs w:val="24"/>
        </w:rPr>
      </w:pPr>
    </w:p>
    <w:p w14:paraId="79226F2E" w14:textId="78BD9451" w:rsidR="00D21A4B" w:rsidRDefault="004857AD" w:rsidP="004857AD">
      <w:pPr>
        <w:rPr>
          <w:rFonts w:ascii="Arial" w:hAnsi="Arial"/>
          <w:szCs w:val="24"/>
        </w:rPr>
      </w:pPr>
      <w:r>
        <w:rPr>
          <w:rFonts w:ascii="Arial" w:hAnsi="Arial"/>
          <w:szCs w:val="24"/>
        </w:rPr>
        <w:t>This</w:t>
      </w:r>
      <w:r w:rsidRPr="004857AD">
        <w:rPr>
          <w:rFonts w:ascii="Arial" w:hAnsi="Arial"/>
          <w:szCs w:val="24"/>
        </w:rPr>
        <w:t xml:space="preserve"> Guideline provides a step-by-step process for PBS Plans that include a restrictive practice.</w:t>
      </w:r>
    </w:p>
    <w:p w14:paraId="42262080" w14:textId="77777777" w:rsidR="004857AD" w:rsidRPr="004857AD" w:rsidRDefault="004857AD" w:rsidP="004857AD">
      <w:pPr>
        <w:rPr>
          <w:rFonts w:ascii="Arial" w:hAnsi="Arial"/>
          <w:szCs w:val="24"/>
          <w:lang w:eastAsia="en-AU"/>
        </w:rPr>
      </w:pPr>
    </w:p>
    <w:p w14:paraId="4BB9AA96" w14:textId="77777777" w:rsidR="004857AD" w:rsidRPr="004857AD" w:rsidRDefault="004857AD" w:rsidP="004857AD">
      <w:pPr>
        <w:rPr>
          <w:rFonts w:ascii="Arial" w:hAnsi="Arial"/>
          <w:szCs w:val="24"/>
          <w:u w:val="single"/>
        </w:rPr>
      </w:pPr>
      <w:r w:rsidRPr="004857AD">
        <w:rPr>
          <w:rFonts w:ascii="Arial" w:hAnsi="Arial"/>
          <w:bCs/>
          <w:szCs w:val="24"/>
          <w:u w:val="single"/>
        </w:rPr>
        <w:t>To have a plan approved by a registered Positive Behaviour Support (PBS) Panel</w:t>
      </w:r>
    </w:p>
    <w:p w14:paraId="2CD21F66" w14:textId="77777777" w:rsidR="004857AD" w:rsidRPr="004857AD" w:rsidRDefault="004857AD" w:rsidP="004857AD">
      <w:pPr>
        <w:rPr>
          <w:rFonts w:ascii="Arial" w:hAnsi="Arial"/>
          <w:szCs w:val="24"/>
        </w:rPr>
      </w:pPr>
    </w:p>
    <w:p w14:paraId="140B5CE8" w14:textId="77777777" w:rsidR="004857AD" w:rsidRPr="004857AD" w:rsidRDefault="004857AD" w:rsidP="004857AD">
      <w:pPr>
        <w:rPr>
          <w:rFonts w:ascii="Arial" w:hAnsi="Arial"/>
          <w:szCs w:val="24"/>
        </w:rPr>
      </w:pPr>
      <w:r w:rsidRPr="004857AD">
        <w:rPr>
          <w:rFonts w:ascii="Arial" w:hAnsi="Arial"/>
          <w:szCs w:val="24"/>
        </w:rPr>
        <w:t>This Guideline provides detailed guidance for service providers about the principles of positive behaviour support and how to write a PBS Plan.</w:t>
      </w:r>
    </w:p>
    <w:p w14:paraId="12F7E363" w14:textId="77777777" w:rsidR="004857AD" w:rsidRPr="004857AD" w:rsidRDefault="004857AD" w:rsidP="004857AD">
      <w:pPr>
        <w:rPr>
          <w:rFonts w:ascii="Arial" w:hAnsi="Arial"/>
          <w:szCs w:val="24"/>
        </w:rPr>
      </w:pPr>
    </w:p>
    <w:p w14:paraId="4ADAFBCB" w14:textId="77777777" w:rsidR="004857AD" w:rsidRPr="004857AD" w:rsidRDefault="004857AD" w:rsidP="004857AD">
      <w:pPr>
        <w:rPr>
          <w:rFonts w:ascii="Arial" w:hAnsi="Arial"/>
          <w:szCs w:val="24"/>
        </w:rPr>
      </w:pPr>
      <w:r w:rsidRPr="004857AD">
        <w:rPr>
          <w:rFonts w:ascii="Arial" w:hAnsi="Arial"/>
          <w:szCs w:val="24"/>
        </w:rPr>
        <w:t xml:space="preserve">The role of PBS Panels, the process for having Plans approved, and information on how to register a Panel are matters described in </w:t>
      </w:r>
      <w:r w:rsidRPr="004857AD">
        <w:rPr>
          <w:rFonts w:ascii="Arial" w:hAnsi="Arial"/>
          <w:i/>
          <w:szCs w:val="24"/>
        </w:rPr>
        <w:t>Positive Behaviour Support Panel Guideline</w:t>
      </w:r>
      <w:r w:rsidRPr="004857AD">
        <w:rPr>
          <w:rFonts w:ascii="Arial" w:hAnsi="Arial"/>
          <w:szCs w:val="24"/>
        </w:rPr>
        <w:t xml:space="preserve">, issued under Section 21(1) of the Act. </w:t>
      </w:r>
    </w:p>
    <w:p w14:paraId="4DFA88BE" w14:textId="77777777" w:rsidR="004857AD" w:rsidRPr="004857AD" w:rsidRDefault="004857AD" w:rsidP="004857AD">
      <w:pPr>
        <w:rPr>
          <w:rFonts w:ascii="Arial" w:hAnsi="Arial"/>
          <w:b/>
          <w:bCs/>
          <w:szCs w:val="24"/>
        </w:rPr>
      </w:pPr>
    </w:p>
    <w:p w14:paraId="7278C417" w14:textId="77777777" w:rsidR="005D43CA" w:rsidRDefault="005D43CA">
      <w:pPr>
        <w:rPr>
          <w:rFonts w:ascii="Arial" w:hAnsi="Arial"/>
          <w:bCs/>
          <w:szCs w:val="24"/>
          <w:u w:val="single"/>
        </w:rPr>
      </w:pPr>
      <w:r>
        <w:rPr>
          <w:rFonts w:ascii="Arial" w:hAnsi="Arial"/>
          <w:bCs/>
          <w:szCs w:val="24"/>
          <w:u w:val="single"/>
        </w:rPr>
        <w:br w:type="page"/>
      </w:r>
    </w:p>
    <w:p w14:paraId="1F5CAD61" w14:textId="5BFC2087" w:rsidR="004857AD" w:rsidRPr="004857AD" w:rsidRDefault="004857AD" w:rsidP="004857AD">
      <w:pPr>
        <w:rPr>
          <w:rFonts w:ascii="Arial" w:hAnsi="Arial"/>
          <w:szCs w:val="24"/>
          <w:u w:val="single"/>
        </w:rPr>
      </w:pPr>
      <w:r w:rsidRPr="004857AD">
        <w:rPr>
          <w:rFonts w:ascii="Arial" w:hAnsi="Arial"/>
          <w:bCs/>
          <w:szCs w:val="24"/>
          <w:u w:val="single"/>
        </w:rPr>
        <w:lastRenderedPageBreak/>
        <w:t>To report all uses of a restrictive practice to the Senior Practitioner</w:t>
      </w:r>
    </w:p>
    <w:p w14:paraId="4174193C" w14:textId="77777777" w:rsidR="004857AD" w:rsidRPr="004857AD" w:rsidRDefault="004857AD" w:rsidP="004857AD">
      <w:pPr>
        <w:rPr>
          <w:rFonts w:ascii="Arial" w:hAnsi="Arial"/>
          <w:szCs w:val="24"/>
        </w:rPr>
      </w:pPr>
    </w:p>
    <w:p w14:paraId="1DF8F914" w14:textId="77777777" w:rsidR="004857AD" w:rsidRPr="004857AD" w:rsidRDefault="004857AD" w:rsidP="004857AD">
      <w:pPr>
        <w:rPr>
          <w:rFonts w:ascii="Arial" w:hAnsi="Arial"/>
          <w:szCs w:val="24"/>
        </w:rPr>
      </w:pPr>
      <w:r w:rsidRPr="004857AD">
        <w:rPr>
          <w:rFonts w:ascii="Arial" w:hAnsi="Arial"/>
          <w:szCs w:val="24"/>
        </w:rPr>
        <w:t>Under the Act, service providers must report all uses of a restrictive practice to the Senior Practitioner, whether there is a PBS Plan in place for the person or not. The functions and powers of the Senior Practitioner will be supported by the collection and reporting of key data on the use of restrictive practices over time.</w:t>
      </w:r>
    </w:p>
    <w:p w14:paraId="7378256A" w14:textId="77777777" w:rsidR="004857AD" w:rsidRPr="004857AD" w:rsidRDefault="004857AD" w:rsidP="004857AD">
      <w:pPr>
        <w:rPr>
          <w:rFonts w:ascii="Arial" w:hAnsi="Arial"/>
          <w:szCs w:val="24"/>
        </w:rPr>
      </w:pPr>
    </w:p>
    <w:p w14:paraId="634059B4" w14:textId="77777777" w:rsidR="00D875F9" w:rsidRDefault="004857AD" w:rsidP="00097014">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Principles of Positive Behaviour Support</w:t>
      </w:r>
    </w:p>
    <w:p w14:paraId="36BE3485" w14:textId="77777777" w:rsidR="00D875F9" w:rsidRPr="004857AD" w:rsidRDefault="00D875F9" w:rsidP="00D875F9">
      <w:pPr>
        <w:rPr>
          <w:rFonts w:eastAsiaTheme="majorEastAsia"/>
        </w:rPr>
      </w:pPr>
    </w:p>
    <w:p w14:paraId="39F19BE6" w14:textId="77777777" w:rsidR="004857AD" w:rsidRPr="004857AD" w:rsidRDefault="004857AD" w:rsidP="004857AD">
      <w:pPr>
        <w:shd w:val="clear" w:color="auto" w:fill="FFFFFF"/>
        <w:rPr>
          <w:rFonts w:ascii="Arial" w:hAnsi="Arial"/>
          <w:szCs w:val="24"/>
        </w:rPr>
      </w:pPr>
      <w:r w:rsidRPr="004857AD">
        <w:rPr>
          <w:rFonts w:ascii="Arial" w:hAnsi="Arial"/>
          <w:szCs w:val="24"/>
        </w:rPr>
        <w:t>The Guideline outlines the principles of Positive Behaviour Support (PBS). PBS is the key strategy identified in the Act to guide the development of a Plan to address behaviours of concern in the least restrictive way possible.</w:t>
      </w:r>
    </w:p>
    <w:p w14:paraId="04F68845" w14:textId="77777777" w:rsidR="004857AD" w:rsidRPr="004857AD" w:rsidRDefault="004857AD" w:rsidP="004857AD">
      <w:pPr>
        <w:shd w:val="clear" w:color="auto" w:fill="FFFFFF"/>
        <w:rPr>
          <w:rFonts w:ascii="Arial" w:hAnsi="Arial"/>
          <w:szCs w:val="24"/>
        </w:rPr>
      </w:pPr>
    </w:p>
    <w:p w14:paraId="00D67E03" w14:textId="77777777" w:rsidR="004857AD" w:rsidRPr="004857AD" w:rsidRDefault="004857AD" w:rsidP="004857AD">
      <w:pPr>
        <w:rPr>
          <w:rFonts w:ascii="Arial" w:hAnsi="Arial"/>
          <w:szCs w:val="24"/>
        </w:rPr>
      </w:pPr>
      <w:r w:rsidRPr="004857AD">
        <w:rPr>
          <w:rFonts w:ascii="Arial" w:hAnsi="Arial"/>
          <w:szCs w:val="24"/>
        </w:rPr>
        <w:t>The Guideline highlights the following key elements of PBS:</w:t>
      </w:r>
    </w:p>
    <w:p w14:paraId="3FACDC62" w14:textId="0C13AD96" w:rsidR="004857AD" w:rsidRPr="004857AD" w:rsidRDefault="004857AD" w:rsidP="005D43CA">
      <w:pPr>
        <w:numPr>
          <w:ilvl w:val="0"/>
          <w:numId w:val="12"/>
        </w:numPr>
        <w:autoSpaceDE w:val="0"/>
        <w:autoSpaceDN w:val="0"/>
        <w:adjustRightInd w:val="0"/>
        <w:spacing w:before="240"/>
        <w:ind w:left="714" w:hanging="357"/>
        <w:rPr>
          <w:rFonts w:ascii="Arial" w:hAnsi="Arial"/>
          <w:szCs w:val="24"/>
          <w:lang w:eastAsia="en-AU"/>
        </w:rPr>
      </w:pPr>
      <w:r w:rsidRPr="004857AD">
        <w:rPr>
          <w:rFonts w:ascii="Arial" w:hAnsi="Arial"/>
          <w:b/>
          <w:szCs w:val="24"/>
          <w:lang w:eastAsia="en-AU"/>
        </w:rPr>
        <w:t>Person-centred:</w:t>
      </w:r>
      <w:r w:rsidRPr="004857AD">
        <w:rPr>
          <w:rFonts w:ascii="Arial" w:hAnsi="Arial"/>
          <w:szCs w:val="24"/>
          <w:lang w:eastAsia="en-AU"/>
        </w:rPr>
        <w:t xml:space="preserve"> ensuring the person’s (or child’s) life goals are at the centre of the process</w:t>
      </w:r>
      <w:r w:rsidR="004C085F">
        <w:rPr>
          <w:rFonts w:ascii="Arial" w:hAnsi="Arial"/>
          <w:szCs w:val="24"/>
          <w:lang w:eastAsia="en-AU"/>
        </w:rPr>
        <w:t>.</w:t>
      </w:r>
    </w:p>
    <w:p w14:paraId="658F6448" w14:textId="69F71580"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a Partnership:</w:t>
      </w:r>
      <w:r w:rsidRPr="004857AD">
        <w:rPr>
          <w:rFonts w:ascii="Arial" w:hAnsi="Arial"/>
          <w:szCs w:val="24"/>
          <w:lang w:eastAsia="en-AU"/>
        </w:rPr>
        <w:t xml:space="preserve"> collaborating with the person and all key stakeholders shapes the process of change</w:t>
      </w:r>
      <w:r w:rsidR="004C085F">
        <w:rPr>
          <w:rFonts w:ascii="Arial" w:hAnsi="Arial"/>
          <w:szCs w:val="24"/>
          <w:lang w:eastAsia="en-AU"/>
        </w:rPr>
        <w:t>.</w:t>
      </w:r>
    </w:p>
    <w:p w14:paraId="49070ACD" w14:textId="4700D0AD"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Planned:</w:t>
      </w:r>
      <w:r w:rsidRPr="004857AD">
        <w:rPr>
          <w:rFonts w:ascii="Arial" w:hAnsi="Arial"/>
          <w:szCs w:val="24"/>
          <w:lang w:eastAsia="en-AU"/>
        </w:rPr>
        <w:t xml:space="preserve"> creating a clear document to ensure shared understandings and accountability</w:t>
      </w:r>
      <w:r w:rsidR="004C085F">
        <w:rPr>
          <w:rFonts w:ascii="Arial" w:hAnsi="Arial"/>
          <w:szCs w:val="24"/>
          <w:lang w:eastAsia="en-AU"/>
        </w:rPr>
        <w:t>.</w:t>
      </w:r>
    </w:p>
    <w:p w14:paraId="2E3642D9" w14:textId="05525C63"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Positive:</w:t>
      </w:r>
      <w:r w:rsidRPr="004857AD">
        <w:rPr>
          <w:rFonts w:ascii="Arial" w:hAnsi="Arial"/>
          <w:szCs w:val="24"/>
          <w:lang w:eastAsia="en-AU"/>
        </w:rPr>
        <w:t xml:space="preserve"> focusing on preventative, rather than reactive, strategies</w:t>
      </w:r>
      <w:r w:rsidR="004C085F">
        <w:rPr>
          <w:rFonts w:ascii="Arial" w:hAnsi="Arial"/>
          <w:szCs w:val="24"/>
          <w:lang w:eastAsia="en-AU"/>
        </w:rPr>
        <w:t>.</w:t>
      </w:r>
      <w:r w:rsidRPr="004857AD">
        <w:rPr>
          <w:rFonts w:ascii="Arial" w:hAnsi="Arial"/>
          <w:szCs w:val="24"/>
          <w:lang w:eastAsia="en-AU"/>
        </w:rPr>
        <w:t xml:space="preserve"> </w:t>
      </w:r>
    </w:p>
    <w:p w14:paraId="72AF59A4" w14:textId="43AEE5C8"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Proactive:</w:t>
      </w:r>
      <w:r w:rsidRPr="004857AD">
        <w:rPr>
          <w:rFonts w:ascii="Arial" w:hAnsi="Arial"/>
          <w:szCs w:val="24"/>
          <w:lang w:eastAsia="en-AU"/>
        </w:rPr>
        <w:t xml:space="preserve"> placing the responsibility for changing behaviour on both the person and their supporters</w:t>
      </w:r>
      <w:r w:rsidR="004C085F">
        <w:rPr>
          <w:rFonts w:ascii="Arial" w:hAnsi="Arial"/>
          <w:szCs w:val="24"/>
          <w:lang w:eastAsia="en-AU"/>
        </w:rPr>
        <w:t>.</w:t>
      </w:r>
    </w:p>
    <w:p w14:paraId="4C0EEE79" w14:textId="27B1FCC1"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Purposeful:</w:t>
      </w:r>
      <w:r w:rsidRPr="004857AD">
        <w:rPr>
          <w:rFonts w:ascii="Arial" w:hAnsi="Arial"/>
          <w:szCs w:val="24"/>
          <w:lang w:eastAsia="en-AU"/>
        </w:rPr>
        <w:t xml:space="preserve"> using a functional </w:t>
      </w:r>
      <w:r w:rsidR="00D875F9">
        <w:rPr>
          <w:rFonts w:ascii="Arial" w:hAnsi="Arial"/>
          <w:szCs w:val="24"/>
          <w:lang w:eastAsia="en-AU"/>
        </w:rPr>
        <w:t xml:space="preserve">behavioural </w:t>
      </w:r>
      <w:r w:rsidRPr="004857AD">
        <w:rPr>
          <w:rFonts w:ascii="Arial" w:hAnsi="Arial"/>
          <w:szCs w:val="24"/>
          <w:lang w:eastAsia="en-AU"/>
        </w:rPr>
        <w:t>assessment approach to identify the reason for the behaviour</w:t>
      </w:r>
      <w:r w:rsidR="004C085F">
        <w:rPr>
          <w:rFonts w:ascii="Arial" w:hAnsi="Arial"/>
          <w:szCs w:val="24"/>
          <w:lang w:eastAsia="en-AU"/>
        </w:rPr>
        <w:t>.</w:t>
      </w:r>
    </w:p>
    <w:p w14:paraId="73DF8892" w14:textId="77777777" w:rsidR="004857AD" w:rsidRPr="004857AD" w:rsidRDefault="004857AD" w:rsidP="004857AD">
      <w:pPr>
        <w:numPr>
          <w:ilvl w:val="0"/>
          <w:numId w:val="12"/>
        </w:numPr>
        <w:autoSpaceDE w:val="0"/>
        <w:autoSpaceDN w:val="0"/>
        <w:adjustRightInd w:val="0"/>
        <w:ind w:left="714" w:hanging="357"/>
        <w:rPr>
          <w:rFonts w:ascii="Arial" w:hAnsi="Arial"/>
          <w:szCs w:val="24"/>
          <w:lang w:eastAsia="en-AU"/>
        </w:rPr>
      </w:pPr>
      <w:r w:rsidRPr="004857AD">
        <w:rPr>
          <w:rFonts w:ascii="Arial" w:hAnsi="Arial"/>
          <w:b/>
          <w:szCs w:val="24"/>
          <w:lang w:eastAsia="en-AU"/>
        </w:rPr>
        <w:t>Process driven:</w:t>
      </w:r>
      <w:r w:rsidRPr="004857AD">
        <w:rPr>
          <w:rFonts w:ascii="Arial" w:hAnsi="Arial"/>
          <w:szCs w:val="24"/>
          <w:lang w:eastAsia="en-AU"/>
        </w:rPr>
        <w:t xml:space="preserve"> cycling iteratively through a process of identifying, assessing, planning, implementing, monitoring and evaluating data.</w:t>
      </w:r>
    </w:p>
    <w:p w14:paraId="61874977" w14:textId="77777777" w:rsidR="004857AD" w:rsidRPr="004857AD" w:rsidRDefault="004857AD" w:rsidP="004857AD">
      <w:pPr>
        <w:rPr>
          <w:rFonts w:ascii="Arial" w:hAnsi="Arial"/>
          <w:szCs w:val="24"/>
        </w:rPr>
      </w:pPr>
    </w:p>
    <w:p w14:paraId="1E1A40F6" w14:textId="7254791D" w:rsidR="004857AD" w:rsidRPr="004857AD" w:rsidRDefault="004857AD" w:rsidP="004857AD">
      <w:pPr>
        <w:rPr>
          <w:rFonts w:ascii="Arial" w:hAnsi="Arial"/>
          <w:szCs w:val="24"/>
        </w:rPr>
      </w:pPr>
      <w:r w:rsidRPr="004857AD">
        <w:rPr>
          <w:rFonts w:ascii="Arial" w:hAnsi="Arial"/>
          <w:szCs w:val="24"/>
        </w:rPr>
        <w:t>The intent of this Guideline is not to prescribe the use of a particular PBS Plan template. However, this Guideline outlines the key components of PBS Plan</w:t>
      </w:r>
      <w:r w:rsidR="00097014">
        <w:rPr>
          <w:rFonts w:ascii="Arial" w:hAnsi="Arial"/>
          <w:szCs w:val="24"/>
        </w:rPr>
        <w:t xml:space="preserve">s that meet </w:t>
      </w:r>
      <w:r w:rsidRPr="004857AD">
        <w:rPr>
          <w:rFonts w:ascii="Arial" w:hAnsi="Arial"/>
          <w:szCs w:val="24"/>
        </w:rPr>
        <w:t>the objects and requirements of the Act.</w:t>
      </w:r>
    </w:p>
    <w:p w14:paraId="6B8AB5C0" w14:textId="77777777" w:rsidR="00097014" w:rsidRDefault="00097014" w:rsidP="004857AD">
      <w:pPr>
        <w:keepNext/>
        <w:keepLines/>
        <w:spacing w:before="40" w:line="276" w:lineRule="auto"/>
        <w:outlineLvl w:val="1"/>
        <w:rPr>
          <w:rFonts w:ascii="Arial" w:hAnsi="Arial"/>
          <w:szCs w:val="24"/>
        </w:rPr>
      </w:pPr>
    </w:p>
    <w:p w14:paraId="1B95DE34" w14:textId="39D99736" w:rsidR="004857AD" w:rsidRDefault="004857AD" w:rsidP="004857AD">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How to write a PBS Plan (Appendix A)</w:t>
      </w:r>
    </w:p>
    <w:p w14:paraId="5F7A32E7" w14:textId="77777777" w:rsidR="00D875F9" w:rsidRPr="004857AD" w:rsidRDefault="00D875F9" w:rsidP="00D875F9">
      <w:pPr>
        <w:rPr>
          <w:rFonts w:eastAsiaTheme="majorEastAsia"/>
        </w:rPr>
      </w:pPr>
    </w:p>
    <w:p w14:paraId="6DFFA2BB" w14:textId="580A0F19" w:rsidR="004857AD" w:rsidRPr="004857AD" w:rsidRDefault="004857AD" w:rsidP="00D875F9">
      <w:pPr>
        <w:rPr>
          <w:rFonts w:ascii="Arial" w:hAnsi="Arial"/>
          <w:szCs w:val="24"/>
          <w:lang w:eastAsia="en-AU"/>
        </w:rPr>
      </w:pPr>
      <w:r w:rsidRPr="004857AD">
        <w:rPr>
          <w:rFonts w:ascii="Arial" w:hAnsi="Arial"/>
          <w:szCs w:val="24"/>
        </w:rPr>
        <w:t xml:space="preserve">Appendix A </w:t>
      </w:r>
      <w:r w:rsidRPr="004857AD">
        <w:rPr>
          <w:rFonts w:ascii="Arial" w:hAnsi="Arial"/>
          <w:szCs w:val="24"/>
          <w:lang w:eastAsia="en-AU"/>
        </w:rPr>
        <w:t xml:space="preserve">is to assist providers to develop PBS plans in accordance with the </w:t>
      </w:r>
      <w:r w:rsidR="00097014">
        <w:rPr>
          <w:rFonts w:ascii="Arial" w:hAnsi="Arial"/>
          <w:iCs/>
          <w:szCs w:val="24"/>
          <w:lang w:eastAsia="en-AU"/>
        </w:rPr>
        <w:t>Act</w:t>
      </w:r>
      <w:r w:rsidRPr="004857AD">
        <w:rPr>
          <w:rFonts w:ascii="Arial" w:hAnsi="Arial"/>
          <w:szCs w:val="24"/>
          <w:lang w:eastAsia="en-AU"/>
        </w:rPr>
        <w:t xml:space="preserve">. It provides further detail in relation to each of the steps </w:t>
      </w:r>
      <w:r w:rsidR="00D875F9">
        <w:rPr>
          <w:rFonts w:ascii="Arial" w:hAnsi="Arial"/>
          <w:szCs w:val="24"/>
          <w:lang w:eastAsia="en-AU"/>
        </w:rPr>
        <w:t>described</w:t>
      </w:r>
      <w:r w:rsidRPr="004857AD">
        <w:rPr>
          <w:rFonts w:ascii="Arial" w:hAnsi="Arial"/>
          <w:szCs w:val="24"/>
          <w:lang w:eastAsia="en-AU"/>
        </w:rPr>
        <w:t>, including general guidance on developing a PBS Plan (Appendix A1) and guidance on how to complete each section of an example PBS Plan template (Appendi</w:t>
      </w:r>
      <w:r w:rsidR="00D875F9">
        <w:rPr>
          <w:rFonts w:ascii="Arial" w:hAnsi="Arial"/>
          <w:szCs w:val="24"/>
          <w:lang w:eastAsia="en-AU"/>
        </w:rPr>
        <w:t>c</w:t>
      </w:r>
      <w:r w:rsidRPr="004857AD">
        <w:rPr>
          <w:rFonts w:ascii="Arial" w:hAnsi="Arial"/>
          <w:szCs w:val="24"/>
          <w:lang w:eastAsia="en-AU"/>
        </w:rPr>
        <w:t xml:space="preserve">es A2-A8). </w:t>
      </w:r>
    </w:p>
    <w:p w14:paraId="0312BF79" w14:textId="77777777" w:rsidR="004857AD" w:rsidRPr="004857AD" w:rsidRDefault="004857AD" w:rsidP="00D875F9">
      <w:pPr>
        <w:rPr>
          <w:rFonts w:ascii="Arial" w:hAnsi="Arial"/>
          <w:szCs w:val="24"/>
          <w:lang w:eastAsia="en-AU"/>
        </w:rPr>
      </w:pPr>
    </w:p>
    <w:p w14:paraId="014828DA" w14:textId="77777777" w:rsidR="004857AD" w:rsidRPr="004857AD" w:rsidRDefault="004857AD" w:rsidP="00D875F9">
      <w:pPr>
        <w:rPr>
          <w:rFonts w:ascii="Arial" w:hAnsi="Arial"/>
          <w:szCs w:val="24"/>
          <w:lang w:eastAsia="en-AU"/>
        </w:rPr>
      </w:pPr>
      <w:r w:rsidRPr="004857AD">
        <w:rPr>
          <w:rFonts w:ascii="Arial" w:hAnsi="Arial"/>
          <w:szCs w:val="24"/>
          <w:lang w:eastAsia="en-AU"/>
        </w:rPr>
        <w:t>Providers may opt to use these resources to inform staff professional development or as a template for whole service provider approaches.</w:t>
      </w:r>
    </w:p>
    <w:p w14:paraId="4853E6E6" w14:textId="77777777" w:rsidR="004857AD" w:rsidRPr="004857AD" w:rsidRDefault="004857AD" w:rsidP="00D875F9">
      <w:pPr>
        <w:rPr>
          <w:rFonts w:ascii="Arial" w:hAnsi="Arial"/>
          <w:szCs w:val="24"/>
        </w:rPr>
      </w:pPr>
    </w:p>
    <w:p w14:paraId="24996433" w14:textId="77777777" w:rsidR="005D43CA" w:rsidRDefault="005D43CA">
      <w:pPr>
        <w:rPr>
          <w:rFonts w:asciiTheme="minorHAnsi" w:eastAsiaTheme="majorEastAsia" w:hAnsiTheme="minorHAnsi"/>
          <w:b/>
          <w:sz w:val="28"/>
          <w:szCs w:val="26"/>
        </w:rPr>
      </w:pPr>
      <w:r>
        <w:rPr>
          <w:rFonts w:asciiTheme="minorHAnsi" w:eastAsiaTheme="majorEastAsia" w:hAnsiTheme="minorHAnsi"/>
          <w:b/>
          <w:sz w:val="28"/>
          <w:szCs w:val="26"/>
        </w:rPr>
        <w:br w:type="page"/>
      </w:r>
    </w:p>
    <w:p w14:paraId="55CDDCC4" w14:textId="1E079986" w:rsidR="004857AD" w:rsidRDefault="004857AD" w:rsidP="00D875F9">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lastRenderedPageBreak/>
        <w:t>PBS Plan example template (Appendix B)</w:t>
      </w:r>
    </w:p>
    <w:p w14:paraId="559B226B" w14:textId="77777777" w:rsidR="00D875F9" w:rsidRPr="004857AD" w:rsidRDefault="00D875F9" w:rsidP="00D875F9">
      <w:pPr>
        <w:rPr>
          <w:rFonts w:eastAsiaTheme="majorEastAsia"/>
        </w:rPr>
      </w:pPr>
    </w:p>
    <w:p w14:paraId="3B844D32" w14:textId="439BF5C1" w:rsidR="004857AD" w:rsidRPr="004857AD" w:rsidRDefault="004857AD" w:rsidP="00D875F9">
      <w:pPr>
        <w:rPr>
          <w:rFonts w:ascii="Arial" w:hAnsi="Arial"/>
          <w:szCs w:val="24"/>
        </w:rPr>
      </w:pPr>
      <w:r w:rsidRPr="004857AD">
        <w:rPr>
          <w:rFonts w:ascii="Arial" w:hAnsi="Arial"/>
          <w:szCs w:val="24"/>
        </w:rPr>
        <w:t>The intent of this Guideline is not to prescribe the use of a particular PBS Plan template. Appendix B is presented as a good example of a PBS Plan template</w:t>
      </w:r>
      <w:r w:rsidR="00097014">
        <w:rPr>
          <w:rFonts w:ascii="Arial" w:hAnsi="Arial"/>
          <w:szCs w:val="24"/>
        </w:rPr>
        <w:t xml:space="preserve"> that meets legislative requirements. Use of this template is optional. </w:t>
      </w:r>
    </w:p>
    <w:p w14:paraId="0DB520F2" w14:textId="77777777" w:rsidR="00097014" w:rsidRDefault="00097014" w:rsidP="00D875F9">
      <w:pPr>
        <w:keepNext/>
        <w:keepLines/>
        <w:spacing w:before="40" w:line="276" w:lineRule="auto"/>
        <w:ind w:left="426" w:hanging="360"/>
        <w:outlineLvl w:val="1"/>
        <w:rPr>
          <w:rFonts w:ascii="Arial" w:hAnsi="Arial"/>
          <w:szCs w:val="24"/>
        </w:rPr>
      </w:pPr>
    </w:p>
    <w:p w14:paraId="4FC795B8" w14:textId="436B7D5D" w:rsidR="004857AD" w:rsidRDefault="004857AD" w:rsidP="00097014">
      <w:pPr>
        <w:keepNext/>
        <w:keepLines/>
        <w:spacing w:before="40" w:line="276" w:lineRule="auto"/>
        <w:outlineLvl w:val="1"/>
        <w:rPr>
          <w:rFonts w:asciiTheme="minorHAnsi" w:eastAsiaTheme="majorEastAsia" w:hAnsiTheme="minorHAnsi"/>
          <w:b/>
          <w:sz w:val="28"/>
          <w:szCs w:val="26"/>
        </w:rPr>
      </w:pPr>
      <w:r w:rsidRPr="004857AD">
        <w:rPr>
          <w:rFonts w:asciiTheme="minorHAnsi" w:eastAsiaTheme="majorEastAsia" w:hAnsiTheme="minorHAnsi"/>
          <w:b/>
          <w:sz w:val="28"/>
          <w:szCs w:val="26"/>
        </w:rPr>
        <w:t>PBS Panel Application (Appendix C)</w:t>
      </w:r>
    </w:p>
    <w:p w14:paraId="36C787C4" w14:textId="77777777" w:rsidR="00D875F9" w:rsidRPr="004857AD" w:rsidRDefault="00D875F9" w:rsidP="00D875F9">
      <w:pPr>
        <w:rPr>
          <w:rFonts w:eastAsiaTheme="majorEastAsia"/>
        </w:rPr>
      </w:pPr>
    </w:p>
    <w:p w14:paraId="1FB02E77" w14:textId="77777777" w:rsidR="004857AD" w:rsidRPr="004857AD" w:rsidRDefault="004857AD" w:rsidP="00D875F9">
      <w:pPr>
        <w:rPr>
          <w:rFonts w:ascii="Arial" w:hAnsi="Arial"/>
          <w:szCs w:val="24"/>
        </w:rPr>
      </w:pPr>
      <w:r w:rsidRPr="004857AD">
        <w:rPr>
          <w:rFonts w:ascii="Arial" w:hAnsi="Arial"/>
          <w:szCs w:val="24"/>
        </w:rPr>
        <w:t>Appendix C presents a copy of the form that service providers must use to apply to have a PBS Plan considered for approval by a PBS Panel.</w:t>
      </w:r>
    </w:p>
    <w:p w14:paraId="44F350EA"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70D7" w14:textId="77777777" w:rsidR="00C17FAB" w:rsidRDefault="00C17FAB" w:rsidP="00C17FAB">
      <w:r>
        <w:separator/>
      </w:r>
    </w:p>
  </w:endnote>
  <w:endnote w:type="continuationSeparator" w:id="0">
    <w:p w14:paraId="299F519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2E3E" w14:textId="77777777" w:rsidR="00C85F7F" w:rsidRDefault="00C8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370973"/>
      <w:docPartObj>
        <w:docPartGallery w:val="Page Numbers (Bottom of Page)"/>
        <w:docPartUnique/>
      </w:docPartObj>
    </w:sdtPr>
    <w:sdtEndPr>
      <w:rPr>
        <w:noProof/>
      </w:rPr>
    </w:sdtEndPr>
    <w:sdtContent>
      <w:p w14:paraId="56498294" w14:textId="77777777" w:rsidR="008A6896" w:rsidRDefault="008A6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34E91" w14:textId="3820A79D" w:rsidR="00DA3B00" w:rsidRPr="00C85F7F" w:rsidRDefault="00C85F7F" w:rsidP="00C85F7F">
    <w:pPr>
      <w:pStyle w:val="Footer"/>
      <w:jc w:val="center"/>
      <w:rPr>
        <w:rFonts w:cs="Arial"/>
        <w:sz w:val="14"/>
      </w:rPr>
    </w:pPr>
    <w:r w:rsidRPr="00C85F7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A03B" w14:textId="77777777" w:rsidR="00C85F7F" w:rsidRDefault="00C8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3F800" w14:textId="77777777" w:rsidR="00C17FAB" w:rsidRDefault="00C17FAB" w:rsidP="00C17FAB">
      <w:r>
        <w:separator/>
      </w:r>
    </w:p>
  </w:footnote>
  <w:footnote w:type="continuationSeparator" w:id="0">
    <w:p w14:paraId="0489FE69"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23CD" w14:textId="77777777" w:rsidR="00C85F7F" w:rsidRDefault="00C85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E6EF" w14:textId="77777777" w:rsidR="00C85F7F" w:rsidRDefault="00C85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73CF" w14:textId="77777777" w:rsidR="00C85F7F" w:rsidRDefault="00C8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6761037"/>
    <w:multiLevelType w:val="hybridMultilevel"/>
    <w:tmpl w:val="7354B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4D6D1CC9"/>
    <w:multiLevelType w:val="hybridMultilevel"/>
    <w:tmpl w:val="E196EA4E"/>
    <w:lvl w:ilvl="0" w:tplc="3732F7BC">
      <w:start w:val="1"/>
      <w:numFmt w:val="lowerLetter"/>
      <w:lvlText w:val="%1)"/>
      <w:lvlJc w:val="left"/>
      <w:pPr>
        <w:tabs>
          <w:tab w:val="num" w:pos="3780"/>
        </w:tabs>
        <w:ind w:left="3780" w:hanging="360"/>
      </w:pPr>
      <w:rPr>
        <w:rFonts w:ascii="Arial" w:hAnsi="Arial" w:cs="Times New Roman" w:hint="default"/>
        <w:b w:val="0"/>
        <w:i w:val="0"/>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3805506"/>
    <w:multiLevelType w:val="hybridMultilevel"/>
    <w:tmpl w:val="19E4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7ACB0BC7"/>
    <w:multiLevelType w:val="hybridMultilevel"/>
    <w:tmpl w:val="201C2836"/>
    <w:lvl w:ilvl="0" w:tplc="4762C62A">
      <w:start w:val="1"/>
      <w:numFmt w:val="decimal"/>
      <w:lvlText w:val="%1."/>
      <w:lvlJc w:val="left"/>
      <w:pPr>
        <w:ind w:left="1495"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7"/>
  </w:num>
  <w:num w:numId="5">
    <w:abstractNumId w:val="9"/>
  </w:num>
  <w:num w:numId="6">
    <w:abstractNumId w:val="1"/>
  </w:num>
  <w:num w:numId="7">
    <w:abstractNumId w:val="4"/>
  </w:num>
  <w:num w:numId="8">
    <w:abstractNumId w:val="5"/>
  </w:num>
  <w:num w:numId="9">
    <w:abstractNumId w:val="11"/>
  </w:num>
  <w:num w:numId="10">
    <w:abstractNumId w:val="8"/>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597B"/>
    <w:rsid w:val="000577D6"/>
    <w:rsid w:val="00097014"/>
    <w:rsid w:val="00231C49"/>
    <w:rsid w:val="002D7C60"/>
    <w:rsid w:val="003A07E3"/>
    <w:rsid w:val="004857AD"/>
    <w:rsid w:val="004A7845"/>
    <w:rsid w:val="004C085F"/>
    <w:rsid w:val="00554EF4"/>
    <w:rsid w:val="00584569"/>
    <w:rsid w:val="005D43CA"/>
    <w:rsid w:val="00675DFB"/>
    <w:rsid w:val="007346AC"/>
    <w:rsid w:val="00853009"/>
    <w:rsid w:val="008A6896"/>
    <w:rsid w:val="009508A5"/>
    <w:rsid w:val="00B55F9E"/>
    <w:rsid w:val="00BC7A77"/>
    <w:rsid w:val="00C17FAB"/>
    <w:rsid w:val="00C23679"/>
    <w:rsid w:val="00C85F7F"/>
    <w:rsid w:val="00CE599C"/>
    <w:rsid w:val="00D21A4B"/>
    <w:rsid w:val="00D73880"/>
    <w:rsid w:val="00D875F9"/>
    <w:rsid w:val="00DA3B00"/>
    <w:rsid w:val="00E46F25"/>
    <w:rsid w:val="00F1569A"/>
    <w:rsid w:val="00FC7CC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C62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1"/>
    <w:basedOn w:val="Normal"/>
    <w:uiPriority w:val="34"/>
    <w:qFormat/>
    <w:rsid w:val="00D875F9"/>
    <w:pPr>
      <w:ind w:left="720"/>
      <w:contextualSpacing/>
    </w:pPr>
  </w:style>
  <w:style w:type="paragraph" w:styleId="BalloonText">
    <w:name w:val="Balloon Text"/>
    <w:basedOn w:val="Normal"/>
    <w:link w:val="BalloonTextChar"/>
    <w:uiPriority w:val="99"/>
    <w:semiHidden/>
    <w:unhideWhenUsed/>
    <w:rsid w:val="00675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B"/>
    <w:rPr>
      <w:rFonts w:ascii="Segoe UI" w:hAnsi="Segoe UI" w:cs="Segoe UI"/>
      <w:sz w:val="18"/>
      <w:szCs w:val="18"/>
      <w:lang w:eastAsia="en-US"/>
    </w:rPr>
  </w:style>
  <w:style w:type="character" w:customStyle="1" w:styleId="FooterChar">
    <w:name w:val="Footer Char"/>
    <w:basedOn w:val="DefaultParagraphFont"/>
    <w:link w:val="Footer"/>
    <w:uiPriority w:val="99"/>
    <w:rsid w:val="008A689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9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D73F-A05E-439A-9FA4-65D694D2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6637</Characters>
  <Application>Microsoft Office Word</Application>
  <DocSecurity>0</DocSecurity>
  <Lines>186</Lines>
  <Paragraphs>72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2019-12-01T23:25:00Z</cp:lastPrinted>
  <dcterms:created xsi:type="dcterms:W3CDTF">2019-12-16T00:57:00Z</dcterms:created>
  <dcterms:modified xsi:type="dcterms:W3CDTF">2019-12-16T00:57:00Z</dcterms:modified>
</cp:coreProperties>
</file>