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BA6EB"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578F56D1" w14:textId="220DCDA6" w:rsidR="00C17FAB" w:rsidRDefault="005C02BC">
      <w:pPr>
        <w:pStyle w:val="Billname"/>
        <w:spacing w:before="700"/>
      </w:pPr>
      <w:r>
        <w:t xml:space="preserve">Civil Law (Wrongs) </w:t>
      </w:r>
      <w:r w:rsidR="009C7B25">
        <w:t>CPA Australia Ltd Professional Standards (Account</w:t>
      </w:r>
      <w:r w:rsidR="00F60518">
        <w:t>ants</w:t>
      </w:r>
      <w:r w:rsidR="009C7B25">
        <w:t>) Scheme</w:t>
      </w:r>
      <w:r>
        <w:t xml:space="preserve"> 2019</w:t>
      </w:r>
      <w:r w:rsidR="00FD75CE">
        <w:t xml:space="preserve"> (No </w:t>
      </w:r>
      <w:r w:rsidR="009C7B25">
        <w:t>1</w:t>
      </w:r>
      <w:r w:rsidR="00FD75CE">
        <w:t>)</w:t>
      </w:r>
    </w:p>
    <w:p w14:paraId="31027AC6" w14:textId="351801FD" w:rsidR="00C17FAB" w:rsidRDefault="002D7C60" w:rsidP="00DA3B00">
      <w:pPr>
        <w:spacing w:before="340"/>
        <w:rPr>
          <w:rFonts w:ascii="Arial" w:hAnsi="Arial" w:cs="Arial"/>
          <w:b/>
          <w:bCs/>
        </w:rPr>
      </w:pPr>
      <w:r>
        <w:rPr>
          <w:rFonts w:ascii="Arial" w:hAnsi="Arial" w:cs="Arial"/>
          <w:b/>
          <w:bCs/>
        </w:rPr>
        <w:t>Disallowable instrument DI</w:t>
      </w:r>
      <w:r w:rsidR="005C02BC">
        <w:rPr>
          <w:rFonts w:ascii="Arial" w:hAnsi="Arial" w:cs="Arial"/>
          <w:b/>
          <w:bCs/>
        </w:rPr>
        <w:t>2019</w:t>
      </w:r>
      <w:r w:rsidR="00C17FAB">
        <w:rPr>
          <w:rFonts w:ascii="Arial" w:hAnsi="Arial" w:cs="Arial"/>
          <w:b/>
          <w:bCs/>
        </w:rPr>
        <w:t>–</w:t>
      </w:r>
      <w:r w:rsidR="00EE567F">
        <w:rPr>
          <w:rFonts w:ascii="Arial" w:hAnsi="Arial" w:cs="Arial"/>
          <w:b/>
          <w:bCs/>
        </w:rPr>
        <w:t>284</w:t>
      </w:r>
    </w:p>
    <w:p w14:paraId="472CD885" w14:textId="77777777" w:rsidR="00C17FAB" w:rsidRDefault="00C17FAB" w:rsidP="00DA3B00">
      <w:pPr>
        <w:pStyle w:val="madeunder"/>
        <w:spacing w:before="300" w:after="0"/>
      </w:pPr>
      <w:r>
        <w:t xml:space="preserve">made under the  </w:t>
      </w:r>
    </w:p>
    <w:p w14:paraId="1E7B30F3" w14:textId="59F1F82F" w:rsidR="00C17FAB" w:rsidRDefault="005C02BC" w:rsidP="00DA3B00">
      <w:pPr>
        <w:pStyle w:val="CoverActName"/>
        <w:spacing w:before="320" w:after="0"/>
        <w:rPr>
          <w:rFonts w:cs="Arial"/>
          <w:sz w:val="20"/>
        </w:rPr>
      </w:pPr>
      <w:r>
        <w:rPr>
          <w:rFonts w:cs="Arial"/>
          <w:sz w:val="20"/>
        </w:rPr>
        <w:t>Civil Law (Wrongs) Act 2002, sch 4, s 4.1</w:t>
      </w:r>
      <w:r w:rsidR="009C7B25">
        <w:rPr>
          <w:rFonts w:cs="Arial"/>
          <w:sz w:val="20"/>
        </w:rPr>
        <w:t>0</w:t>
      </w:r>
      <w:r>
        <w:rPr>
          <w:rFonts w:cs="Arial"/>
          <w:sz w:val="20"/>
        </w:rPr>
        <w:t xml:space="preserve"> (</w:t>
      </w:r>
      <w:r w:rsidR="009C7B25">
        <w:rPr>
          <w:rFonts w:cs="Arial"/>
          <w:sz w:val="20"/>
        </w:rPr>
        <w:t xml:space="preserve">Schemes </w:t>
      </w:r>
      <w:r w:rsidR="00240AAA">
        <w:rPr>
          <w:rFonts w:cs="Arial"/>
          <w:sz w:val="20"/>
        </w:rPr>
        <w:t xml:space="preserve">are </w:t>
      </w:r>
      <w:r w:rsidR="009C7B25">
        <w:rPr>
          <w:rFonts w:cs="Arial"/>
          <w:sz w:val="20"/>
        </w:rPr>
        <w:t>subject to disallowance</w:t>
      </w:r>
      <w:r>
        <w:rPr>
          <w:rFonts w:cs="Arial"/>
          <w:sz w:val="20"/>
        </w:rPr>
        <w:t>)</w:t>
      </w:r>
    </w:p>
    <w:p w14:paraId="77118A7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6F97C79" w14:textId="77777777" w:rsidR="00C17FAB" w:rsidRDefault="00C17FAB">
      <w:pPr>
        <w:pStyle w:val="N-line3"/>
        <w:pBdr>
          <w:bottom w:val="none" w:sz="0" w:space="0" w:color="auto"/>
        </w:pBdr>
      </w:pPr>
    </w:p>
    <w:p w14:paraId="5C29235E" w14:textId="77777777" w:rsidR="00C17FAB" w:rsidRDefault="00C17FAB">
      <w:pPr>
        <w:pStyle w:val="N-line3"/>
        <w:pBdr>
          <w:top w:val="single" w:sz="12" w:space="1" w:color="auto"/>
          <w:bottom w:val="none" w:sz="0" w:space="0" w:color="auto"/>
        </w:pBdr>
      </w:pPr>
    </w:p>
    <w:bookmarkEnd w:id="0"/>
    <w:p w14:paraId="313EBF44" w14:textId="77777777" w:rsidR="005C02BC" w:rsidRDefault="005C02BC" w:rsidP="005C02BC">
      <w:pPr>
        <w:autoSpaceDE w:val="0"/>
        <w:autoSpaceDN w:val="0"/>
        <w:adjustRightInd w:val="0"/>
        <w:rPr>
          <w:szCs w:val="24"/>
          <w:lang w:eastAsia="en-AU"/>
        </w:rPr>
      </w:pPr>
      <w:r>
        <w:rPr>
          <w:szCs w:val="24"/>
          <w:lang w:eastAsia="en-AU"/>
        </w:rPr>
        <w:t>Professional Standards Legislation (PSL) was developed on a national basis following the insurance crisis of 2002.</w:t>
      </w:r>
    </w:p>
    <w:p w14:paraId="4F3C5FAE" w14:textId="77777777" w:rsidR="005C02BC" w:rsidRDefault="005C02BC" w:rsidP="005C02BC">
      <w:pPr>
        <w:autoSpaceDE w:val="0"/>
        <w:autoSpaceDN w:val="0"/>
        <w:adjustRightInd w:val="0"/>
        <w:rPr>
          <w:szCs w:val="24"/>
          <w:lang w:eastAsia="en-AU"/>
        </w:rPr>
      </w:pPr>
    </w:p>
    <w:p w14:paraId="5A2F7718" w14:textId="6C28A67B" w:rsidR="005C02BC" w:rsidRDefault="005C02BC" w:rsidP="005C02BC">
      <w:pPr>
        <w:autoSpaceDE w:val="0"/>
        <w:autoSpaceDN w:val="0"/>
        <w:adjustRightInd w:val="0"/>
        <w:rPr>
          <w:szCs w:val="24"/>
          <w:lang w:eastAsia="en-AU"/>
        </w:rPr>
      </w:pPr>
      <w:r w:rsidRPr="00885762">
        <w:rPr>
          <w:szCs w:val="24"/>
          <w:lang w:eastAsia="en-AU"/>
        </w:rPr>
        <w:t>PSL</w:t>
      </w:r>
      <w:r w:rsidR="009C7B25">
        <w:rPr>
          <w:szCs w:val="24"/>
          <w:lang w:eastAsia="en-AU"/>
        </w:rPr>
        <w:t>,</w:t>
      </w:r>
      <w:r w:rsidRPr="00885762">
        <w:rPr>
          <w:szCs w:val="24"/>
          <w:lang w:eastAsia="en-AU"/>
        </w:rPr>
        <w:t xml:space="preserve"> which has been passed by all States and Territories</w:t>
      </w:r>
      <w:r w:rsidR="009C7B25">
        <w:rPr>
          <w:szCs w:val="24"/>
          <w:lang w:eastAsia="en-AU"/>
        </w:rPr>
        <w:t>,</w:t>
      </w:r>
      <w:r w:rsidRPr="00885762">
        <w:rPr>
          <w:szCs w:val="24"/>
          <w:lang w:eastAsia="en-AU"/>
        </w:rPr>
        <w:t xml:space="preserve"> involves a trade-off whereby</w:t>
      </w:r>
      <w:r>
        <w:rPr>
          <w:szCs w:val="24"/>
          <w:lang w:eastAsia="en-AU"/>
        </w:rPr>
        <w:t xml:space="preserve"> </w:t>
      </w:r>
      <w:r w:rsidRPr="00885762">
        <w:rPr>
          <w:szCs w:val="24"/>
          <w:lang w:eastAsia="en-AU"/>
        </w:rPr>
        <w:t>professionals have their negligence liability for economic loss capped in return for a</w:t>
      </w:r>
      <w:r>
        <w:rPr>
          <w:szCs w:val="24"/>
          <w:lang w:eastAsia="en-AU"/>
        </w:rPr>
        <w:t xml:space="preserve"> </w:t>
      </w:r>
      <w:r w:rsidRPr="00885762">
        <w:rPr>
          <w:szCs w:val="24"/>
          <w:lang w:eastAsia="en-AU"/>
        </w:rPr>
        <w:t>commitment to higher standards of service delivery, monitored by a professional</w:t>
      </w:r>
      <w:r>
        <w:rPr>
          <w:szCs w:val="24"/>
          <w:lang w:eastAsia="en-AU"/>
        </w:rPr>
        <w:t xml:space="preserve"> </w:t>
      </w:r>
      <w:r w:rsidRPr="00885762">
        <w:rPr>
          <w:szCs w:val="24"/>
          <w:lang w:eastAsia="en-AU"/>
        </w:rPr>
        <w:t>standards council operating on a national basis.</w:t>
      </w:r>
    </w:p>
    <w:p w14:paraId="69F8A83C" w14:textId="77777777" w:rsidR="005C02BC" w:rsidRDefault="005C02BC" w:rsidP="005C02BC">
      <w:pPr>
        <w:autoSpaceDE w:val="0"/>
        <w:autoSpaceDN w:val="0"/>
        <w:adjustRightInd w:val="0"/>
        <w:rPr>
          <w:szCs w:val="24"/>
          <w:lang w:eastAsia="en-AU"/>
        </w:rPr>
      </w:pPr>
    </w:p>
    <w:p w14:paraId="035B01CF" w14:textId="77777777" w:rsidR="005C02BC" w:rsidRDefault="005C02BC" w:rsidP="005C02BC">
      <w:pPr>
        <w:autoSpaceDE w:val="0"/>
        <w:autoSpaceDN w:val="0"/>
        <w:adjustRightInd w:val="0"/>
        <w:rPr>
          <w:szCs w:val="24"/>
          <w:lang w:eastAsia="en-AU"/>
        </w:rPr>
      </w:pPr>
      <w:r w:rsidRPr="00885762">
        <w:rPr>
          <w:szCs w:val="24"/>
          <w:lang w:eastAsia="en-AU"/>
        </w:rPr>
        <w:t>In 2004, the ACT passed its own PSL, which was incorporated as schedule 4 of the</w:t>
      </w:r>
      <w:r>
        <w:rPr>
          <w:szCs w:val="24"/>
          <w:lang w:eastAsia="en-AU"/>
        </w:rPr>
        <w:t xml:space="preserve"> </w:t>
      </w:r>
      <w:r w:rsidRPr="00885762">
        <w:rPr>
          <w:i/>
          <w:szCs w:val="24"/>
          <w:lang w:eastAsia="en-AU"/>
        </w:rPr>
        <w:t>Civil Law (Wrongs) Act 2002</w:t>
      </w:r>
      <w:r w:rsidRPr="00885762">
        <w:rPr>
          <w:szCs w:val="24"/>
          <w:lang w:eastAsia="en-AU"/>
        </w:rPr>
        <w:t xml:space="preserve"> (the Act). Section 4.10, schedule 4 of the Act provides</w:t>
      </w:r>
      <w:r>
        <w:rPr>
          <w:szCs w:val="24"/>
          <w:lang w:eastAsia="en-AU"/>
        </w:rPr>
        <w:t xml:space="preserve"> that if an interstate scheme has been approved by the appropriate professional standards council for the jurisdiction, the Minister must give notice of the approval. </w:t>
      </w:r>
    </w:p>
    <w:p w14:paraId="556106EA" w14:textId="77777777" w:rsidR="005C02BC" w:rsidRDefault="005C02BC" w:rsidP="005C02BC">
      <w:pPr>
        <w:autoSpaceDE w:val="0"/>
        <w:autoSpaceDN w:val="0"/>
        <w:adjustRightInd w:val="0"/>
        <w:rPr>
          <w:szCs w:val="24"/>
          <w:lang w:eastAsia="en-AU"/>
        </w:rPr>
      </w:pPr>
    </w:p>
    <w:p w14:paraId="2A919AC4" w14:textId="182BFD78" w:rsidR="005C02BC" w:rsidRDefault="009C7B25" w:rsidP="009C7B25">
      <w:pPr>
        <w:autoSpaceDE w:val="0"/>
        <w:autoSpaceDN w:val="0"/>
        <w:adjustRightInd w:val="0"/>
      </w:pPr>
      <w:r>
        <w:rPr>
          <w:szCs w:val="24"/>
          <w:lang w:eastAsia="en-AU"/>
        </w:rPr>
        <w:t>This instrument gives notice of the Professional Standards Council of New South Wales’ approval of the ‘</w:t>
      </w:r>
      <w:r>
        <w:t>CPA Australia Ltd Professional Standards (Accounting) Scheme’ (the Scheme). The Scheme commences in the ACT on 23 December 2019 and will remain in force for five years, unless the scheme is revoked, extended, or its operation ceases.</w:t>
      </w:r>
    </w:p>
    <w:p w14:paraId="6AA79B4A" w14:textId="3AFD56A7" w:rsidR="009C7B25" w:rsidRDefault="009C7B25" w:rsidP="009C7B25">
      <w:pPr>
        <w:autoSpaceDE w:val="0"/>
        <w:autoSpaceDN w:val="0"/>
        <w:adjustRightInd w:val="0"/>
      </w:pPr>
    </w:p>
    <w:p w14:paraId="23F2064F" w14:textId="7A3231AC" w:rsidR="009C7B25" w:rsidRPr="005C02BC" w:rsidRDefault="001043F1" w:rsidP="009C7B25">
      <w:pPr>
        <w:autoSpaceDE w:val="0"/>
        <w:autoSpaceDN w:val="0"/>
        <w:adjustRightInd w:val="0"/>
        <w:rPr>
          <w:szCs w:val="24"/>
          <w:lang w:eastAsia="en-AU"/>
        </w:rPr>
      </w:pPr>
      <w:r w:rsidRPr="001043F1">
        <w:rPr>
          <w:szCs w:val="24"/>
          <w:lang w:eastAsia="en-AU"/>
        </w:rPr>
        <w:t>CPA Australia</w:t>
      </w:r>
      <w:r>
        <w:rPr>
          <w:szCs w:val="24"/>
          <w:lang w:eastAsia="en-AU"/>
        </w:rPr>
        <w:t xml:space="preserve"> Ltd</w:t>
      </w:r>
      <w:r w:rsidRPr="001043F1">
        <w:rPr>
          <w:szCs w:val="24"/>
          <w:lang w:eastAsia="en-AU"/>
        </w:rPr>
        <w:t xml:space="preserve"> is a national occupational association. The terms of the Scheme limit a member’s occupational liability for damages arising from a single cause of action to the extent to which the liability results in damages exceeding $2 million. </w:t>
      </w:r>
    </w:p>
    <w:sectPr w:rsidR="009C7B25" w:rsidRPr="005C02BC"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BA5DB" w14:textId="77777777" w:rsidR="00C17FAB" w:rsidRDefault="00C17FAB" w:rsidP="00C17FAB">
      <w:r>
        <w:separator/>
      </w:r>
    </w:p>
  </w:endnote>
  <w:endnote w:type="continuationSeparator" w:id="0">
    <w:p w14:paraId="072F8790"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Times New Roman"/>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BE8A"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064E" w14:textId="1BB49120" w:rsidR="00DA3B00" w:rsidRPr="00CA07BD" w:rsidRDefault="00CA07BD" w:rsidP="00CA07BD">
    <w:pPr>
      <w:pStyle w:val="Footer"/>
      <w:jc w:val="center"/>
      <w:rPr>
        <w:rFonts w:cs="Arial"/>
        <w:sz w:val="14"/>
      </w:rPr>
    </w:pPr>
    <w:r w:rsidRPr="00CA07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119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B1936" w14:textId="77777777" w:rsidR="00C17FAB" w:rsidRDefault="00C17FAB" w:rsidP="00C17FAB">
      <w:r>
        <w:separator/>
      </w:r>
    </w:p>
  </w:footnote>
  <w:footnote w:type="continuationSeparator" w:id="0">
    <w:p w14:paraId="19FF0589"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7A77"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A3E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862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7B3607FE"/>
    <w:multiLevelType w:val="hybridMultilevel"/>
    <w:tmpl w:val="8844F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36FDE"/>
    <w:rsid w:val="00051749"/>
    <w:rsid w:val="001043F1"/>
    <w:rsid w:val="00142B8E"/>
    <w:rsid w:val="001462A9"/>
    <w:rsid w:val="00240AAA"/>
    <w:rsid w:val="002D7C60"/>
    <w:rsid w:val="002F5F4E"/>
    <w:rsid w:val="00486A3C"/>
    <w:rsid w:val="005C02BC"/>
    <w:rsid w:val="007346AC"/>
    <w:rsid w:val="009508A5"/>
    <w:rsid w:val="009C6497"/>
    <w:rsid w:val="009C7B25"/>
    <w:rsid w:val="00C17FAB"/>
    <w:rsid w:val="00CA07BD"/>
    <w:rsid w:val="00CE599C"/>
    <w:rsid w:val="00DA3B00"/>
    <w:rsid w:val="00EE567F"/>
    <w:rsid w:val="00F6051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D25F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5C0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025381">
      <w:bodyDiv w:val="1"/>
      <w:marLeft w:val="0"/>
      <w:marRight w:val="0"/>
      <w:marTop w:val="0"/>
      <w:marBottom w:val="0"/>
      <w:divBdr>
        <w:top w:val="none" w:sz="0" w:space="0" w:color="auto"/>
        <w:left w:val="none" w:sz="0" w:space="0" w:color="auto"/>
        <w:bottom w:val="none" w:sz="0" w:space="0" w:color="auto"/>
        <w:right w:val="none" w:sz="0" w:space="0" w:color="auto"/>
      </w:divBdr>
      <w:divsChild>
        <w:div w:id="2021664531">
          <w:marLeft w:val="0"/>
          <w:marRight w:val="0"/>
          <w:marTop w:val="0"/>
          <w:marBottom w:val="0"/>
          <w:divBdr>
            <w:top w:val="none" w:sz="0" w:space="0" w:color="auto"/>
            <w:left w:val="none" w:sz="0" w:space="0" w:color="auto"/>
            <w:bottom w:val="none" w:sz="0" w:space="0" w:color="auto"/>
            <w:right w:val="none" w:sz="0" w:space="0" w:color="auto"/>
          </w:divBdr>
        </w:div>
        <w:div w:id="112135863">
          <w:marLeft w:val="0"/>
          <w:marRight w:val="0"/>
          <w:marTop w:val="0"/>
          <w:marBottom w:val="0"/>
          <w:divBdr>
            <w:top w:val="none" w:sz="0" w:space="0" w:color="auto"/>
            <w:left w:val="none" w:sz="0" w:space="0" w:color="auto"/>
            <w:bottom w:val="none" w:sz="0" w:space="0" w:color="auto"/>
            <w:right w:val="none" w:sz="0" w:space="0" w:color="auto"/>
          </w:divBdr>
        </w:div>
        <w:div w:id="288096306">
          <w:marLeft w:val="0"/>
          <w:marRight w:val="0"/>
          <w:marTop w:val="0"/>
          <w:marBottom w:val="0"/>
          <w:divBdr>
            <w:top w:val="none" w:sz="0" w:space="0" w:color="auto"/>
            <w:left w:val="none" w:sz="0" w:space="0" w:color="auto"/>
            <w:bottom w:val="none" w:sz="0" w:space="0" w:color="auto"/>
            <w:right w:val="none" w:sz="0" w:space="0" w:color="auto"/>
          </w:divBdr>
        </w:div>
        <w:div w:id="400567053">
          <w:marLeft w:val="0"/>
          <w:marRight w:val="0"/>
          <w:marTop w:val="0"/>
          <w:marBottom w:val="0"/>
          <w:divBdr>
            <w:top w:val="none" w:sz="0" w:space="0" w:color="auto"/>
            <w:left w:val="none" w:sz="0" w:space="0" w:color="auto"/>
            <w:bottom w:val="none" w:sz="0" w:space="0" w:color="auto"/>
            <w:right w:val="none" w:sz="0" w:space="0" w:color="auto"/>
          </w:divBdr>
        </w:div>
        <w:div w:id="446431797">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1272736383">
          <w:marLeft w:val="0"/>
          <w:marRight w:val="0"/>
          <w:marTop w:val="0"/>
          <w:marBottom w:val="0"/>
          <w:divBdr>
            <w:top w:val="none" w:sz="0" w:space="0" w:color="auto"/>
            <w:left w:val="none" w:sz="0" w:space="0" w:color="auto"/>
            <w:bottom w:val="none" w:sz="0" w:space="0" w:color="auto"/>
            <w:right w:val="none" w:sz="0" w:space="0" w:color="auto"/>
          </w:divBdr>
        </w:div>
        <w:div w:id="1157109318">
          <w:marLeft w:val="0"/>
          <w:marRight w:val="0"/>
          <w:marTop w:val="0"/>
          <w:marBottom w:val="0"/>
          <w:divBdr>
            <w:top w:val="none" w:sz="0" w:space="0" w:color="auto"/>
            <w:left w:val="none" w:sz="0" w:space="0" w:color="auto"/>
            <w:bottom w:val="none" w:sz="0" w:space="0" w:color="auto"/>
            <w:right w:val="none" w:sz="0" w:space="0" w:color="auto"/>
          </w:divBdr>
        </w:div>
        <w:div w:id="444350769">
          <w:marLeft w:val="0"/>
          <w:marRight w:val="0"/>
          <w:marTop w:val="0"/>
          <w:marBottom w:val="0"/>
          <w:divBdr>
            <w:top w:val="none" w:sz="0" w:space="0" w:color="auto"/>
            <w:left w:val="none" w:sz="0" w:space="0" w:color="auto"/>
            <w:bottom w:val="none" w:sz="0" w:space="0" w:color="auto"/>
            <w:right w:val="none" w:sz="0" w:space="0" w:color="auto"/>
          </w:divBdr>
        </w:div>
      </w:divsChild>
    </w:div>
    <w:div w:id="624510525">
      <w:bodyDiv w:val="1"/>
      <w:marLeft w:val="0"/>
      <w:marRight w:val="0"/>
      <w:marTop w:val="0"/>
      <w:marBottom w:val="0"/>
      <w:divBdr>
        <w:top w:val="none" w:sz="0" w:space="0" w:color="auto"/>
        <w:left w:val="none" w:sz="0" w:space="0" w:color="auto"/>
        <w:bottom w:val="none" w:sz="0" w:space="0" w:color="auto"/>
        <w:right w:val="none" w:sz="0" w:space="0" w:color="auto"/>
      </w:divBdr>
      <w:divsChild>
        <w:div w:id="666637523">
          <w:marLeft w:val="0"/>
          <w:marRight w:val="0"/>
          <w:marTop w:val="0"/>
          <w:marBottom w:val="0"/>
          <w:divBdr>
            <w:top w:val="none" w:sz="0" w:space="0" w:color="auto"/>
            <w:left w:val="none" w:sz="0" w:space="0" w:color="auto"/>
            <w:bottom w:val="none" w:sz="0" w:space="0" w:color="auto"/>
            <w:right w:val="none" w:sz="0" w:space="0" w:color="auto"/>
          </w:divBdr>
        </w:div>
        <w:div w:id="1905218886">
          <w:marLeft w:val="0"/>
          <w:marRight w:val="0"/>
          <w:marTop w:val="0"/>
          <w:marBottom w:val="0"/>
          <w:divBdr>
            <w:top w:val="none" w:sz="0" w:space="0" w:color="auto"/>
            <w:left w:val="none" w:sz="0" w:space="0" w:color="auto"/>
            <w:bottom w:val="none" w:sz="0" w:space="0" w:color="auto"/>
            <w:right w:val="none" w:sz="0" w:space="0" w:color="auto"/>
          </w:divBdr>
        </w:div>
        <w:div w:id="2125269653">
          <w:marLeft w:val="0"/>
          <w:marRight w:val="0"/>
          <w:marTop w:val="0"/>
          <w:marBottom w:val="0"/>
          <w:divBdr>
            <w:top w:val="none" w:sz="0" w:space="0" w:color="auto"/>
            <w:left w:val="none" w:sz="0" w:space="0" w:color="auto"/>
            <w:bottom w:val="none" w:sz="0" w:space="0" w:color="auto"/>
            <w:right w:val="none" w:sz="0" w:space="0" w:color="auto"/>
          </w:divBdr>
        </w:div>
        <w:div w:id="1990935331">
          <w:marLeft w:val="0"/>
          <w:marRight w:val="0"/>
          <w:marTop w:val="0"/>
          <w:marBottom w:val="0"/>
          <w:divBdr>
            <w:top w:val="none" w:sz="0" w:space="0" w:color="auto"/>
            <w:left w:val="none" w:sz="0" w:space="0" w:color="auto"/>
            <w:bottom w:val="none" w:sz="0" w:space="0" w:color="auto"/>
            <w:right w:val="none" w:sz="0" w:space="0" w:color="auto"/>
          </w:divBdr>
        </w:div>
        <w:div w:id="531773029">
          <w:marLeft w:val="0"/>
          <w:marRight w:val="0"/>
          <w:marTop w:val="0"/>
          <w:marBottom w:val="0"/>
          <w:divBdr>
            <w:top w:val="none" w:sz="0" w:space="0" w:color="auto"/>
            <w:left w:val="none" w:sz="0" w:space="0" w:color="auto"/>
            <w:bottom w:val="none" w:sz="0" w:space="0" w:color="auto"/>
            <w:right w:val="none" w:sz="0" w:space="0" w:color="auto"/>
          </w:divBdr>
        </w:div>
        <w:div w:id="1698198227">
          <w:marLeft w:val="0"/>
          <w:marRight w:val="0"/>
          <w:marTop w:val="0"/>
          <w:marBottom w:val="0"/>
          <w:divBdr>
            <w:top w:val="none" w:sz="0" w:space="0" w:color="auto"/>
            <w:left w:val="none" w:sz="0" w:space="0" w:color="auto"/>
            <w:bottom w:val="none" w:sz="0" w:space="0" w:color="auto"/>
            <w:right w:val="none" w:sz="0" w:space="0" w:color="auto"/>
          </w:divBdr>
        </w:div>
        <w:div w:id="669480963">
          <w:marLeft w:val="0"/>
          <w:marRight w:val="0"/>
          <w:marTop w:val="0"/>
          <w:marBottom w:val="0"/>
          <w:divBdr>
            <w:top w:val="none" w:sz="0" w:space="0" w:color="auto"/>
            <w:left w:val="none" w:sz="0" w:space="0" w:color="auto"/>
            <w:bottom w:val="none" w:sz="0" w:space="0" w:color="auto"/>
            <w:right w:val="none" w:sz="0" w:space="0" w:color="auto"/>
          </w:divBdr>
        </w:div>
        <w:div w:id="1133062188">
          <w:marLeft w:val="0"/>
          <w:marRight w:val="0"/>
          <w:marTop w:val="0"/>
          <w:marBottom w:val="0"/>
          <w:divBdr>
            <w:top w:val="none" w:sz="0" w:space="0" w:color="auto"/>
            <w:left w:val="none" w:sz="0" w:space="0" w:color="auto"/>
            <w:bottom w:val="none" w:sz="0" w:space="0" w:color="auto"/>
            <w:right w:val="none" w:sz="0" w:space="0" w:color="auto"/>
          </w:divBdr>
        </w:div>
        <w:div w:id="1015040700">
          <w:marLeft w:val="0"/>
          <w:marRight w:val="0"/>
          <w:marTop w:val="0"/>
          <w:marBottom w:val="0"/>
          <w:divBdr>
            <w:top w:val="none" w:sz="0" w:space="0" w:color="auto"/>
            <w:left w:val="none" w:sz="0" w:space="0" w:color="auto"/>
            <w:bottom w:val="none" w:sz="0" w:space="0" w:color="auto"/>
            <w:right w:val="none" w:sz="0" w:space="0" w:color="auto"/>
          </w:divBdr>
        </w:div>
        <w:div w:id="755983411">
          <w:marLeft w:val="0"/>
          <w:marRight w:val="0"/>
          <w:marTop w:val="0"/>
          <w:marBottom w:val="0"/>
          <w:divBdr>
            <w:top w:val="none" w:sz="0" w:space="0" w:color="auto"/>
            <w:left w:val="none" w:sz="0" w:space="0" w:color="auto"/>
            <w:bottom w:val="none" w:sz="0" w:space="0" w:color="auto"/>
            <w:right w:val="none" w:sz="0" w:space="0" w:color="auto"/>
          </w:divBdr>
        </w:div>
        <w:div w:id="715392851">
          <w:marLeft w:val="0"/>
          <w:marRight w:val="0"/>
          <w:marTop w:val="0"/>
          <w:marBottom w:val="0"/>
          <w:divBdr>
            <w:top w:val="none" w:sz="0" w:space="0" w:color="auto"/>
            <w:left w:val="none" w:sz="0" w:space="0" w:color="auto"/>
            <w:bottom w:val="none" w:sz="0" w:space="0" w:color="auto"/>
            <w:right w:val="none" w:sz="0" w:space="0" w:color="auto"/>
          </w:divBdr>
        </w:div>
        <w:div w:id="334187015">
          <w:marLeft w:val="0"/>
          <w:marRight w:val="0"/>
          <w:marTop w:val="0"/>
          <w:marBottom w:val="0"/>
          <w:divBdr>
            <w:top w:val="none" w:sz="0" w:space="0" w:color="auto"/>
            <w:left w:val="none" w:sz="0" w:space="0" w:color="auto"/>
            <w:bottom w:val="none" w:sz="0" w:space="0" w:color="auto"/>
            <w:right w:val="none" w:sz="0" w:space="0" w:color="auto"/>
          </w:divBdr>
        </w:div>
        <w:div w:id="127482332">
          <w:marLeft w:val="0"/>
          <w:marRight w:val="0"/>
          <w:marTop w:val="0"/>
          <w:marBottom w:val="0"/>
          <w:divBdr>
            <w:top w:val="none" w:sz="0" w:space="0" w:color="auto"/>
            <w:left w:val="none" w:sz="0" w:space="0" w:color="auto"/>
            <w:bottom w:val="none" w:sz="0" w:space="0" w:color="auto"/>
            <w:right w:val="none" w:sz="0" w:space="0" w:color="auto"/>
          </w:divBdr>
        </w:div>
        <w:div w:id="1208493741">
          <w:marLeft w:val="0"/>
          <w:marRight w:val="0"/>
          <w:marTop w:val="0"/>
          <w:marBottom w:val="0"/>
          <w:divBdr>
            <w:top w:val="none" w:sz="0" w:space="0" w:color="auto"/>
            <w:left w:val="none" w:sz="0" w:space="0" w:color="auto"/>
            <w:bottom w:val="none" w:sz="0" w:space="0" w:color="auto"/>
            <w:right w:val="none" w:sz="0" w:space="0" w:color="auto"/>
          </w:divBdr>
        </w:div>
        <w:div w:id="1058897377">
          <w:marLeft w:val="0"/>
          <w:marRight w:val="0"/>
          <w:marTop w:val="0"/>
          <w:marBottom w:val="0"/>
          <w:divBdr>
            <w:top w:val="none" w:sz="0" w:space="0" w:color="auto"/>
            <w:left w:val="none" w:sz="0" w:space="0" w:color="auto"/>
            <w:bottom w:val="none" w:sz="0" w:space="0" w:color="auto"/>
            <w:right w:val="none" w:sz="0" w:space="0" w:color="auto"/>
          </w:divBdr>
        </w:div>
        <w:div w:id="1132213829">
          <w:marLeft w:val="0"/>
          <w:marRight w:val="0"/>
          <w:marTop w:val="0"/>
          <w:marBottom w:val="0"/>
          <w:divBdr>
            <w:top w:val="none" w:sz="0" w:space="0" w:color="auto"/>
            <w:left w:val="none" w:sz="0" w:space="0" w:color="auto"/>
            <w:bottom w:val="none" w:sz="0" w:space="0" w:color="auto"/>
            <w:right w:val="none" w:sz="0" w:space="0" w:color="auto"/>
          </w:divBdr>
        </w:div>
        <w:div w:id="48266502">
          <w:marLeft w:val="0"/>
          <w:marRight w:val="0"/>
          <w:marTop w:val="0"/>
          <w:marBottom w:val="0"/>
          <w:divBdr>
            <w:top w:val="none" w:sz="0" w:space="0" w:color="auto"/>
            <w:left w:val="none" w:sz="0" w:space="0" w:color="auto"/>
            <w:bottom w:val="none" w:sz="0" w:space="0" w:color="auto"/>
            <w:right w:val="none" w:sz="0" w:space="0" w:color="auto"/>
          </w:divBdr>
        </w:div>
        <w:div w:id="178739127">
          <w:marLeft w:val="0"/>
          <w:marRight w:val="0"/>
          <w:marTop w:val="0"/>
          <w:marBottom w:val="0"/>
          <w:divBdr>
            <w:top w:val="none" w:sz="0" w:space="0" w:color="auto"/>
            <w:left w:val="none" w:sz="0" w:space="0" w:color="auto"/>
            <w:bottom w:val="none" w:sz="0" w:space="0" w:color="auto"/>
            <w:right w:val="none" w:sz="0" w:space="0" w:color="auto"/>
          </w:divBdr>
        </w:div>
        <w:div w:id="526066454">
          <w:marLeft w:val="0"/>
          <w:marRight w:val="0"/>
          <w:marTop w:val="0"/>
          <w:marBottom w:val="0"/>
          <w:divBdr>
            <w:top w:val="none" w:sz="0" w:space="0" w:color="auto"/>
            <w:left w:val="none" w:sz="0" w:space="0" w:color="auto"/>
            <w:bottom w:val="none" w:sz="0" w:space="0" w:color="auto"/>
            <w:right w:val="none" w:sz="0" w:space="0" w:color="auto"/>
          </w:divBdr>
        </w:div>
        <w:div w:id="145896491">
          <w:marLeft w:val="0"/>
          <w:marRight w:val="0"/>
          <w:marTop w:val="0"/>
          <w:marBottom w:val="0"/>
          <w:divBdr>
            <w:top w:val="none" w:sz="0" w:space="0" w:color="auto"/>
            <w:left w:val="none" w:sz="0" w:space="0" w:color="auto"/>
            <w:bottom w:val="none" w:sz="0" w:space="0" w:color="auto"/>
            <w:right w:val="none" w:sz="0" w:space="0" w:color="auto"/>
          </w:divBdr>
        </w:div>
        <w:div w:id="1794979403">
          <w:marLeft w:val="0"/>
          <w:marRight w:val="0"/>
          <w:marTop w:val="0"/>
          <w:marBottom w:val="0"/>
          <w:divBdr>
            <w:top w:val="none" w:sz="0" w:space="0" w:color="auto"/>
            <w:left w:val="none" w:sz="0" w:space="0" w:color="auto"/>
            <w:bottom w:val="none" w:sz="0" w:space="0" w:color="auto"/>
            <w:right w:val="none" w:sz="0" w:space="0" w:color="auto"/>
          </w:divBdr>
        </w:div>
        <w:div w:id="1618833005">
          <w:marLeft w:val="0"/>
          <w:marRight w:val="0"/>
          <w:marTop w:val="0"/>
          <w:marBottom w:val="0"/>
          <w:divBdr>
            <w:top w:val="none" w:sz="0" w:space="0" w:color="auto"/>
            <w:left w:val="none" w:sz="0" w:space="0" w:color="auto"/>
            <w:bottom w:val="none" w:sz="0" w:space="0" w:color="auto"/>
            <w:right w:val="none" w:sz="0" w:space="0" w:color="auto"/>
          </w:divBdr>
        </w:div>
        <w:div w:id="2093308166">
          <w:marLeft w:val="0"/>
          <w:marRight w:val="0"/>
          <w:marTop w:val="0"/>
          <w:marBottom w:val="0"/>
          <w:divBdr>
            <w:top w:val="none" w:sz="0" w:space="0" w:color="auto"/>
            <w:left w:val="none" w:sz="0" w:space="0" w:color="auto"/>
            <w:bottom w:val="none" w:sz="0" w:space="0" w:color="auto"/>
            <w:right w:val="none" w:sz="0" w:space="0" w:color="auto"/>
          </w:divBdr>
        </w:div>
        <w:div w:id="1642154071">
          <w:marLeft w:val="0"/>
          <w:marRight w:val="0"/>
          <w:marTop w:val="0"/>
          <w:marBottom w:val="0"/>
          <w:divBdr>
            <w:top w:val="none" w:sz="0" w:space="0" w:color="auto"/>
            <w:left w:val="none" w:sz="0" w:space="0" w:color="auto"/>
            <w:bottom w:val="none" w:sz="0" w:space="0" w:color="auto"/>
            <w:right w:val="none" w:sz="0" w:space="0" w:color="auto"/>
          </w:divBdr>
        </w:div>
        <w:div w:id="1382972812">
          <w:marLeft w:val="0"/>
          <w:marRight w:val="0"/>
          <w:marTop w:val="0"/>
          <w:marBottom w:val="0"/>
          <w:divBdr>
            <w:top w:val="none" w:sz="0" w:space="0" w:color="auto"/>
            <w:left w:val="none" w:sz="0" w:space="0" w:color="auto"/>
            <w:bottom w:val="none" w:sz="0" w:space="0" w:color="auto"/>
            <w:right w:val="none" w:sz="0" w:space="0" w:color="auto"/>
          </w:divBdr>
        </w:div>
        <w:div w:id="19014471">
          <w:marLeft w:val="0"/>
          <w:marRight w:val="0"/>
          <w:marTop w:val="0"/>
          <w:marBottom w:val="0"/>
          <w:divBdr>
            <w:top w:val="none" w:sz="0" w:space="0" w:color="auto"/>
            <w:left w:val="none" w:sz="0" w:space="0" w:color="auto"/>
            <w:bottom w:val="none" w:sz="0" w:space="0" w:color="auto"/>
            <w:right w:val="none" w:sz="0" w:space="0" w:color="auto"/>
          </w:divBdr>
        </w:div>
        <w:div w:id="2088110082">
          <w:marLeft w:val="0"/>
          <w:marRight w:val="0"/>
          <w:marTop w:val="0"/>
          <w:marBottom w:val="0"/>
          <w:divBdr>
            <w:top w:val="none" w:sz="0" w:space="0" w:color="auto"/>
            <w:left w:val="none" w:sz="0" w:space="0" w:color="auto"/>
            <w:bottom w:val="none" w:sz="0" w:space="0" w:color="auto"/>
            <w:right w:val="none" w:sz="0" w:space="0" w:color="auto"/>
          </w:divBdr>
        </w:div>
        <w:div w:id="819226686">
          <w:marLeft w:val="0"/>
          <w:marRight w:val="0"/>
          <w:marTop w:val="0"/>
          <w:marBottom w:val="0"/>
          <w:divBdr>
            <w:top w:val="none" w:sz="0" w:space="0" w:color="auto"/>
            <w:left w:val="none" w:sz="0" w:space="0" w:color="auto"/>
            <w:bottom w:val="none" w:sz="0" w:space="0" w:color="auto"/>
            <w:right w:val="none" w:sz="0" w:space="0" w:color="auto"/>
          </w:divBdr>
        </w:div>
        <w:div w:id="980814549">
          <w:marLeft w:val="0"/>
          <w:marRight w:val="0"/>
          <w:marTop w:val="0"/>
          <w:marBottom w:val="0"/>
          <w:divBdr>
            <w:top w:val="none" w:sz="0" w:space="0" w:color="auto"/>
            <w:left w:val="none" w:sz="0" w:space="0" w:color="auto"/>
            <w:bottom w:val="none" w:sz="0" w:space="0" w:color="auto"/>
            <w:right w:val="none" w:sz="0" w:space="0" w:color="auto"/>
          </w:divBdr>
        </w:div>
        <w:div w:id="642003450">
          <w:marLeft w:val="0"/>
          <w:marRight w:val="0"/>
          <w:marTop w:val="0"/>
          <w:marBottom w:val="0"/>
          <w:divBdr>
            <w:top w:val="none" w:sz="0" w:space="0" w:color="auto"/>
            <w:left w:val="none" w:sz="0" w:space="0" w:color="auto"/>
            <w:bottom w:val="none" w:sz="0" w:space="0" w:color="auto"/>
            <w:right w:val="none" w:sz="0" w:space="0" w:color="auto"/>
          </w:divBdr>
        </w:div>
        <w:div w:id="1575167805">
          <w:marLeft w:val="0"/>
          <w:marRight w:val="0"/>
          <w:marTop w:val="0"/>
          <w:marBottom w:val="0"/>
          <w:divBdr>
            <w:top w:val="none" w:sz="0" w:space="0" w:color="auto"/>
            <w:left w:val="none" w:sz="0" w:space="0" w:color="auto"/>
            <w:bottom w:val="none" w:sz="0" w:space="0" w:color="auto"/>
            <w:right w:val="none" w:sz="0" w:space="0" w:color="auto"/>
          </w:divBdr>
        </w:div>
        <w:div w:id="1615673815">
          <w:marLeft w:val="0"/>
          <w:marRight w:val="0"/>
          <w:marTop w:val="0"/>
          <w:marBottom w:val="0"/>
          <w:divBdr>
            <w:top w:val="none" w:sz="0" w:space="0" w:color="auto"/>
            <w:left w:val="none" w:sz="0" w:space="0" w:color="auto"/>
            <w:bottom w:val="none" w:sz="0" w:space="0" w:color="auto"/>
            <w:right w:val="none" w:sz="0" w:space="0" w:color="auto"/>
          </w:divBdr>
        </w:div>
        <w:div w:id="31804564">
          <w:marLeft w:val="0"/>
          <w:marRight w:val="0"/>
          <w:marTop w:val="0"/>
          <w:marBottom w:val="0"/>
          <w:divBdr>
            <w:top w:val="none" w:sz="0" w:space="0" w:color="auto"/>
            <w:left w:val="none" w:sz="0" w:space="0" w:color="auto"/>
            <w:bottom w:val="none" w:sz="0" w:space="0" w:color="auto"/>
            <w:right w:val="none" w:sz="0" w:space="0" w:color="auto"/>
          </w:divBdr>
        </w:div>
        <w:div w:id="1519734565">
          <w:marLeft w:val="0"/>
          <w:marRight w:val="0"/>
          <w:marTop w:val="0"/>
          <w:marBottom w:val="0"/>
          <w:divBdr>
            <w:top w:val="none" w:sz="0" w:space="0" w:color="auto"/>
            <w:left w:val="none" w:sz="0" w:space="0" w:color="auto"/>
            <w:bottom w:val="none" w:sz="0" w:space="0" w:color="auto"/>
            <w:right w:val="none" w:sz="0" w:space="0" w:color="auto"/>
          </w:divBdr>
        </w:div>
        <w:div w:id="149653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1364</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2019-12-20T04:09:00Z</dcterms:created>
  <dcterms:modified xsi:type="dcterms:W3CDTF">2019-12-20T04:09:00Z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1133484</vt:lpwstr>
  </property>
  <property fmtid="{D5CDD505-2E9C-101B-9397-08002B2CF9AE}" pid="3" name="CHECKEDOUTFROMJMS">
    <vt:lpwstr/>
  </property>
  <property fmtid="{D5CDD505-2E9C-101B-9397-08002B2CF9AE}" pid="4" name="JMSREQUIREDCHECKIN">
    <vt:lpwstr/>
  </property>
</Properties>
</file>