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332E1"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22338E3F" w14:textId="450F74E7" w:rsidR="00C17FAB" w:rsidRDefault="007A6E0E">
      <w:pPr>
        <w:pStyle w:val="Billname"/>
        <w:spacing w:before="700"/>
      </w:pPr>
      <w:r>
        <w:t xml:space="preserve">Court Procedures (Fees) Determination </w:t>
      </w:r>
      <w:r w:rsidR="000E4DBF">
        <w:t xml:space="preserve">2020 </w:t>
      </w:r>
      <w:r w:rsidR="002A01EE">
        <w:t>(No 1)</w:t>
      </w:r>
    </w:p>
    <w:p w14:paraId="2EE4DCAE" w14:textId="34832D21" w:rsidR="00C17FAB" w:rsidRDefault="002D7C60" w:rsidP="00DA3B00">
      <w:pPr>
        <w:spacing w:before="340"/>
        <w:rPr>
          <w:rFonts w:ascii="Arial" w:hAnsi="Arial" w:cs="Arial"/>
          <w:b/>
          <w:bCs/>
        </w:rPr>
      </w:pPr>
      <w:r>
        <w:rPr>
          <w:rFonts w:ascii="Arial" w:hAnsi="Arial" w:cs="Arial"/>
          <w:b/>
          <w:bCs/>
        </w:rPr>
        <w:t xml:space="preserve">Disallowable instrument </w:t>
      </w:r>
      <w:r w:rsidRPr="00381798">
        <w:rPr>
          <w:rFonts w:ascii="Arial" w:hAnsi="Arial" w:cs="Arial"/>
          <w:b/>
          <w:bCs/>
        </w:rPr>
        <w:t>DI</w:t>
      </w:r>
      <w:r w:rsidR="000E4DBF">
        <w:rPr>
          <w:rFonts w:ascii="Arial" w:hAnsi="Arial" w:cs="Arial"/>
          <w:b/>
          <w:bCs/>
        </w:rPr>
        <w:t>2020-</w:t>
      </w:r>
      <w:r w:rsidR="008C6FBD">
        <w:rPr>
          <w:rFonts w:ascii="Arial" w:hAnsi="Arial" w:cs="Arial"/>
          <w:b/>
          <w:bCs/>
        </w:rPr>
        <w:t>13</w:t>
      </w:r>
    </w:p>
    <w:p w14:paraId="1CF2D83A" w14:textId="77777777" w:rsidR="00C17FAB" w:rsidRDefault="00C17FAB" w:rsidP="00DA3B00">
      <w:pPr>
        <w:pStyle w:val="madeunder"/>
        <w:spacing w:before="300" w:after="0"/>
      </w:pPr>
      <w:r>
        <w:t xml:space="preserve">made under the  </w:t>
      </w:r>
    </w:p>
    <w:p w14:paraId="2B5DFAD2" w14:textId="77777777" w:rsidR="00C17FAB" w:rsidRDefault="007A6E0E" w:rsidP="00DA3B00">
      <w:pPr>
        <w:pStyle w:val="CoverActName"/>
        <w:spacing w:before="320" w:after="0"/>
        <w:rPr>
          <w:rFonts w:cs="Arial"/>
          <w:sz w:val="20"/>
        </w:rPr>
      </w:pPr>
      <w:r>
        <w:rPr>
          <w:rFonts w:cs="Arial"/>
          <w:sz w:val="20"/>
        </w:rPr>
        <w:t>Court Procedures Act 2004</w:t>
      </w:r>
      <w:r w:rsidR="00AA1B34">
        <w:rPr>
          <w:rFonts w:cs="Arial"/>
          <w:sz w:val="20"/>
        </w:rPr>
        <w:t>,</w:t>
      </w:r>
      <w:r>
        <w:rPr>
          <w:rFonts w:cs="Arial"/>
          <w:sz w:val="20"/>
        </w:rPr>
        <w:t xml:space="preserve"> s</w:t>
      </w:r>
      <w:r w:rsidR="004E7B95">
        <w:rPr>
          <w:rFonts w:cs="Arial"/>
          <w:sz w:val="20"/>
        </w:rPr>
        <w:t xml:space="preserve"> </w:t>
      </w:r>
      <w:r>
        <w:rPr>
          <w:rFonts w:cs="Arial"/>
          <w:sz w:val="20"/>
        </w:rPr>
        <w:t>13 (Determination of fees)</w:t>
      </w:r>
    </w:p>
    <w:p w14:paraId="4F6C044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DED2E9F" w14:textId="77777777" w:rsidR="00C17FAB" w:rsidRDefault="00C17FAB">
      <w:pPr>
        <w:pStyle w:val="N-line3"/>
        <w:pBdr>
          <w:bottom w:val="none" w:sz="0" w:space="0" w:color="auto"/>
        </w:pBdr>
      </w:pPr>
    </w:p>
    <w:p w14:paraId="0F227C41" w14:textId="77777777" w:rsidR="00C17FAB" w:rsidRDefault="00C17FAB">
      <w:pPr>
        <w:pStyle w:val="N-line3"/>
        <w:pBdr>
          <w:top w:val="single" w:sz="12" w:space="1" w:color="auto"/>
          <w:bottom w:val="none" w:sz="0" w:space="0" w:color="auto"/>
        </w:pBdr>
      </w:pPr>
    </w:p>
    <w:bookmarkEnd w:id="0"/>
    <w:p w14:paraId="39059212" w14:textId="77777777" w:rsidR="00D1115A" w:rsidRPr="00580342" w:rsidRDefault="00E32E8B" w:rsidP="00A71705">
      <w:pPr>
        <w:jc w:val="both"/>
      </w:pPr>
      <w:r w:rsidRPr="00580342">
        <w:t xml:space="preserve">Section 13 of the </w:t>
      </w:r>
      <w:r w:rsidRPr="00580342">
        <w:rPr>
          <w:i/>
        </w:rPr>
        <w:t>Court Procedures Act 2004</w:t>
      </w:r>
      <w:r w:rsidRPr="00580342">
        <w:t xml:space="preserve"> </w:t>
      </w:r>
      <w:r w:rsidR="00D1115A" w:rsidRPr="00580342">
        <w:t xml:space="preserve">(the Act) </w:t>
      </w:r>
      <w:r w:rsidRPr="00580342">
        <w:t xml:space="preserve">provides that the </w:t>
      </w:r>
      <w:r w:rsidR="007A6E0E" w:rsidRPr="00580342">
        <w:t xml:space="preserve">Minister </w:t>
      </w:r>
      <w:r w:rsidRPr="00580342">
        <w:t>may</w:t>
      </w:r>
      <w:r w:rsidR="007A6E0E" w:rsidRPr="00580342">
        <w:t xml:space="preserve"> determine fees </w:t>
      </w:r>
      <w:r w:rsidR="00691122" w:rsidRPr="00580342">
        <w:t xml:space="preserve">under the Act </w:t>
      </w:r>
      <w:r w:rsidR="007A6E0E" w:rsidRPr="00580342">
        <w:t xml:space="preserve">for </w:t>
      </w:r>
      <w:r w:rsidRPr="00580342">
        <w:t>a number of</w:t>
      </w:r>
      <w:r w:rsidR="007A6E0E" w:rsidRPr="00580342">
        <w:t xml:space="preserve"> purposes</w:t>
      </w:r>
      <w:r w:rsidRPr="00580342">
        <w:t>, including</w:t>
      </w:r>
      <w:r w:rsidR="00D1115A" w:rsidRPr="00580342">
        <w:t>—</w:t>
      </w:r>
    </w:p>
    <w:p w14:paraId="25C188D1" w14:textId="77777777" w:rsidR="00D1115A" w:rsidRPr="00580342" w:rsidRDefault="00E32E8B" w:rsidP="00A71705">
      <w:pPr>
        <w:pStyle w:val="ListParagraph"/>
        <w:numPr>
          <w:ilvl w:val="0"/>
          <w:numId w:val="13"/>
        </w:numPr>
        <w:jc w:val="both"/>
      </w:pPr>
      <w:r w:rsidRPr="00580342">
        <w:t xml:space="preserve">proceedings in a court or the </w:t>
      </w:r>
      <w:r w:rsidR="00D1115A" w:rsidRPr="00580342">
        <w:t xml:space="preserve">ACT Civil and Administrative Tribunal (the </w:t>
      </w:r>
      <w:r w:rsidRPr="00580342">
        <w:t>ACAT</w:t>
      </w:r>
      <w:r w:rsidR="00D1115A" w:rsidRPr="00580342">
        <w:t>)</w:t>
      </w:r>
      <w:r w:rsidRPr="00580342">
        <w:t xml:space="preserve"> and matters incidental to the proceedings</w:t>
      </w:r>
      <w:r w:rsidR="00D1115A" w:rsidRPr="00580342">
        <w:t>;</w:t>
      </w:r>
    </w:p>
    <w:p w14:paraId="0CAA9052" w14:textId="77777777" w:rsidR="00D1115A" w:rsidRPr="00580342" w:rsidRDefault="00E32E8B" w:rsidP="00D1115A">
      <w:pPr>
        <w:pStyle w:val="ListParagraph"/>
        <w:numPr>
          <w:ilvl w:val="0"/>
          <w:numId w:val="13"/>
        </w:numPr>
      </w:pPr>
      <w:r w:rsidRPr="00580342">
        <w:t>facilities and services provided by the court or the ACAT</w:t>
      </w:r>
      <w:r w:rsidR="00D1115A" w:rsidRPr="00580342">
        <w:t>;</w:t>
      </w:r>
      <w:r w:rsidRPr="00580342">
        <w:t xml:space="preserve"> </w:t>
      </w:r>
      <w:r w:rsidR="00691122" w:rsidRPr="00580342">
        <w:t>and</w:t>
      </w:r>
    </w:p>
    <w:p w14:paraId="066F5DD4" w14:textId="77777777" w:rsidR="00C17FAB" w:rsidRPr="00580342" w:rsidRDefault="00E32E8B" w:rsidP="00A71705">
      <w:pPr>
        <w:pStyle w:val="ListParagraph"/>
        <w:numPr>
          <w:ilvl w:val="0"/>
          <w:numId w:val="13"/>
        </w:numPr>
        <w:jc w:val="both"/>
      </w:pPr>
      <w:r w:rsidRPr="00580342">
        <w:t>the service and execution of the process of a court of the Commonwealth, a State, another Territory or a foreign country.</w:t>
      </w:r>
    </w:p>
    <w:p w14:paraId="796F3ECA" w14:textId="77777777" w:rsidR="00691122" w:rsidRPr="00580342" w:rsidRDefault="00691122"/>
    <w:p w14:paraId="3BC8D51A" w14:textId="77777777" w:rsidR="00E32E8B" w:rsidRPr="00580342" w:rsidRDefault="00E32E8B">
      <w:r w:rsidRPr="00580342">
        <w:t>A determination may provide for—</w:t>
      </w:r>
    </w:p>
    <w:p w14:paraId="22A41AE4" w14:textId="77777777" w:rsidR="00E32E8B" w:rsidRPr="00580342" w:rsidRDefault="00E32E8B" w:rsidP="00A71705">
      <w:pPr>
        <w:pStyle w:val="ListParagraph"/>
        <w:numPr>
          <w:ilvl w:val="0"/>
          <w:numId w:val="12"/>
        </w:numPr>
        <w:jc w:val="both"/>
      </w:pPr>
      <w:r w:rsidRPr="00580342">
        <w:t>exempting people from liability to pay determined fees, completely or partly, in all or particular circumstances;</w:t>
      </w:r>
    </w:p>
    <w:p w14:paraId="0CA86B82" w14:textId="78310545" w:rsidR="00E32E8B" w:rsidRPr="00580342" w:rsidRDefault="00E32E8B" w:rsidP="00A71705">
      <w:pPr>
        <w:pStyle w:val="ListParagraph"/>
        <w:numPr>
          <w:ilvl w:val="0"/>
          <w:numId w:val="12"/>
        </w:numPr>
        <w:jc w:val="both"/>
      </w:pPr>
      <w:r w:rsidRPr="00580342">
        <w:t>remitting, refunding or waiving, by a registrar of a court or the ACAT, determined fees, completely or partly, in particular circumstances;</w:t>
      </w:r>
      <w:r w:rsidR="00D71AF1">
        <w:t xml:space="preserve"> and</w:t>
      </w:r>
    </w:p>
    <w:p w14:paraId="34310310" w14:textId="77777777" w:rsidR="00E32E8B" w:rsidRPr="00580342" w:rsidRDefault="00F609DE" w:rsidP="00A71705">
      <w:pPr>
        <w:pStyle w:val="ListParagraph"/>
        <w:numPr>
          <w:ilvl w:val="0"/>
          <w:numId w:val="12"/>
        </w:numPr>
        <w:jc w:val="both"/>
      </w:pPr>
      <w:r w:rsidRPr="00580342">
        <w:t>deferring</w:t>
      </w:r>
      <w:r w:rsidR="00E32E8B" w:rsidRPr="00580342">
        <w:t xml:space="preserve"> by a registrar of a court or the ACAT, liability to pay determined fees, completely or partly, in particular circumstances.</w:t>
      </w:r>
    </w:p>
    <w:p w14:paraId="574F566D" w14:textId="77777777" w:rsidR="00D1115A" w:rsidRPr="00580342" w:rsidRDefault="00D1115A" w:rsidP="00D36B2F"/>
    <w:p w14:paraId="19B376BB" w14:textId="3321E3C5" w:rsidR="00D36B2F" w:rsidRPr="00580342" w:rsidRDefault="008661F2" w:rsidP="008661F2">
      <w:pPr>
        <w:autoSpaceDE w:val="0"/>
        <w:autoSpaceDN w:val="0"/>
        <w:adjustRightInd w:val="0"/>
        <w:jc w:val="both"/>
      </w:pPr>
      <w:r>
        <w:rPr>
          <w:szCs w:val="24"/>
          <w:lang w:eastAsia="en-AU"/>
        </w:rPr>
        <w:t xml:space="preserve">The new determination (the </w:t>
      </w:r>
      <w:r w:rsidR="000E4DBF">
        <w:rPr>
          <w:szCs w:val="24"/>
          <w:lang w:eastAsia="en-AU"/>
        </w:rPr>
        <w:t xml:space="preserve">2020 </w:t>
      </w:r>
      <w:r>
        <w:rPr>
          <w:szCs w:val="24"/>
          <w:lang w:eastAsia="en-AU"/>
        </w:rPr>
        <w:t xml:space="preserve">determination) repeals the </w:t>
      </w:r>
      <w:r>
        <w:rPr>
          <w:i/>
          <w:szCs w:val="24"/>
          <w:lang w:eastAsia="en-AU"/>
        </w:rPr>
        <w:t>Court Procedures</w:t>
      </w:r>
      <w:r w:rsidRPr="00C02976">
        <w:rPr>
          <w:i/>
          <w:szCs w:val="24"/>
          <w:lang w:eastAsia="en-AU"/>
        </w:rPr>
        <w:t xml:space="preserve"> (Fees) Determination 201</w:t>
      </w:r>
      <w:r w:rsidR="000E4DBF">
        <w:rPr>
          <w:i/>
          <w:szCs w:val="24"/>
          <w:lang w:eastAsia="en-AU"/>
        </w:rPr>
        <w:t>9</w:t>
      </w:r>
      <w:r>
        <w:rPr>
          <w:szCs w:val="24"/>
          <w:lang w:eastAsia="en-AU"/>
        </w:rPr>
        <w:t xml:space="preserve"> (the 201</w:t>
      </w:r>
      <w:r w:rsidR="000E4DBF">
        <w:rPr>
          <w:szCs w:val="24"/>
          <w:lang w:eastAsia="en-AU"/>
        </w:rPr>
        <w:t>9</w:t>
      </w:r>
      <w:r>
        <w:rPr>
          <w:szCs w:val="24"/>
          <w:lang w:eastAsia="en-AU"/>
        </w:rPr>
        <w:t xml:space="preserve"> determination). As well as providing</w:t>
      </w:r>
      <w:r w:rsidR="004A054D">
        <w:rPr>
          <w:szCs w:val="24"/>
          <w:lang w:eastAsia="en-AU"/>
        </w:rPr>
        <w:t xml:space="preserve"> new fee items for the commencement of the Motor Vehicle Injuries jurisdiction in the </w:t>
      </w:r>
      <w:r w:rsidR="00D71AF1">
        <w:rPr>
          <w:szCs w:val="24"/>
          <w:lang w:eastAsia="en-AU"/>
        </w:rPr>
        <w:t>ACAT</w:t>
      </w:r>
      <w:r w:rsidR="004A054D">
        <w:rPr>
          <w:szCs w:val="24"/>
          <w:lang w:eastAsia="en-AU"/>
        </w:rPr>
        <w:t xml:space="preserve"> on 1 February 2020.</w:t>
      </w:r>
      <w:r>
        <w:rPr>
          <w:szCs w:val="24"/>
          <w:lang w:eastAsia="en-AU"/>
        </w:rPr>
        <w:t xml:space="preserve"> </w:t>
      </w:r>
      <w:r w:rsidR="00DA15B8">
        <w:t>Explanatory notes in the d</w:t>
      </w:r>
      <w:r w:rsidR="00D1115A" w:rsidRPr="00580342">
        <w:t xml:space="preserve">etermination list the fees previously determined </w:t>
      </w:r>
      <w:r w:rsidR="0091391C" w:rsidRPr="00580342">
        <w:t>to</w:t>
      </w:r>
      <w:r w:rsidR="00F609DE" w:rsidRPr="00580342">
        <w:t xml:space="preserve"> enable comparison.</w:t>
      </w:r>
    </w:p>
    <w:p w14:paraId="14DEA353" w14:textId="18E6A0A5" w:rsidR="00D36B2F" w:rsidRDefault="00D36B2F" w:rsidP="00D1115A"/>
    <w:p w14:paraId="62AD8865" w14:textId="36567C35" w:rsidR="00247248" w:rsidRDefault="00247248" w:rsidP="00D1115A"/>
    <w:p w14:paraId="2EE7DE36" w14:textId="1044991C" w:rsidR="00247248" w:rsidRDefault="00247248" w:rsidP="00D1115A"/>
    <w:p w14:paraId="32B27255" w14:textId="77777777" w:rsidR="00247248" w:rsidRDefault="00247248" w:rsidP="00D1115A"/>
    <w:p w14:paraId="58057A0F" w14:textId="77777777" w:rsidR="008661F2" w:rsidRPr="0099227B" w:rsidRDefault="008661F2" w:rsidP="008661F2">
      <w:pPr>
        <w:autoSpaceDE w:val="0"/>
        <w:autoSpaceDN w:val="0"/>
        <w:adjustRightInd w:val="0"/>
        <w:rPr>
          <w:szCs w:val="24"/>
          <w:lang w:eastAsia="en-AU"/>
        </w:rPr>
      </w:pPr>
      <w:r w:rsidRPr="0099227B">
        <w:rPr>
          <w:b/>
          <w:szCs w:val="24"/>
          <w:lang w:eastAsia="en-AU"/>
        </w:rPr>
        <w:t>Updates to the instrument</w:t>
      </w:r>
    </w:p>
    <w:p w14:paraId="652866CA" w14:textId="77777777" w:rsidR="00733B24" w:rsidRPr="00B63D61" w:rsidRDefault="00733B24" w:rsidP="00733B24"/>
    <w:p w14:paraId="7A06EA5A" w14:textId="21AC190B" w:rsidR="006E307D" w:rsidRDefault="00247248" w:rsidP="00B12EEA">
      <w:pPr>
        <w:jc w:val="both"/>
      </w:pPr>
      <w:r>
        <w:t xml:space="preserve">The determination introduces </w:t>
      </w:r>
      <w:r w:rsidR="00DF79B3">
        <w:t>four</w:t>
      </w:r>
      <w:r>
        <w:t xml:space="preserve"> new fees to support </w:t>
      </w:r>
      <w:r w:rsidR="00DF79B3">
        <w:t>claims</w:t>
      </w:r>
      <w:r>
        <w:t xml:space="preserve"> under the </w:t>
      </w:r>
      <w:r w:rsidRPr="00247248">
        <w:rPr>
          <w:i/>
          <w:iCs/>
        </w:rPr>
        <w:t>Motor Accident Injuries Act 2019</w:t>
      </w:r>
      <w:r>
        <w:t xml:space="preserve"> (MAI Act) brought to the </w:t>
      </w:r>
      <w:r w:rsidR="00D71AF1">
        <w:t>ACAT</w:t>
      </w:r>
      <w:r>
        <w:t>.</w:t>
      </w:r>
    </w:p>
    <w:p w14:paraId="7C4620CF" w14:textId="77777777" w:rsidR="00247248" w:rsidRDefault="00247248" w:rsidP="00247248">
      <w:pPr>
        <w:jc w:val="both"/>
      </w:pPr>
    </w:p>
    <w:p w14:paraId="585397AE" w14:textId="0ACF0EE4" w:rsidR="00247248" w:rsidRDefault="00247248" w:rsidP="00247248">
      <w:pPr>
        <w:jc w:val="both"/>
      </w:pPr>
      <w:r>
        <w:lastRenderedPageBreak/>
        <w:t xml:space="preserve">The MAI Act replaces the current at-fault compensation scheme operating under the </w:t>
      </w:r>
      <w:r w:rsidRPr="00247248">
        <w:rPr>
          <w:i/>
          <w:iCs/>
        </w:rPr>
        <w:t>Road Transport (Third-Party Insurance) Act 2008</w:t>
      </w:r>
      <w:r>
        <w:t xml:space="preserve"> with a new hybrid compensation scheme. The new Motor Accident Injuries (MAI) scheme will provide defined benefits for treatment and care as well as income replacement for anyone injured in a motor accident.  Quality of Life benefits to cover non-financial loss will also be available. The MAI Act provides </w:t>
      </w:r>
      <w:r w:rsidR="00F50928">
        <w:t xml:space="preserve">the </w:t>
      </w:r>
      <w:r>
        <w:t xml:space="preserve">ACAT with a new dispute resolution function </w:t>
      </w:r>
      <w:r w:rsidR="00F50928">
        <w:t>under</w:t>
      </w:r>
      <w:r>
        <w:t xml:space="preserve"> the MAI scheme</w:t>
      </w:r>
      <w:r w:rsidR="00DF79B3">
        <w:t>, which will com</w:t>
      </w:r>
      <w:r>
        <w:t>mence</w:t>
      </w:r>
      <w:r w:rsidR="00DF79B3">
        <w:t xml:space="preserve"> </w:t>
      </w:r>
      <w:r>
        <w:t xml:space="preserve">on 1 February 2020. </w:t>
      </w:r>
    </w:p>
    <w:p w14:paraId="76DD9DC4" w14:textId="2EFA6051" w:rsidR="006A71D6" w:rsidRDefault="006A71D6" w:rsidP="00247248">
      <w:pPr>
        <w:jc w:val="both"/>
      </w:pPr>
    </w:p>
    <w:p w14:paraId="564DBD7F" w14:textId="1608A53F" w:rsidR="006A71D6" w:rsidRPr="006A71D6" w:rsidRDefault="006A71D6" w:rsidP="00247248">
      <w:pPr>
        <w:jc w:val="both"/>
      </w:pPr>
      <w:r w:rsidRPr="006A71D6">
        <w:t>The new fees introduced by the determination are:</w:t>
      </w:r>
    </w:p>
    <w:p w14:paraId="4A107060" w14:textId="0A07D028" w:rsidR="00693459" w:rsidRDefault="006A71D6" w:rsidP="00DF0DBD">
      <w:pPr>
        <w:pStyle w:val="CS-Paragraphnumbering"/>
        <w:numPr>
          <w:ilvl w:val="0"/>
          <w:numId w:val="24"/>
        </w:numPr>
        <w:ind w:left="851"/>
        <w:rPr>
          <w:rFonts w:ascii="Times New Roman" w:hAnsi="Times New Roman" w:cs="Times New Roman"/>
        </w:rPr>
      </w:pPr>
      <w:r w:rsidRPr="00DF0DBD">
        <w:rPr>
          <w:rFonts w:ascii="Times New Roman" w:hAnsi="Times New Roman" w:cs="Times New Roman"/>
        </w:rPr>
        <w:t>New fee item 1002</w:t>
      </w:r>
      <w:r w:rsidRPr="00693459">
        <w:rPr>
          <w:rFonts w:ascii="Times New Roman" w:hAnsi="Times New Roman" w:cs="Times New Roman"/>
        </w:rPr>
        <w:t>.1 provide</w:t>
      </w:r>
      <w:r w:rsidR="00AA07AB">
        <w:rPr>
          <w:rFonts w:ascii="Times New Roman" w:hAnsi="Times New Roman" w:cs="Times New Roman"/>
        </w:rPr>
        <w:t>s</w:t>
      </w:r>
      <w:r w:rsidRPr="00693459">
        <w:rPr>
          <w:rFonts w:ascii="Times New Roman" w:hAnsi="Times New Roman" w:cs="Times New Roman"/>
        </w:rPr>
        <w:t xml:space="preserve"> a </w:t>
      </w:r>
      <w:r w:rsidRPr="001D731C">
        <w:rPr>
          <w:rFonts w:ascii="Times New Roman" w:hAnsi="Times New Roman" w:cs="Times New Roman"/>
        </w:rPr>
        <w:t xml:space="preserve">fee for applications for external review of an ACAT reviewable decision under the MAI Act. This fee has been determined based on the average fee paid in relation to civil disputes lodged with ACAT by natural persons ($270). </w:t>
      </w:r>
    </w:p>
    <w:p w14:paraId="7850A423" w14:textId="28DCE004" w:rsidR="00693459" w:rsidRDefault="006A71D6" w:rsidP="00DF0DBD">
      <w:pPr>
        <w:pStyle w:val="CS-Paragraphnumbering"/>
        <w:numPr>
          <w:ilvl w:val="0"/>
          <w:numId w:val="24"/>
        </w:numPr>
        <w:ind w:left="851"/>
        <w:rPr>
          <w:rFonts w:ascii="Times New Roman" w:hAnsi="Times New Roman" w:cs="Times New Roman"/>
        </w:rPr>
      </w:pPr>
      <w:r w:rsidRPr="00DF0DBD">
        <w:rPr>
          <w:rFonts w:ascii="Times New Roman" w:hAnsi="Times New Roman" w:cs="Times New Roman"/>
        </w:rPr>
        <w:t xml:space="preserve">New fee item 1002.2 and </w:t>
      </w:r>
      <w:r w:rsidR="00AA07AB">
        <w:rPr>
          <w:rFonts w:ascii="Times New Roman" w:hAnsi="Times New Roman" w:cs="Times New Roman"/>
        </w:rPr>
        <w:t>an</w:t>
      </w:r>
      <w:r w:rsidRPr="001D731C">
        <w:rPr>
          <w:rFonts w:ascii="Times New Roman" w:hAnsi="Times New Roman" w:cs="Times New Roman"/>
        </w:rPr>
        <w:t xml:space="preserve"> amendment to current fee item 1008 (Hearing fees) makes clear that no application or hearing fees are charged for death benefit payment applications. The MAI Act requires an insurer to make an application to ACAT for a payment and distribution order after accepting liability for a death benefit application. </w:t>
      </w:r>
    </w:p>
    <w:p w14:paraId="1DA68642" w14:textId="62497C1B" w:rsidR="00693459" w:rsidRDefault="006A71D6" w:rsidP="00DF0DBD">
      <w:pPr>
        <w:pStyle w:val="CS-Paragraphnumbering"/>
        <w:numPr>
          <w:ilvl w:val="0"/>
          <w:numId w:val="24"/>
        </w:numPr>
        <w:ind w:left="851"/>
        <w:rPr>
          <w:rFonts w:ascii="Times New Roman" w:hAnsi="Times New Roman" w:cs="Times New Roman"/>
        </w:rPr>
      </w:pPr>
      <w:r w:rsidRPr="001D731C">
        <w:rPr>
          <w:rFonts w:ascii="Times New Roman" w:hAnsi="Times New Roman" w:cs="Times New Roman"/>
        </w:rPr>
        <w:t>New fee item 1002.3 introduces a single fee to lodge an application for review of a Significant Occupational Impact report. A Significant Occupational Impact report is</w:t>
      </w:r>
      <w:r w:rsidR="00DF0DBD">
        <w:rPr>
          <w:rFonts w:ascii="Times New Roman" w:hAnsi="Times New Roman" w:cs="Times New Roman"/>
        </w:rPr>
        <w:t xml:space="preserve"> a</w:t>
      </w:r>
      <w:r w:rsidRPr="001D731C">
        <w:rPr>
          <w:rFonts w:ascii="Times New Roman" w:hAnsi="Times New Roman" w:cs="Times New Roman"/>
        </w:rPr>
        <w:t xml:space="preserve"> written report, by an independent medical examiner or independent health assessor of an injured person’s injury that states whether the person’s injury has a significant occupational impact on the injured person’s ability to undertake employment and complies with the Significant Occupational Impact assessment guidelines. </w:t>
      </w:r>
      <w:r w:rsidR="00DF0DBD">
        <w:rPr>
          <w:rFonts w:ascii="Times New Roman" w:hAnsi="Times New Roman" w:cs="Times New Roman"/>
        </w:rPr>
        <w:t>T</w:t>
      </w:r>
      <w:r w:rsidRPr="00DF0DBD">
        <w:rPr>
          <w:rFonts w:ascii="Times New Roman" w:hAnsi="Times New Roman" w:cs="Times New Roman"/>
        </w:rPr>
        <w:t xml:space="preserve">his fee has also been set based on the average fee paid in relation to civil disputes lodged with ACAT by </w:t>
      </w:r>
      <w:r w:rsidR="00DF0DBD">
        <w:rPr>
          <w:rFonts w:ascii="Times New Roman" w:hAnsi="Times New Roman" w:cs="Times New Roman"/>
        </w:rPr>
        <w:t xml:space="preserve">a </w:t>
      </w:r>
      <w:r w:rsidRPr="00DF0DBD">
        <w:rPr>
          <w:rFonts w:ascii="Times New Roman" w:hAnsi="Times New Roman" w:cs="Times New Roman"/>
        </w:rPr>
        <w:t>natural person.</w:t>
      </w:r>
    </w:p>
    <w:p w14:paraId="089F0A1C" w14:textId="33F30343" w:rsidR="00247248" w:rsidRPr="00DF0DBD" w:rsidRDefault="006A71D6" w:rsidP="00DF0DBD">
      <w:pPr>
        <w:pStyle w:val="CS-Paragraphnumbering"/>
        <w:numPr>
          <w:ilvl w:val="0"/>
          <w:numId w:val="24"/>
        </w:numPr>
        <w:ind w:left="851"/>
        <w:rPr>
          <w:rFonts w:ascii="Times New Roman" w:hAnsi="Times New Roman" w:cs="Times New Roman"/>
        </w:rPr>
      </w:pPr>
      <w:r w:rsidRPr="00DF0DBD">
        <w:rPr>
          <w:rFonts w:ascii="Times New Roman" w:hAnsi="Times New Roman" w:cs="Times New Roman"/>
        </w:rPr>
        <w:t>New fee item 1002.4 introduces a single fee to lodge an application to determine a future treatment payment under Chapter 4 of the MAI Act. An application may be lodged by either an insurer or an injured person in circumstances where an agreement to a payment amount cannot be reached by the parties</w:t>
      </w:r>
      <w:r w:rsidR="00DF0DBD">
        <w:rPr>
          <w:rFonts w:ascii="Times New Roman" w:hAnsi="Times New Roman" w:cs="Times New Roman"/>
        </w:rPr>
        <w:t>.</w:t>
      </w:r>
    </w:p>
    <w:p w14:paraId="62EA5663" w14:textId="77777777" w:rsidR="00247248" w:rsidRPr="006A71D6" w:rsidRDefault="00247248" w:rsidP="00693459">
      <w:pPr>
        <w:ind w:left="916"/>
        <w:jc w:val="both"/>
      </w:pPr>
    </w:p>
    <w:sectPr w:rsidR="00247248" w:rsidRPr="006A71D6"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A8596" w14:textId="77777777" w:rsidR="0069405E" w:rsidRDefault="0069405E" w:rsidP="00C17FAB">
      <w:r>
        <w:separator/>
      </w:r>
    </w:p>
  </w:endnote>
  <w:endnote w:type="continuationSeparator" w:id="0">
    <w:p w14:paraId="32C485A6" w14:textId="77777777" w:rsidR="0069405E" w:rsidRDefault="0069405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6C14" w14:textId="77777777" w:rsidR="00D07312" w:rsidRDefault="00D07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A904" w14:textId="1302EE97" w:rsidR="007F42C5" w:rsidRPr="00A67830" w:rsidRDefault="00A67830" w:rsidP="00A67830">
    <w:pPr>
      <w:pStyle w:val="Footer"/>
      <w:jc w:val="center"/>
      <w:rPr>
        <w:rFonts w:cs="Arial"/>
        <w:sz w:val="14"/>
      </w:rPr>
    </w:pPr>
    <w:r w:rsidRPr="00A6783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DB01" w14:textId="77777777" w:rsidR="00D07312" w:rsidRDefault="00D0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28457" w14:textId="77777777" w:rsidR="0069405E" w:rsidRDefault="0069405E" w:rsidP="00C17FAB">
      <w:r>
        <w:separator/>
      </w:r>
    </w:p>
  </w:footnote>
  <w:footnote w:type="continuationSeparator" w:id="0">
    <w:p w14:paraId="4EC77C48" w14:textId="77777777" w:rsidR="0069405E" w:rsidRDefault="0069405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FF2BE" w14:textId="77777777" w:rsidR="00D07312" w:rsidRDefault="00D07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4A1D" w14:textId="77777777" w:rsidR="00D07312" w:rsidRDefault="00D07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52DB" w14:textId="77777777" w:rsidR="00D07312" w:rsidRDefault="00D07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5A255E"/>
    <w:multiLevelType w:val="hybridMultilevel"/>
    <w:tmpl w:val="78E08F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4F7879"/>
    <w:multiLevelType w:val="hybridMultilevel"/>
    <w:tmpl w:val="C4CA138E"/>
    <w:lvl w:ilvl="0" w:tplc="0C09000F">
      <w:start w:val="1"/>
      <w:numFmt w:val="decimal"/>
      <w:lvlText w:val="%1."/>
      <w:lvlJc w:val="left"/>
      <w:pPr>
        <w:ind w:left="36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2B3764"/>
    <w:multiLevelType w:val="hybridMultilevel"/>
    <w:tmpl w:val="82FEB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82C38"/>
    <w:multiLevelType w:val="hybridMultilevel"/>
    <w:tmpl w:val="35BCFF12"/>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335872B8"/>
    <w:multiLevelType w:val="hybridMultilevel"/>
    <w:tmpl w:val="39944286"/>
    <w:lvl w:ilvl="0" w:tplc="6DBAF65E">
      <w:start w:val="1"/>
      <w:numFmt w:val="decimal"/>
      <w:pStyle w:val="CS-Paragraphnumbering"/>
      <w:lvlText w:val="%1."/>
      <w:lvlJc w:val="left"/>
      <w:pPr>
        <w:ind w:left="1212"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72D7AAD"/>
    <w:multiLevelType w:val="hybridMultilevel"/>
    <w:tmpl w:val="7C1A72BC"/>
    <w:lvl w:ilvl="0" w:tplc="5E3695A4">
      <w:start w:val="1"/>
      <w:numFmt w:val="decimal"/>
      <w:pStyle w:val="CS-RecommendationList"/>
      <w:lvlText w:val="%1."/>
      <w:lvlJc w:val="left"/>
      <w:pPr>
        <w:ind w:left="1080" w:hanging="360"/>
      </w:pPr>
      <w:rPr>
        <w:rFonts w:hint="default"/>
      </w:rPr>
    </w:lvl>
    <w:lvl w:ilvl="1" w:tplc="0C090017">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8536565"/>
    <w:multiLevelType w:val="hybridMultilevel"/>
    <w:tmpl w:val="25F0D78E"/>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3860009"/>
    <w:multiLevelType w:val="hybridMultilevel"/>
    <w:tmpl w:val="FE3A7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2A48FF"/>
    <w:multiLevelType w:val="hybridMultilevel"/>
    <w:tmpl w:val="59FA58B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7DF428D"/>
    <w:multiLevelType w:val="hybridMultilevel"/>
    <w:tmpl w:val="F00A621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6A53313D"/>
    <w:multiLevelType w:val="hybridMultilevel"/>
    <w:tmpl w:val="F00A621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6D313EEE"/>
    <w:multiLevelType w:val="hybridMultilevel"/>
    <w:tmpl w:val="CC6E1E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6EAD2CA5"/>
    <w:multiLevelType w:val="hybridMultilevel"/>
    <w:tmpl w:val="F00A621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73B3581F"/>
    <w:multiLevelType w:val="hybridMultilevel"/>
    <w:tmpl w:val="30F2059C"/>
    <w:lvl w:ilvl="0" w:tplc="0C09000F">
      <w:start w:val="1"/>
      <w:numFmt w:val="decimal"/>
      <w:lvlText w:val="%1."/>
      <w:lvlJc w:val="left"/>
      <w:pPr>
        <w:ind w:left="1572" w:hanging="360"/>
      </w:p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23"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3"/>
  </w:num>
  <w:num w:numId="2">
    <w:abstractNumId w:val="0"/>
  </w:num>
  <w:num w:numId="3">
    <w:abstractNumId w:val="5"/>
  </w:num>
  <w:num w:numId="4">
    <w:abstractNumId w:val="11"/>
  </w:num>
  <w:num w:numId="5">
    <w:abstractNumId w:val="20"/>
  </w:num>
  <w:num w:numId="6">
    <w:abstractNumId w:val="2"/>
  </w:num>
  <w:num w:numId="7">
    <w:abstractNumId w:val="9"/>
  </w:num>
  <w:num w:numId="8">
    <w:abstractNumId w:val="10"/>
  </w:num>
  <w:num w:numId="9">
    <w:abstractNumId w:val="23"/>
  </w:num>
  <w:num w:numId="10">
    <w:abstractNumId w:val="19"/>
  </w:num>
  <w:num w:numId="11">
    <w:abstractNumId w:val="14"/>
  </w:num>
  <w:num w:numId="12">
    <w:abstractNumId w:val="6"/>
  </w:num>
  <w:num w:numId="13">
    <w:abstractNumId w:val="15"/>
  </w:num>
  <w:num w:numId="14">
    <w:abstractNumId w:val="21"/>
  </w:num>
  <w:num w:numId="15">
    <w:abstractNumId w:val="13"/>
  </w:num>
  <w:num w:numId="16">
    <w:abstractNumId w:val="16"/>
  </w:num>
  <w:num w:numId="17">
    <w:abstractNumId w:val="17"/>
  </w:num>
  <w:num w:numId="18">
    <w:abstractNumId w:val="18"/>
  </w:num>
  <w:num w:numId="19">
    <w:abstractNumId w:val="12"/>
  </w:num>
  <w:num w:numId="20">
    <w:abstractNumId w:val="4"/>
  </w:num>
  <w:num w:numId="21">
    <w:abstractNumId w:val="1"/>
  </w:num>
  <w:num w:numId="22">
    <w:abstractNumId w:val="8"/>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78B1"/>
    <w:rsid w:val="0002701E"/>
    <w:rsid w:val="00032480"/>
    <w:rsid w:val="00046C13"/>
    <w:rsid w:val="00061DD6"/>
    <w:rsid w:val="00073A38"/>
    <w:rsid w:val="00095C4E"/>
    <w:rsid w:val="000D7AAB"/>
    <w:rsid w:val="000E00D3"/>
    <w:rsid w:val="000E4DBF"/>
    <w:rsid w:val="001109EA"/>
    <w:rsid w:val="00130C26"/>
    <w:rsid w:val="001415C4"/>
    <w:rsid w:val="001545B3"/>
    <w:rsid w:val="0019413B"/>
    <w:rsid w:val="0019559F"/>
    <w:rsid w:val="001A3559"/>
    <w:rsid w:val="001D731C"/>
    <w:rsid w:val="001E4DEB"/>
    <w:rsid w:val="0020006A"/>
    <w:rsid w:val="00247248"/>
    <w:rsid w:val="0025249F"/>
    <w:rsid w:val="0026038C"/>
    <w:rsid w:val="0027739D"/>
    <w:rsid w:val="002A01EE"/>
    <w:rsid w:val="002A6E60"/>
    <w:rsid w:val="002B147D"/>
    <w:rsid w:val="002D6A0E"/>
    <w:rsid w:val="002D7C60"/>
    <w:rsid w:val="002E3D91"/>
    <w:rsid w:val="002E656F"/>
    <w:rsid w:val="002F242D"/>
    <w:rsid w:val="003045EB"/>
    <w:rsid w:val="00354B7D"/>
    <w:rsid w:val="00360E28"/>
    <w:rsid w:val="00381798"/>
    <w:rsid w:val="00391D64"/>
    <w:rsid w:val="003B2C73"/>
    <w:rsid w:val="003C256D"/>
    <w:rsid w:val="003C51C7"/>
    <w:rsid w:val="004239C1"/>
    <w:rsid w:val="00457E64"/>
    <w:rsid w:val="0046091D"/>
    <w:rsid w:val="00474846"/>
    <w:rsid w:val="004A054D"/>
    <w:rsid w:val="004B0FEF"/>
    <w:rsid w:val="004E6C59"/>
    <w:rsid w:val="004E7B95"/>
    <w:rsid w:val="00580342"/>
    <w:rsid w:val="005B1E13"/>
    <w:rsid w:val="005C1975"/>
    <w:rsid w:val="005D6663"/>
    <w:rsid w:val="006124AE"/>
    <w:rsid w:val="0061344C"/>
    <w:rsid w:val="006347B7"/>
    <w:rsid w:val="006737C9"/>
    <w:rsid w:val="00675CF3"/>
    <w:rsid w:val="00691122"/>
    <w:rsid w:val="00693459"/>
    <w:rsid w:val="0069405E"/>
    <w:rsid w:val="006A2E24"/>
    <w:rsid w:val="006A4D95"/>
    <w:rsid w:val="006A71D6"/>
    <w:rsid w:val="006B5426"/>
    <w:rsid w:val="006E0782"/>
    <w:rsid w:val="006E307D"/>
    <w:rsid w:val="007010A1"/>
    <w:rsid w:val="00733B24"/>
    <w:rsid w:val="007346AC"/>
    <w:rsid w:val="00752B37"/>
    <w:rsid w:val="00762DB0"/>
    <w:rsid w:val="00764ACD"/>
    <w:rsid w:val="00780D27"/>
    <w:rsid w:val="00791D86"/>
    <w:rsid w:val="007A6E0E"/>
    <w:rsid w:val="007A77D4"/>
    <w:rsid w:val="007E30D5"/>
    <w:rsid w:val="007E4F64"/>
    <w:rsid w:val="007F42C5"/>
    <w:rsid w:val="007F6DA4"/>
    <w:rsid w:val="0082436B"/>
    <w:rsid w:val="0084736B"/>
    <w:rsid w:val="008661F2"/>
    <w:rsid w:val="00872212"/>
    <w:rsid w:val="0088342B"/>
    <w:rsid w:val="008877A5"/>
    <w:rsid w:val="008C6FBD"/>
    <w:rsid w:val="008D6B4A"/>
    <w:rsid w:val="008D7DF2"/>
    <w:rsid w:val="008E0899"/>
    <w:rsid w:val="00902354"/>
    <w:rsid w:val="0091391C"/>
    <w:rsid w:val="00927908"/>
    <w:rsid w:val="009370F4"/>
    <w:rsid w:val="0099227B"/>
    <w:rsid w:val="009B6BA1"/>
    <w:rsid w:val="00A12308"/>
    <w:rsid w:val="00A3086C"/>
    <w:rsid w:val="00A33C2A"/>
    <w:rsid w:val="00A4498F"/>
    <w:rsid w:val="00A52B66"/>
    <w:rsid w:val="00A67830"/>
    <w:rsid w:val="00A71705"/>
    <w:rsid w:val="00A87822"/>
    <w:rsid w:val="00A971BE"/>
    <w:rsid w:val="00AA07AB"/>
    <w:rsid w:val="00AA1B34"/>
    <w:rsid w:val="00AA3F66"/>
    <w:rsid w:val="00AB1BC6"/>
    <w:rsid w:val="00AB2F52"/>
    <w:rsid w:val="00AB31B7"/>
    <w:rsid w:val="00AD17A7"/>
    <w:rsid w:val="00AD61A5"/>
    <w:rsid w:val="00B12EEA"/>
    <w:rsid w:val="00B1572B"/>
    <w:rsid w:val="00B63D61"/>
    <w:rsid w:val="00B8579E"/>
    <w:rsid w:val="00B94006"/>
    <w:rsid w:val="00BA375F"/>
    <w:rsid w:val="00C02976"/>
    <w:rsid w:val="00C10481"/>
    <w:rsid w:val="00C17FAB"/>
    <w:rsid w:val="00C2482D"/>
    <w:rsid w:val="00C3620A"/>
    <w:rsid w:val="00C56159"/>
    <w:rsid w:val="00C65C7E"/>
    <w:rsid w:val="00C6624E"/>
    <w:rsid w:val="00C76591"/>
    <w:rsid w:val="00C82396"/>
    <w:rsid w:val="00C96B35"/>
    <w:rsid w:val="00CA397B"/>
    <w:rsid w:val="00CA6D91"/>
    <w:rsid w:val="00CB464B"/>
    <w:rsid w:val="00CE462C"/>
    <w:rsid w:val="00CE599C"/>
    <w:rsid w:val="00D07312"/>
    <w:rsid w:val="00D1115A"/>
    <w:rsid w:val="00D36B2F"/>
    <w:rsid w:val="00D63920"/>
    <w:rsid w:val="00D71AF1"/>
    <w:rsid w:val="00D867AE"/>
    <w:rsid w:val="00D93A23"/>
    <w:rsid w:val="00D961B1"/>
    <w:rsid w:val="00DA0FFF"/>
    <w:rsid w:val="00DA15B8"/>
    <w:rsid w:val="00DA3B00"/>
    <w:rsid w:val="00DB3258"/>
    <w:rsid w:val="00DB6CAF"/>
    <w:rsid w:val="00DE418D"/>
    <w:rsid w:val="00DF0DBD"/>
    <w:rsid w:val="00DF4A17"/>
    <w:rsid w:val="00DF79B3"/>
    <w:rsid w:val="00E32E8B"/>
    <w:rsid w:val="00E36B58"/>
    <w:rsid w:val="00E42D3A"/>
    <w:rsid w:val="00E46719"/>
    <w:rsid w:val="00E47291"/>
    <w:rsid w:val="00E627AC"/>
    <w:rsid w:val="00ED2653"/>
    <w:rsid w:val="00EE50AE"/>
    <w:rsid w:val="00EF0543"/>
    <w:rsid w:val="00F32216"/>
    <w:rsid w:val="00F37A5C"/>
    <w:rsid w:val="00F43BE0"/>
    <w:rsid w:val="00F50928"/>
    <w:rsid w:val="00F52FB3"/>
    <w:rsid w:val="00F566B3"/>
    <w:rsid w:val="00F609DE"/>
    <w:rsid w:val="00F82BBF"/>
    <w:rsid w:val="00FA1A48"/>
    <w:rsid w:val="00FD75CE"/>
    <w:rsid w:val="00FE15C5"/>
    <w:rsid w:val="00FF004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B9F53"/>
  <w14:defaultImageDpi w14:val="0"/>
  <w15:docId w15:val="{BA911335-7C9C-4071-B6DA-C1CBB1D1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link w:val="AparaChar"/>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ListParagraph">
    <w:name w:val="List Paragraph"/>
    <w:basedOn w:val="Normal"/>
    <w:uiPriority w:val="34"/>
    <w:qFormat/>
    <w:rsid w:val="006E307D"/>
    <w:pPr>
      <w:ind w:left="720"/>
      <w:contextualSpacing/>
    </w:pPr>
  </w:style>
  <w:style w:type="paragraph" w:styleId="BalloonText">
    <w:name w:val="Balloon Text"/>
    <w:basedOn w:val="Normal"/>
    <w:link w:val="BalloonTextChar"/>
    <w:uiPriority w:val="99"/>
    <w:semiHidden/>
    <w:unhideWhenUsed/>
    <w:rsid w:val="00A87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7822"/>
    <w:rPr>
      <w:rFonts w:ascii="Tahoma" w:hAnsi="Tahoma" w:cs="Tahoma"/>
      <w:sz w:val="16"/>
      <w:szCs w:val="16"/>
      <w:lang w:val="x-none" w:eastAsia="en-US"/>
    </w:rPr>
  </w:style>
  <w:style w:type="paragraph" w:customStyle="1" w:styleId="aNote">
    <w:name w:val="aNote"/>
    <w:basedOn w:val="Normal"/>
    <w:link w:val="aNoteChar"/>
    <w:rsid w:val="00E32E8B"/>
    <w:pPr>
      <w:spacing w:before="140"/>
      <w:ind w:left="1900" w:hanging="800"/>
      <w:jc w:val="both"/>
    </w:pPr>
    <w:rPr>
      <w:sz w:val="20"/>
    </w:rPr>
  </w:style>
  <w:style w:type="character" w:customStyle="1" w:styleId="charItals">
    <w:name w:val="charItals"/>
    <w:basedOn w:val="DefaultParagraphFont"/>
    <w:rsid w:val="00E32E8B"/>
    <w:rPr>
      <w:rFonts w:cs="Times New Roman"/>
      <w:i/>
    </w:rPr>
  </w:style>
  <w:style w:type="character" w:customStyle="1" w:styleId="aNoteChar">
    <w:name w:val="aNote Char"/>
    <w:basedOn w:val="DefaultParagraphFont"/>
    <w:link w:val="aNote"/>
    <w:locked/>
    <w:rsid w:val="00E32E8B"/>
    <w:rPr>
      <w:rFonts w:cs="Times New Roman"/>
      <w:lang w:val="x-none" w:eastAsia="en-US"/>
    </w:rPr>
  </w:style>
  <w:style w:type="paragraph" w:customStyle="1" w:styleId="CoverTextBullet">
    <w:name w:val="CoverTextBullet"/>
    <w:basedOn w:val="Normal"/>
    <w:qFormat/>
    <w:rsid w:val="00E32E8B"/>
    <w:pPr>
      <w:numPr>
        <w:numId w:val="11"/>
      </w:numPr>
      <w:spacing w:before="100"/>
      <w:jc w:val="both"/>
    </w:pPr>
    <w:rPr>
      <w:color w:val="000000"/>
      <w:sz w:val="20"/>
    </w:rPr>
  </w:style>
  <w:style w:type="character" w:customStyle="1" w:styleId="charCitHyperlinkAbbrev">
    <w:name w:val="charCitHyperlinkAbbrev"/>
    <w:basedOn w:val="Hyperlink"/>
    <w:uiPriority w:val="1"/>
    <w:rsid w:val="00E32E8B"/>
    <w:rPr>
      <w:rFonts w:cs="Times New Roman"/>
      <w:color w:val="0000FF" w:themeColor="hyperlink"/>
      <w:u w:val="none"/>
    </w:rPr>
  </w:style>
  <w:style w:type="character" w:customStyle="1" w:styleId="AparaChar">
    <w:name w:val="A para Char"/>
    <w:basedOn w:val="DefaultParagraphFont"/>
    <w:link w:val="Apara"/>
    <w:locked/>
    <w:rsid w:val="00E32E8B"/>
    <w:rPr>
      <w:rFonts w:cs="Times New Roman"/>
      <w:sz w:val="24"/>
      <w:lang w:val="x-none" w:eastAsia="en-US"/>
    </w:rPr>
  </w:style>
  <w:style w:type="character" w:customStyle="1" w:styleId="AmainChar">
    <w:name w:val="A main Char"/>
    <w:basedOn w:val="DefaultParagraphFont"/>
    <w:link w:val="Amain"/>
    <w:locked/>
    <w:rsid w:val="00E32E8B"/>
    <w:rPr>
      <w:rFonts w:cs="Times New Roman"/>
      <w:sz w:val="24"/>
      <w:lang w:val="x-none" w:eastAsia="en-US"/>
    </w:rPr>
  </w:style>
  <w:style w:type="character" w:styleId="CommentReference">
    <w:name w:val="annotation reference"/>
    <w:basedOn w:val="DefaultParagraphFont"/>
    <w:uiPriority w:val="99"/>
    <w:rsid w:val="00A3086C"/>
    <w:rPr>
      <w:rFonts w:cs="Times New Roman"/>
      <w:sz w:val="16"/>
      <w:szCs w:val="16"/>
    </w:rPr>
  </w:style>
  <w:style w:type="paragraph" w:styleId="CommentText">
    <w:name w:val="annotation text"/>
    <w:basedOn w:val="Normal"/>
    <w:link w:val="CommentTextChar"/>
    <w:uiPriority w:val="99"/>
    <w:rsid w:val="00A3086C"/>
    <w:rPr>
      <w:sz w:val="20"/>
    </w:rPr>
  </w:style>
  <w:style w:type="character" w:customStyle="1" w:styleId="CommentTextChar">
    <w:name w:val="Comment Text Char"/>
    <w:basedOn w:val="DefaultParagraphFont"/>
    <w:link w:val="CommentText"/>
    <w:uiPriority w:val="99"/>
    <w:locked/>
    <w:rsid w:val="00A3086C"/>
    <w:rPr>
      <w:rFonts w:cs="Times New Roman"/>
      <w:lang w:val="x-none" w:eastAsia="en-US"/>
    </w:rPr>
  </w:style>
  <w:style w:type="paragraph" w:styleId="CommentSubject">
    <w:name w:val="annotation subject"/>
    <w:basedOn w:val="CommentText"/>
    <w:next w:val="CommentText"/>
    <w:link w:val="CommentSubjectChar"/>
    <w:uiPriority w:val="99"/>
    <w:rsid w:val="00A3086C"/>
    <w:rPr>
      <w:b/>
      <w:bCs/>
    </w:rPr>
  </w:style>
  <w:style w:type="character" w:customStyle="1" w:styleId="CommentSubjectChar">
    <w:name w:val="Comment Subject Char"/>
    <w:basedOn w:val="CommentTextChar"/>
    <w:link w:val="CommentSubject"/>
    <w:uiPriority w:val="99"/>
    <w:locked/>
    <w:rsid w:val="00A3086C"/>
    <w:rPr>
      <w:rFonts w:cs="Times New Roman"/>
      <w:b/>
      <w:bCs/>
      <w:lang w:val="x-none" w:eastAsia="en-US"/>
    </w:rPr>
  </w:style>
  <w:style w:type="paragraph" w:customStyle="1" w:styleId="CS-RecommendationList">
    <w:name w:val="CS - Recommendation List"/>
    <w:basedOn w:val="Normal"/>
    <w:qFormat/>
    <w:rsid w:val="00247248"/>
    <w:pPr>
      <w:numPr>
        <w:numId w:val="19"/>
      </w:numPr>
      <w:spacing w:after="240"/>
      <w:contextualSpacing/>
    </w:pPr>
    <w:rPr>
      <w:rFonts w:ascii="Calibri" w:hAnsi="Calibri" w:cs="Calibri"/>
      <w:iCs/>
      <w:szCs w:val="24"/>
    </w:rPr>
  </w:style>
  <w:style w:type="paragraph" w:customStyle="1" w:styleId="CS-Paragraphnumbering">
    <w:name w:val="CS - Paragraph numbering"/>
    <w:basedOn w:val="Normal"/>
    <w:rsid w:val="006A71D6"/>
    <w:pPr>
      <w:numPr>
        <w:numId w:val="22"/>
      </w:numPr>
      <w:spacing w:after="120" w:line="276" w:lineRule="auto"/>
      <w:ind w:right="-45"/>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650000">
      <w:bodyDiv w:val="1"/>
      <w:marLeft w:val="0"/>
      <w:marRight w:val="0"/>
      <w:marTop w:val="0"/>
      <w:marBottom w:val="0"/>
      <w:divBdr>
        <w:top w:val="none" w:sz="0" w:space="0" w:color="auto"/>
        <w:left w:val="none" w:sz="0" w:space="0" w:color="auto"/>
        <w:bottom w:val="none" w:sz="0" w:space="0" w:color="auto"/>
        <w:right w:val="none" w:sz="0" w:space="0" w:color="auto"/>
      </w:divBdr>
    </w:div>
    <w:div w:id="971399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4CB7-4EC3-4135-B06E-E92A287B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3138</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2017-06-09T04:40:00Z</cp:lastPrinted>
  <dcterms:created xsi:type="dcterms:W3CDTF">2020-01-30T23:09:00Z</dcterms:created>
  <dcterms:modified xsi:type="dcterms:W3CDTF">2020-01-30T23:09:00Z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1143572</vt:lpwstr>
  </property>
  <property fmtid="{D5CDD505-2E9C-101B-9397-08002B2CF9AE}" pid="4" name="JMSREQUIREDCHECKIN">
    <vt:lpwstr/>
  </property>
</Properties>
</file>