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2BDBF44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253B67F9"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r w:rsidR="00753B7B">
        <w:rPr>
          <w:rFonts w:ascii="Arial" w:hAnsi="Arial" w:cs="Arial"/>
          <w:b/>
          <w:bCs/>
          <w:sz w:val="24"/>
          <w:szCs w:val="24"/>
        </w:rPr>
        <w:t>CORONERS AMENDMENT</w:t>
      </w:r>
      <w:r w:rsidR="00741C4A" w:rsidRPr="00741C4A">
        <w:rPr>
          <w:rFonts w:ascii="Arial" w:hAnsi="Arial" w:cs="Arial"/>
          <w:b/>
          <w:bCs/>
          <w:sz w:val="24"/>
          <w:szCs w:val="24"/>
        </w:rPr>
        <w:t xml:space="preserve"> BILL 20</w:t>
      </w:r>
      <w:r w:rsidR="00130A37">
        <w:rPr>
          <w:rFonts w:ascii="Arial" w:hAnsi="Arial" w:cs="Arial"/>
          <w:b/>
          <w:bCs/>
          <w:sz w:val="24"/>
          <w:szCs w:val="24"/>
        </w:rPr>
        <w:t>20</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21E7A29D"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EXPLANATORY STATEMENT</w:t>
      </w:r>
    </w:p>
    <w:p w14:paraId="4E561EC7" w14:textId="2BCC3D6E" w:rsidR="00BB387E" w:rsidRDefault="00F44F9B" w:rsidP="00BB387E">
      <w:pPr>
        <w:spacing w:after="0"/>
        <w:jc w:val="center"/>
        <w:rPr>
          <w:rFonts w:ascii="Arial" w:hAnsi="Arial" w:cs="Arial"/>
          <w:b/>
          <w:sz w:val="24"/>
          <w:szCs w:val="24"/>
        </w:rPr>
      </w:pPr>
      <w:r>
        <w:rPr>
          <w:rFonts w:ascii="Arial" w:hAnsi="Arial" w:cs="Arial"/>
          <w:b/>
          <w:sz w:val="24"/>
          <w:szCs w:val="24"/>
        </w:rPr>
        <w:t>and</w:t>
      </w:r>
    </w:p>
    <w:p w14:paraId="5779C3E5" w14:textId="5458B7CD" w:rsidR="00F44F9B" w:rsidRDefault="00F44F9B" w:rsidP="00BB387E">
      <w:pPr>
        <w:spacing w:after="0"/>
        <w:jc w:val="center"/>
        <w:rPr>
          <w:rFonts w:ascii="Arial" w:hAnsi="Arial" w:cs="Arial"/>
          <w:b/>
          <w:sz w:val="24"/>
          <w:szCs w:val="24"/>
        </w:rPr>
      </w:pPr>
      <w:r>
        <w:rPr>
          <w:rFonts w:ascii="Arial" w:hAnsi="Arial" w:cs="Arial"/>
          <w:b/>
          <w:sz w:val="24"/>
          <w:szCs w:val="24"/>
        </w:rPr>
        <w:t>HUMAN RIGHTS COMPATIBILITY STATEMENT</w:t>
      </w:r>
    </w:p>
    <w:p w14:paraId="6A900B36" w14:textId="05E553C3" w:rsidR="00F44F9B" w:rsidRPr="00BB387E" w:rsidRDefault="00F44F9B" w:rsidP="00BB387E">
      <w:pPr>
        <w:spacing w:after="0"/>
        <w:jc w:val="center"/>
        <w:rPr>
          <w:rFonts w:ascii="Arial" w:hAnsi="Arial" w:cs="Arial"/>
          <w:b/>
          <w:sz w:val="24"/>
          <w:szCs w:val="24"/>
        </w:rPr>
      </w:pPr>
      <w:r>
        <w:rPr>
          <w:rFonts w:ascii="Arial" w:hAnsi="Arial" w:cs="Arial"/>
          <w:b/>
          <w:sz w:val="24"/>
          <w:szCs w:val="24"/>
        </w:rPr>
        <w:t>(</w:t>
      </w:r>
      <w:r w:rsidRPr="00F44F9B">
        <w:rPr>
          <w:rFonts w:ascii="Arial" w:hAnsi="Arial" w:cs="Arial"/>
          <w:b/>
          <w:i/>
          <w:iCs/>
          <w:sz w:val="24"/>
          <w:szCs w:val="24"/>
        </w:rPr>
        <w:t>Human Rights Act 2004</w:t>
      </w:r>
      <w:r>
        <w:rPr>
          <w:rFonts w:ascii="Arial" w:hAnsi="Arial" w:cs="Arial"/>
          <w:b/>
          <w:sz w:val="24"/>
          <w:szCs w:val="24"/>
        </w:rPr>
        <w:t>, s 37)</w:t>
      </w: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49CB120B" w:rsidR="00BB387E" w:rsidRDefault="00BB387E" w:rsidP="00BB387E">
      <w:pPr>
        <w:spacing w:after="0"/>
        <w:jc w:val="center"/>
        <w:rPr>
          <w:rFonts w:ascii="Arial" w:hAnsi="Arial" w:cs="Arial"/>
          <w:b/>
          <w:sz w:val="24"/>
          <w:szCs w:val="24"/>
        </w:rPr>
      </w:pPr>
    </w:p>
    <w:p w14:paraId="0E7FFE4D" w14:textId="5F4B7C54" w:rsidR="00F44F9B" w:rsidRDefault="00F44F9B" w:rsidP="00BB387E">
      <w:pPr>
        <w:spacing w:after="0"/>
        <w:jc w:val="center"/>
        <w:rPr>
          <w:rFonts w:ascii="Arial" w:hAnsi="Arial" w:cs="Arial"/>
          <w:b/>
          <w:sz w:val="24"/>
          <w:szCs w:val="24"/>
        </w:rPr>
      </w:pPr>
    </w:p>
    <w:p w14:paraId="6DED90BC" w14:textId="77777777" w:rsidR="00F44F9B" w:rsidRPr="00BB387E" w:rsidRDefault="00F44F9B"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35709053" w:rsidR="00BB387E" w:rsidRPr="00BB387E" w:rsidRDefault="00753B7B" w:rsidP="00BB387E">
      <w:pPr>
        <w:spacing w:after="0"/>
        <w:ind w:right="686"/>
        <w:jc w:val="right"/>
        <w:rPr>
          <w:rFonts w:ascii="Arial" w:hAnsi="Arial" w:cs="Arial"/>
          <w:b/>
          <w:bCs/>
          <w:sz w:val="24"/>
          <w:szCs w:val="24"/>
        </w:rPr>
      </w:pPr>
      <w:r>
        <w:rPr>
          <w:rFonts w:ascii="Arial" w:hAnsi="Arial" w:cs="Arial"/>
          <w:b/>
          <w:bCs/>
          <w:sz w:val="24"/>
          <w:szCs w:val="24"/>
        </w:rPr>
        <w:t xml:space="preserve">Gordon Ramsay </w:t>
      </w:r>
      <w:r w:rsidR="00E954A1">
        <w:rPr>
          <w:rFonts w:ascii="Arial" w:hAnsi="Arial" w:cs="Arial"/>
          <w:b/>
          <w:bCs/>
          <w:sz w:val="24"/>
          <w:szCs w:val="24"/>
        </w:rPr>
        <w:t>MLA</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46635CCF" w:rsidR="00ED3B77" w:rsidRPr="00BB387E" w:rsidRDefault="00753B7B" w:rsidP="008C225D">
      <w:pPr>
        <w:pStyle w:val="Heading1"/>
        <w:jc w:val="center"/>
      </w:pPr>
      <w:r>
        <w:lastRenderedPageBreak/>
        <w:t>CORONERS AMENDMENT</w:t>
      </w:r>
      <w:r w:rsidR="00ED3B77" w:rsidRPr="00BB387E">
        <w:t xml:space="preserve"> BILL </w:t>
      </w:r>
      <w:r w:rsidR="00130A37" w:rsidRPr="00BB387E">
        <w:t>20</w:t>
      </w:r>
      <w:r w:rsidR="00130A37">
        <w:t>20</w:t>
      </w:r>
    </w:p>
    <w:p w14:paraId="7BD217BF" w14:textId="3EB39482" w:rsidR="00790FE4" w:rsidRDefault="00790FE4" w:rsidP="007F3D56">
      <w:pPr>
        <w:spacing w:after="0"/>
        <w:contextualSpacing/>
        <w:rPr>
          <w:rFonts w:ascii="Arial" w:hAnsi="Arial" w:cs="Arial"/>
          <w:b/>
          <w:sz w:val="24"/>
          <w:szCs w:val="24"/>
          <w:highlight w:val="yellow"/>
        </w:rPr>
      </w:pPr>
    </w:p>
    <w:p w14:paraId="1C55190C" w14:textId="34704ACF" w:rsidR="00790FE4" w:rsidRPr="006555E3" w:rsidRDefault="00330B66" w:rsidP="007F3D56">
      <w:pPr>
        <w:spacing w:after="0"/>
        <w:contextualSpacing/>
        <w:rPr>
          <w:rFonts w:ascii="Arial" w:hAnsi="Arial" w:cs="Arial"/>
          <w:b/>
          <w:sz w:val="24"/>
          <w:szCs w:val="24"/>
        </w:rPr>
      </w:pPr>
      <w:r>
        <w:rPr>
          <w:rFonts w:ascii="Arial" w:hAnsi="Arial" w:cs="Arial"/>
          <w:b/>
          <w:sz w:val="24"/>
          <w:szCs w:val="24"/>
        </w:rPr>
        <w:t xml:space="preserve">This bill </w:t>
      </w:r>
      <w:r w:rsidR="00F44F9B">
        <w:rPr>
          <w:rFonts w:ascii="Arial" w:hAnsi="Arial" w:cs="Arial"/>
          <w:b/>
          <w:sz w:val="24"/>
          <w:szCs w:val="24"/>
        </w:rPr>
        <w:t>is not</w:t>
      </w:r>
      <w:r>
        <w:rPr>
          <w:rFonts w:ascii="Arial" w:hAnsi="Arial" w:cs="Arial"/>
          <w:b/>
          <w:sz w:val="24"/>
          <w:szCs w:val="24"/>
        </w:rPr>
        <w:t xml:space="preserve"> a s</w:t>
      </w:r>
      <w:r w:rsidR="0052127F" w:rsidRPr="006555E3">
        <w:rPr>
          <w:rFonts w:ascii="Arial" w:hAnsi="Arial" w:cs="Arial"/>
          <w:b/>
          <w:sz w:val="24"/>
          <w:szCs w:val="24"/>
        </w:rPr>
        <w:t>ignificant bill</w:t>
      </w:r>
      <w:r w:rsidR="00753B7B">
        <w:rPr>
          <w:rFonts w:ascii="Arial" w:hAnsi="Arial" w:cs="Arial"/>
          <w:b/>
          <w:sz w:val="24"/>
          <w:szCs w:val="24"/>
        </w:rPr>
        <w:t>.</w:t>
      </w:r>
      <w:r w:rsidR="00F44F9B">
        <w:rPr>
          <w:rFonts w:ascii="Arial" w:hAnsi="Arial" w:cs="Arial"/>
          <w:b/>
          <w:sz w:val="24"/>
          <w:szCs w:val="24"/>
        </w:rPr>
        <w:t xml:space="preserve"> </w:t>
      </w:r>
      <w:r w:rsidR="00F44F9B" w:rsidRPr="00834FC9">
        <w:rPr>
          <w:rFonts w:ascii="Arial" w:hAnsi="Arial" w:cs="Arial"/>
          <w:bCs/>
          <w:sz w:val="24"/>
          <w:szCs w:val="24"/>
        </w:rPr>
        <w:t xml:space="preserve">Significant Bills are bills that </w:t>
      </w:r>
      <w:r w:rsidR="00F44F9B">
        <w:rPr>
          <w:rFonts w:ascii="Arial" w:hAnsi="Arial" w:cs="Arial"/>
          <w:bCs/>
          <w:sz w:val="24"/>
          <w:szCs w:val="24"/>
        </w:rPr>
        <w:t>have been assessed</w:t>
      </w:r>
      <w:r w:rsidR="00F44F9B" w:rsidRPr="00834FC9">
        <w:rPr>
          <w:rFonts w:ascii="Arial" w:hAnsi="Arial" w:cs="Arial"/>
          <w:bCs/>
          <w:sz w:val="24"/>
          <w:szCs w:val="24"/>
        </w:rPr>
        <w:t xml:space="preserve"> as </w:t>
      </w:r>
      <w:r w:rsidR="00F44F9B">
        <w:rPr>
          <w:rFonts w:ascii="Arial" w:hAnsi="Arial" w:cs="Arial"/>
          <w:bCs/>
          <w:sz w:val="24"/>
          <w:szCs w:val="24"/>
        </w:rPr>
        <w:t>likely to have</w:t>
      </w:r>
      <w:r w:rsidR="00F44F9B" w:rsidRPr="00834FC9">
        <w:rPr>
          <w:rFonts w:ascii="Arial" w:hAnsi="Arial" w:cs="Arial"/>
          <w:bCs/>
          <w:sz w:val="24"/>
          <w:szCs w:val="24"/>
        </w:rPr>
        <w:t xml:space="preserve"> significant </w:t>
      </w:r>
      <w:r w:rsidR="00F44F9B">
        <w:rPr>
          <w:rFonts w:ascii="Arial" w:hAnsi="Arial" w:cs="Arial"/>
          <w:bCs/>
          <w:sz w:val="24"/>
          <w:szCs w:val="24"/>
        </w:rPr>
        <w:t>engagement of human rights</w:t>
      </w:r>
      <w:r w:rsidR="00F44F9B" w:rsidRPr="00834FC9">
        <w:rPr>
          <w:rFonts w:ascii="Arial" w:hAnsi="Arial" w:cs="Arial"/>
          <w:bCs/>
          <w:sz w:val="24"/>
          <w:szCs w:val="24"/>
        </w:rPr>
        <w:t xml:space="preserve"> and require more detailed reasoning in relation to </w:t>
      </w:r>
      <w:r w:rsidR="00F44F9B">
        <w:rPr>
          <w:rFonts w:ascii="Arial" w:hAnsi="Arial" w:cs="Arial"/>
          <w:bCs/>
          <w:sz w:val="24"/>
          <w:szCs w:val="24"/>
        </w:rPr>
        <w:t xml:space="preserve">compatibility with the </w:t>
      </w:r>
      <w:r w:rsidR="00F44F9B" w:rsidRPr="00834FC9">
        <w:rPr>
          <w:rFonts w:ascii="Arial" w:hAnsi="Arial" w:cs="Arial"/>
          <w:bCs/>
          <w:i/>
          <w:iCs/>
          <w:sz w:val="24"/>
          <w:szCs w:val="24"/>
        </w:rPr>
        <w:t>Human Rights Act 2004</w:t>
      </w:r>
      <w:r w:rsidR="00F44F9B" w:rsidRPr="00834FC9">
        <w:rPr>
          <w:rFonts w:ascii="Arial" w:hAnsi="Arial" w:cs="Arial"/>
          <w:bCs/>
          <w:sz w:val="24"/>
          <w:szCs w:val="24"/>
        </w:rPr>
        <w:t>.</w:t>
      </w:r>
    </w:p>
    <w:p w14:paraId="29C29316" w14:textId="25FC64EA" w:rsidR="007B6A78" w:rsidRDefault="004177E4" w:rsidP="004F40C4">
      <w:pPr>
        <w:pStyle w:val="Heading2"/>
        <w:spacing w:before="200" w:after="200"/>
      </w:pPr>
      <w:r w:rsidRPr="00753B7B">
        <w:rPr>
          <w:rFonts w:cs="Arial"/>
          <w:iCs/>
          <w:szCs w:val="24"/>
        </w:rPr>
        <w:t xml:space="preserve"> </w:t>
      </w:r>
      <w:r w:rsidR="003323FA" w:rsidRPr="00827C08">
        <w:t>OVERVIEW OF THE BILL</w:t>
      </w:r>
    </w:p>
    <w:p w14:paraId="77696044" w14:textId="75E91944" w:rsidR="00DA5C03" w:rsidRPr="00827C08" w:rsidRDefault="00330B66" w:rsidP="00DA5C03">
      <w:pPr>
        <w:autoSpaceDE w:val="0"/>
        <w:autoSpaceDN w:val="0"/>
        <w:adjustRightInd w:val="0"/>
        <w:spacing w:after="120" w:line="240" w:lineRule="auto"/>
        <w:rPr>
          <w:rFonts w:ascii="Arial" w:hAnsi="Arial" w:cs="Arial"/>
          <w:iCs/>
          <w:sz w:val="24"/>
          <w:szCs w:val="24"/>
        </w:rPr>
      </w:pPr>
      <w:r w:rsidRPr="00753B7B">
        <w:rPr>
          <w:rFonts w:ascii="Arial" w:hAnsi="Arial" w:cs="Arial"/>
          <w:iCs/>
          <w:sz w:val="24"/>
          <w:szCs w:val="24"/>
        </w:rPr>
        <w:t>Th</w:t>
      </w:r>
      <w:r w:rsidR="00827C08">
        <w:rPr>
          <w:rFonts w:ascii="Arial" w:hAnsi="Arial" w:cs="Arial"/>
          <w:iCs/>
          <w:sz w:val="24"/>
          <w:szCs w:val="24"/>
        </w:rPr>
        <w:t>e</w:t>
      </w:r>
      <w:r w:rsidRPr="00753B7B">
        <w:rPr>
          <w:rFonts w:ascii="Arial" w:hAnsi="Arial" w:cs="Arial"/>
          <w:iCs/>
          <w:sz w:val="24"/>
          <w:szCs w:val="24"/>
        </w:rPr>
        <w:t xml:space="preserve"> </w:t>
      </w:r>
      <w:r w:rsidR="0062452A">
        <w:rPr>
          <w:rFonts w:ascii="Arial" w:hAnsi="Arial" w:cs="Arial"/>
          <w:iCs/>
          <w:sz w:val="24"/>
          <w:szCs w:val="24"/>
        </w:rPr>
        <w:t>b</w:t>
      </w:r>
      <w:r w:rsidRPr="00753B7B">
        <w:rPr>
          <w:rFonts w:ascii="Arial" w:hAnsi="Arial" w:cs="Arial"/>
          <w:iCs/>
          <w:sz w:val="24"/>
          <w:szCs w:val="24"/>
        </w:rPr>
        <w:t xml:space="preserve">ill amends the </w:t>
      </w:r>
      <w:r w:rsidRPr="00827C08">
        <w:rPr>
          <w:rFonts w:ascii="Arial" w:hAnsi="Arial" w:cs="Arial"/>
          <w:i/>
          <w:sz w:val="24"/>
          <w:szCs w:val="24"/>
        </w:rPr>
        <w:t>Coroners Act 1997</w:t>
      </w:r>
      <w:r w:rsidR="00B37D62">
        <w:rPr>
          <w:rFonts w:ascii="Arial" w:hAnsi="Arial" w:cs="Arial"/>
          <w:iCs/>
          <w:sz w:val="24"/>
          <w:szCs w:val="24"/>
        </w:rPr>
        <w:t xml:space="preserve"> </w:t>
      </w:r>
      <w:r w:rsidR="00DA5C03" w:rsidRPr="00827C08">
        <w:rPr>
          <w:rFonts w:ascii="Arial" w:hAnsi="Arial" w:cs="Arial"/>
          <w:iCs/>
          <w:sz w:val="24"/>
          <w:szCs w:val="24"/>
        </w:rPr>
        <w:t>to better respond to the justice needs of families engaging with the coronial system and to make it easier for the Coroners Court to implement restorative approaches in its daily practice</w:t>
      </w:r>
      <w:r w:rsidR="00DA5C03">
        <w:rPr>
          <w:rFonts w:ascii="Arial" w:hAnsi="Arial" w:cs="Arial"/>
          <w:iCs/>
          <w:sz w:val="24"/>
          <w:szCs w:val="24"/>
        </w:rPr>
        <w:t>.</w:t>
      </w:r>
    </w:p>
    <w:p w14:paraId="230DD77A" w14:textId="225899CA" w:rsidR="00B37D62" w:rsidRPr="00827C08" w:rsidRDefault="00330B66" w:rsidP="00827C08">
      <w:pPr>
        <w:spacing w:after="120"/>
        <w:ind w:right="-45"/>
        <w:rPr>
          <w:rFonts w:ascii="Arial" w:hAnsi="Arial" w:cs="Arial"/>
          <w:iCs/>
          <w:sz w:val="24"/>
          <w:szCs w:val="24"/>
        </w:rPr>
      </w:pPr>
      <w:r w:rsidRPr="00753B7B">
        <w:rPr>
          <w:rFonts w:ascii="Arial" w:hAnsi="Arial" w:cs="Arial"/>
          <w:iCs/>
          <w:sz w:val="24"/>
          <w:szCs w:val="24"/>
        </w:rPr>
        <w:t xml:space="preserve">The amendments </w:t>
      </w:r>
      <w:r w:rsidR="00B37D62">
        <w:rPr>
          <w:rFonts w:ascii="Arial" w:hAnsi="Arial" w:cs="Arial"/>
          <w:iCs/>
          <w:sz w:val="24"/>
          <w:szCs w:val="24"/>
        </w:rPr>
        <w:t>contained in this bill are one part of a larger project aimed at</w:t>
      </w:r>
      <w:r w:rsidRPr="00753B7B">
        <w:rPr>
          <w:rFonts w:ascii="Arial" w:hAnsi="Arial" w:cs="Arial"/>
          <w:iCs/>
          <w:sz w:val="24"/>
          <w:szCs w:val="24"/>
        </w:rPr>
        <w:t xml:space="preserve"> </w:t>
      </w:r>
      <w:r w:rsidR="007907E5" w:rsidRPr="00753B7B">
        <w:rPr>
          <w:rFonts w:ascii="Arial" w:hAnsi="Arial" w:cs="Arial"/>
          <w:iCs/>
          <w:sz w:val="24"/>
          <w:szCs w:val="24"/>
        </w:rPr>
        <w:t xml:space="preserve">making Canberra a Restorative City. </w:t>
      </w:r>
      <w:r w:rsidR="00B37D62" w:rsidRPr="00827C08">
        <w:rPr>
          <w:rFonts w:ascii="Arial" w:hAnsi="Arial" w:cs="Arial"/>
          <w:iCs/>
          <w:sz w:val="24"/>
          <w:szCs w:val="24"/>
        </w:rPr>
        <w:t>Restorative cities are based upon the principles of restorative practice – which recognise that relationships are central to our wellbeing, our community and our society.</w:t>
      </w:r>
    </w:p>
    <w:p w14:paraId="59279090" w14:textId="550DF374" w:rsidR="007B6A78" w:rsidRDefault="007907E5" w:rsidP="004D0E75">
      <w:pPr>
        <w:spacing w:after="120"/>
        <w:ind w:right="-45"/>
        <w:rPr>
          <w:rFonts w:ascii="Arial" w:hAnsi="Arial" w:cs="Arial"/>
          <w:iCs/>
          <w:sz w:val="24"/>
          <w:szCs w:val="24"/>
        </w:rPr>
      </w:pPr>
      <w:r w:rsidRPr="00753B7B">
        <w:rPr>
          <w:rFonts w:ascii="Arial" w:hAnsi="Arial" w:cs="Arial"/>
          <w:iCs/>
          <w:sz w:val="24"/>
          <w:szCs w:val="24"/>
        </w:rPr>
        <w:t xml:space="preserve">The </w:t>
      </w:r>
      <w:r w:rsidR="00681F51">
        <w:rPr>
          <w:rFonts w:ascii="Arial" w:hAnsi="Arial" w:cs="Arial"/>
          <w:iCs/>
          <w:sz w:val="24"/>
          <w:szCs w:val="24"/>
        </w:rPr>
        <w:t xml:space="preserve">amendments to the </w:t>
      </w:r>
      <w:r w:rsidR="009F0F1C" w:rsidRPr="009F0F1C">
        <w:rPr>
          <w:rFonts w:ascii="Arial" w:hAnsi="Arial" w:cs="Arial"/>
          <w:iCs/>
          <w:sz w:val="24"/>
          <w:szCs w:val="24"/>
        </w:rPr>
        <w:t>Coroners Act</w:t>
      </w:r>
      <w:r w:rsidRPr="00753B7B">
        <w:rPr>
          <w:rFonts w:ascii="Arial" w:hAnsi="Arial" w:cs="Arial"/>
          <w:iCs/>
          <w:sz w:val="24"/>
          <w:szCs w:val="24"/>
        </w:rPr>
        <w:t xml:space="preserve"> acknowledge the </w:t>
      </w:r>
      <w:r w:rsidR="002A399D">
        <w:rPr>
          <w:rFonts w:ascii="Arial" w:hAnsi="Arial" w:cs="Arial"/>
          <w:iCs/>
          <w:sz w:val="24"/>
          <w:szCs w:val="24"/>
        </w:rPr>
        <w:t xml:space="preserve">significant </w:t>
      </w:r>
      <w:r w:rsidRPr="00753B7B">
        <w:rPr>
          <w:rFonts w:ascii="Arial" w:hAnsi="Arial" w:cs="Arial"/>
          <w:iCs/>
          <w:sz w:val="24"/>
          <w:szCs w:val="24"/>
        </w:rPr>
        <w:t xml:space="preserve">impact </w:t>
      </w:r>
      <w:r w:rsidR="00681F51">
        <w:rPr>
          <w:rFonts w:ascii="Arial" w:hAnsi="Arial" w:cs="Arial"/>
          <w:iCs/>
          <w:sz w:val="24"/>
          <w:szCs w:val="24"/>
        </w:rPr>
        <w:t xml:space="preserve">that </w:t>
      </w:r>
      <w:r w:rsidRPr="00753B7B">
        <w:rPr>
          <w:rFonts w:ascii="Arial" w:hAnsi="Arial" w:cs="Arial"/>
          <w:iCs/>
          <w:sz w:val="24"/>
          <w:szCs w:val="24"/>
        </w:rPr>
        <w:t>an inquest or inquiry may have on the family and friends of a deceased person</w:t>
      </w:r>
      <w:r w:rsidR="002A399D">
        <w:rPr>
          <w:rFonts w:ascii="Arial" w:hAnsi="Arial" w:cs="Arial"/>
          <w:iCs/>
          <w:sz w:val="24"/>
          <w:szCs w:val="24"/>
        </w:rPr>
        <w:t xml:space="preserve"> and that, wherever possible, families should be able to engage with the process and be kept informed of the particulars and progress of an inquest into their family member’s death. Further,</w:t>
      </w:r>
      <w:r w:rsidR="003F2643">
        <w:rPr>
          <w:rFonts w:ascii="Arial" w:hAnsi="Arial" w:cs="Arial"/>
          <w:iCs/>
          <w:sz w:val="24"/>
          <w:szCs w:val="24"/>
        </w:rPr>
        <w:t xml:space="preserve"> the bill includes an amendment to make clear</w:t>
      </w:r>
      <w:r w:rsidR="002A399D">
        <w:rPr>
          <w:rFonts w:ascii="Arial" w:hAnsi="Arial" w:cs="Arial"/>
          <w:iCs/>
          <w:sz w:val="24"/>
          <w:szCs w:val="24"/>
        </w:rPr>
        <w:t xml:space="preserve"> </w:t>
      </w:r>
      <w:r w:rsidR="003F2643">
        <w:rPr>
          <w:rFonts w:ascii="Arial" w:hAnsi="Arial" w:cs="Arial"/>
          <w:iCs/>
          <w:sz w:val="24"/>
          <w:szCs w:val="24"/>
        </w:rPr>
        <w:t xml:space="preserve">that, </w:t>
      </w:r>
      <w:r w:rsidR="002A399D">
        <w:rPr>
          <w:rFonts w:ascii="Arial" w:hAnsi="Arial" w:cs="Arial"/>
          <w:iCs/>
          <w:sz w:val="24"/>
          <w:szCs w:val="24"/>
        </w:rPr>
        <w:t>as far as it is practicable to do so, cultural considerations should be taken into account and respected throughout the coronial process.</w:t>
      </w:r>
    </w:p>
    <w:p w14:paraId="2E17936C" w14:textId="0592E3D0" w:rsidR="005731E0" w:rsidRDefault="00DA5C03" w:rsidP="004D0E75">
      <w:pPr>
        <w:spacing w:after="120"/>
        <w:ind w:right="-45"/>
        <w:rPr>
          <w:rFonts w:ascii="Arial" w:hAnsi="Arial" w:cs="Arial"/>
          <w:iCs/>
          <w:sz w:val="24"/>
          <w:szCs w:val="24"/>
        </w:rPr>
      </w:pPr>
      <w:r>
        <w:rPr>
          <w:rFonts w:ascii="Arial" w:hAnsi="Arial" w:cs="Arial"/>
          <w:iCs/>
          <w:sz w:val="24"/>
          <w:szCs w:val="24"/>
        </w:rPr>
        <w:t>The bill also includes amendments to:</w:t>
      </w:r>
    </w:p>
    <w:p w14:paraId="00539A36" w14:textId="1705B6ED" w:rsidR="00DA5C03" w:rsidRPr="00827C08" w:rsidRDefault="00DA5C03" w:rsidP="00827C08">
      <w:pPr>
        <w:pStyle w:val="ListParagraph"/>
        <w:numPr>
          <w:ilvl w:val="0"/>
          <w:numId w:val="10"/>
        </w:numPr>
        <w:spacing w:after="120"/>
        <w:ind w:right="-45"/>
        <w:rPr>
          <w:rFonts w:ascii="Arial" w:hAnsi="Arial" w:cs="Arial"/>
          <w:iCs/>
          <w:sz w:val="24"/>
          <w:szCs w:val="24"/>
        </w:rPr>
      </w:pPr>
      <w:r w:rsidRPr="00827C08">
        <w:rPr>
          <w:rFonts w:ascii="Arial" w:hAnsi="Arial" w:cs="Arial"/>
          <w:iCs/>
          <w:sz w:val="24"/>
          <w:szCs w:val="24"/>
        </w:rPr>
        <w:t>create th</w:t>
      </w:r>
      <w:r>
        <w:rPr>
          <w:rFonts w:ascii="Arial" w:hAnsi="Arial" w:cs="Arial"/>
          <w:iCs/>
          <w:sz w:val="24"/>
          <w:szCs w:val="24"/>
        </w:rPr>
        <w:t>e</w:t>
      </w:r>
      <w:r w:rsidRPr="00827C08">
        <w:rPr>
          <w:rFonts w:ascii="Arial" w:hAnsi="Arial" w:cs="Arial"/>
          <w:iCs/>
          <w:sz w:val="24"/>
          <w:szCs w:val="24"/>
        </w:rPr>
        <w:t xml:space="preserve"> definition of ‘death in care’ which will apply to deaths where a person was subject to an order under the </w:t>
      </w:r>
      <w:r w:rsidRPr="00827C08">
        <w:rPr>
          <w:rFonts w:ascii="Arial" w:hAnsi="Arial" w:cs="Arial"/>
          <w:i/>
          <w:sz w:val="24"/>
          <w:szCs w:val="24"/>
        </w:rPr>
        <w:t>Mental Health Act 2015</w:t>
      </w:r>
      <w:r w:rsidRPr="00827C08">
        <w:rPr>
          <w:rFonts w:ascii="Arial" w:hAnsi="Arial" w:cs="Arial"/>
          <w:iCs/>
          <w:sz w:val="24"/>
          <w:szCs w:val="24"/>
        </w:rPr>
        <w:t xml:space="preserve"> or section 309 of the </w:t>
      </w:r>
      <w:r w:rsidRPr="00827C08">
        <w:rPr>
          <w:rFonts w:ascii="Arial" w:hAnsi="Arial" w:cs="Arial"/>
          <w:i/>
          <w:sz w:val="24"/>
          <w:szCs w:val="24"/>
        </w:rPr>
        <w:t>Crimes Act 1900</w:t>
      </w:r>
      <w:r w:rsidRPr="00827C08">
        <w:rPr>
          <w:rFonts w:ascii="Arial" w:hAnsi="Arial" w:cs="Arial"/>
          <w:iCs/>
          <w:sz w:val="24"/>
          <w:szCs w:val="24"/>
        </w:rPr>
        <w:t xml:space="preserve">; </w:t>
      </w:r>
    </w:p>
    <w:p w14:paraId="224FC02B" w14:textId="53080D89" w:rsidR="00DA5C03" w:rsidRPr="00827C08" w:rsidRDefault="00DA5C03" w:rsidP="00827C08">
      <w:pPr>
        <w:pStyle w:val="ListParagraph"/>
        <w:numPr>
          <w:ilvl w:val="0"/>
          <w:numId w:val="10"/>
        </w:numPr>
        <w:spacing w:after="120"/>
        <w:ind w:right="-45"/>
        <w:rPr>
          <w:rFonts w:ascii="Arial" w:hAnsi="Arial" w:cs="Arial"/>
          <w:iCs/>
          <w:sz w:val="24"/>
          <w:szCs w:val="24"/>
        </w:rPr>
      </w:pPr>
      <w:r w:rsidRPr="00827C08">
        <w:rPr>
          <w:rFonts w:ascii="Arial" w:hAnsi="Arial" w:cs="Arial"/>
          <w:iCs/>
          <w:sz w:val="24"/>
          <w:szCs w:val="24"/>
        </w:rPr>
        <w:t xml:space="preserve">include stepparents in the definition of ‘member of the immediate family’ for the purpose of the Coroners Act; </w:t>
      </w:r>
    </w:p>
    <w:p w14:paraId="688BEE16" w14:textId="0612D73A" w:rsidR="00DA5C03" w:rsidRPr="00827C08" w:rsidRDefault="00DA5C03" w:rsidP="00827C08">
      <w:pPr>
        <w:pStyle w:val="ListParagraph"/>
        <w:numPr>
          <w:ilvl w:val="0"/>
          <w:numId w:val="10"/>
        </w:numPr>
        <w:spacing w:after="120"/>
        <w:ind w:right="-45"/>
        <w:rPr>
          <w:rFonts w:ascii="Arial" w:hAnsi="Arial" w:cs="Arial"/>
          <w:iCs/>
          <w:sz w:val="24"/>
          <w:szCs w:val="24"/>
        </w:rPr>
      </w:pPr>
      <w:r w:rsidRPr="00827C08">
        <w:rPr>
          <w:rFonts w:ascii="Arial" w:hAnsi="Arial" w:cs="Arial"/>
          <w:iCs/>
          <w:sz w:val="24"/>
          <w:szCs w:val="24"/>
        </w:rPr>
        <w:t>create an error correction power for the Coroners Court</w:t>
      </w:r>
      <w:r>
        <w:rPr>
          <w:rFonts w:ascii="Arial" w:hAnsi="Arial" w:cs="Arial"/>
          <w:iCs/>
          <w:sz w:val="24"/>
          <w:szCs w:val="24"/>
        </w:rPr>
        <w:t xml:space="preserve"> to allow a coroner to amend their findings to correct an error, mistake or omission. This will also</w:t>
      </w:r>
      <w:r w:rsidRPr="00827C08">
        <w:rPr>
          <w:rFonts w:ascii="Arial" w:hAnsi="Arial" w:cs="Arial"/>
          <w:iCs/>
          <w:sz w:val="24"/>
          <w:szCs w:val="24"/>
        </w:rPr>
        <w:t xml:space="preserve"> clarify for families that they do not need to appeal to the </w:t>
      </w:r>
      <w:r>
        <w:rPr>
          <w:rFonts w:ascii="Arial" w:hAnsi="Arial" w:cs="Arial"/>
          <w:iCs/>
          <w:sz w:val="24"/>
          <w:szCs w:val="24"/>
        </w:rPr>
        <w:t xml:space="preserve">ACT </w:t>
      </w:r>
      <w:r w:rsidRPr="00827C08">
        <w:rPr>
          <w:rFonts w:ascii="Arial" w:hAnsi="Arial" w:cs="Arial"/>
          <w:iCs/>
          <w:sz w:val="24"/>
          <w:szCs w:val="24"/>
        </w:rPr>
        <w:t xml:space="preserve">Supreme Court to correct an error in coronial findings </w:t>
      </w:r>
      <w:r>
        <w:rPr>
          <w:rFonts w:ascii="Arial" w:hAnsi="Arial" w:cs="Arial"/>
          <w:iCs/>
          <w:sz w:val="24"/>
          <w:szCs w:val="24"/>
        </w:rPr>
        <w:t>resulting</w:t>
      </w:r>
      <w:r w:rsidRPr="00827C08">
        <w:rPr>
          <w:rFonts w:ascii="Arial" w:hAnsi="Arial" w:cs="Arial"/>
          <w:iCs/>
          <w:sz w:val="24"/>
          <w:szCs w:val="24"/>
        </w:rPr>
        <w:t xml:space="preserve"> from an accidental slip or omission; </w:t>
      </w:r>
    </w:p>
    <w:p w14:paraId="5B39C09F" w14:textId="3188FAD2" w:rsidR="00DA5C03" w:rsidRPr="00827C08" w:rsidRDefault="00DA5C03" w:rsidP="00827C08">
      <w:pPr>
        <w:pStyle w:val="ListParagraph"/>
        <w:numPr>
          <w:ilvl w:val="0"/>
          <w:numId w:val="10"/>
        </w:numPr>
        <w:spacing w:after="120"/>
        <w:ind w:right="-45"/>
        <w:rPr>
          <w:rFonts w:ascii="Arial" w:hAnsi="Arial" w:cs="Arial"/>
          <w:iCs/>
          <w:sz w:val="24"/>
          <w:szCs w:val="24"/>
        </w:rPr>
      </w:pPr>
      <w:r w:rsidRPr="00827C08">
        <w:rPr>
          <w:rFonts w:ascii="Arial" w:hAnsi="Arial" w:cs="Arial"/>
          <w:iCs/>
          <w:sz w:val="24"/>
          <w:szCs w:val="24"/>
        </w:rPr>
        <w:t xml:space="preserve">create a </w:t>
      </w:r>
      <w:r w:rsidR="003F0F38">
        <w:rPr>
          <w:rFonts w:ascii="Arial" w:hAnsi="Arial" w:cs="Arial"/>
          <w:iCs/>
          <w:sz w:val="24"/>
          <w:szCs w:val="24"/>
        </w:rPr>
        <w:t>g</w:t>
      </w:r>
      <w:r w:rsidRPr="00827C08">
        <w:rPr>
          <w:rFonts w:ascii="Arial" w:hAnsi="Arial" w:cs="Arial"/>
          <w:iCs/>
          <w:sz w:val="24"/>
          <w:szCs w:val="24"/>
        </w:rPr>
        <w:t xml:space="preserve">uidelines </w:t>
      </w:r>
      <w:r w:rsidR="00827C08" w:rsidRPr="00827C08">
        <w:rPr>
          <w:rFonts w:ascii="Arial" w:hAnsi="Arial" w:cs="Arial"/>
          <w:iCs/>
          <w:sz w:val="24"/>
          <w:szCs w:val="24"/>
        </w:rPr>
        <w:t>making power</w:t>
      </w:r>
      <w:r w:rsidRPr="00827C08">
        <w:rPr>
          <w:rFonts w:ascii="Arial" w:hAnsi="Arial" w:cs="Arial"/>
          <w:iCs/>
          <w:sz w:val="24"/>
          <w:szCs w:val="24"/>
        </w:rPr>
        <w:t xml:space="preserve"> which will allow the Attorney</w:t>
      </w:r>
      <w:r>
        <w:rPr>
          <w:rFonts w:ascii="Arial" w:hAnsi="Arial" w:cs="Arial"/>
          <w:iCs/>
          <w:sz w:val="24"/>
          <w:szCs w:val="24"/>
        </w:rPr>
        <w:noBreakHyphen/>
      </w:r>
      <w:r w:rsidRPr="00827C08">
        <w:rPr>
          <w:rFonts w:ascii="Arial" w:hAnsi="Arial" w:cs="Arial"/>
          <w:iCs/>
          <w:sz w:val="24"/>
          <w:szCs w:val="24"/>
        </w:rPr>
        <w:t>General to issue guidelines to assist in the preparation of government responses to coronial findings under section 57</w:t>
      </w:r>
      <w:r>
        <w:rPr>
          <w:rFonts w:ascii="Arial" w:hAnsi="Arial" w:cs="Arial"/>
          <w:iCs/>
          <w:sz w:val="24"/>
          <w:szCs w:val="24"/>
        </w:rPr>
        <w:t xml:space="preserve"> of the Coroners Act</w:t>
      </w:r>
      <w:r w:rsidRPr="00827C08">
        <w:rPr>
          <w:rFonts w:ascii="Arial" w:hAnsi="Arial" w:cs="Arial"/>
          <w:iCs/>
          <w:sz w:val="24"/>
          <w:szCs w:val="24"/>
        </w:rPr>
        <w:t xml:space="preserve">; </w:t>
      </w:r>
      <w:r w:rsidR="003F2643">
        <w:rPr>
          <w:rFonts w:ascii="Arial" w:hAnsi="Arial" w:cs="Arial"/>
          <w:iCs/>
          <w:sz w:val="24"/>
          <w:szCs w:val="24"/>
        </w:rPr>
        <w:t>and</w:t>
      </w:r>
    </w:p>
    <w:p w14:paraId="5C0A1330" w14:textId="7448B992" w:rsidR="00DA5C03" w:rsidRDefault="00DA5C03" w:rsidP="00827C08">
      <w:pPr>
        <w:pStyle w:val="ListParagraph"/>
        <w:numPr>
          <w:ilvl w:val="0"/>
          <w:numId w:val="10"/>
        </w:numPr>
        <w:spacing w:after="120"/>
        <w:ind w:right="-45"/>
        <w:rPr>
          <w:rFonts w:ascii="Arial" w:hAnsi="Arial" w:cs="Arial"/>
          <w:iCs/>
          <w:sz w:val="24"/>
          <w:szCs w:val="24"/>
        </w:rPr>
      </w:pPr>
      <w:r w:rsidRPr="00827C08">
        <w:rPr>
          <w:rFonts w:ascii="Arial" w:hAnsi="Arial" w:cs="Arial"/>
          <w:iCs/>
          <w:sz w:val="24"/>
          <w:szCs w:val="24"/>
        </w:rPr>
        <w:t xml:space="preserve">clarify notice periods for providing information to families in relation to hearings. </w:t>
      </w:r>
    </w:p>
    <w:p w14:paraId="5D5C6C0D" w14:textId="09B71031" w:rsidR="00E65AA5" w:rsidRPr="004F40C4" w:rsidRDefault="00AC59DF" w:rsidP="004F40C4">
      <w:pPr>
        <w:pStyle w:val="Heading2"/>
        <w:spacing w:before="200" w:after="200"/>
      </w:pPr>
      <w:r w:rsidRPr="004F40C4">
        <w:t>CONSULTATION ON THE PROPOSED APPROACH</w:t>
      </w:r>
    </w:p>
    <w:p w14:paraId="277A3E8C" w14:textId="1D7E5E5C" w:rsidR="007907E5" w:rsidRDefault="00330B66" w:rsidP="00827C08">
      <w:pPr>
        <w:spacing w:after="120"/>
        <w:ind w:right="-45"/>
        <w:rPr>
          <w:rFonts w:ascii="Arial" w:hAnsi="Arial" w:cs="Arial"/>
          <w:iCs/>
          <w:sz w:val="24"/>
          <w:szCs w:val="24"/>
        </w:rPr>
      </w:pPr>
      <w:r w:rsidRPr="00753B7B">
        <w:rPr>
          <w:rFonts w:ascii="Arial" w:hAnsi="Arial" w:cs="Arial"/>
          <w:iCs/>
          <w:sz w:val="24"/>
          <w:szCs w:val="24"/>
        </w:rPr>
        <w:t xml:space="preserve">The proposed amendments are the result of </w:t>
      </w:r>
      <w:r w:rsidR="002A399D">
        <w:rPr>
          <w:rFonts w:ascii="Arial" w:hAnsi="Arial" w:cs="Arial"/>
          <w:iCs/>
          <w:sz w:val="24"/>
          <w:szCs w:val="24"/>
        </w:rPr>
        <w:t xml:space="preserve">extensive </w:t>
      </w:r>
      <w:r w:rsidRPr="00753B7B">
        <w:rPr>
          <w:rFonts w:ascii="Arial" w:hAnsi="Arial" w:cs="Arial"/>
          <w:iCs/>
          <w:sz w:val="24"/>
          <w:szCs w:val="24"/>
        </w:rPr>
        <w:t xml:space="preserve">consultation with </w:t>
      </w:r>
      <w:r w:rsidR="002A399D">
        <w:rPr>
          <w:rFonts w:ascii="Arial" w:hAnsi="Arial" w:cs="Arial"/>
          <w:iCs/>
          <w:sz w:val="24"/>
          <w:szCs w:val="24"/>
        </w:rPr>
        <w:t xml:space="preserve">key </w:t>
      </w:r>
      <w:r w:rsidRPr="00753B7B">
        <w:rPr>
          <w:rFonts w:ascii="Arial" w:hAnsi="Arial" w:cs="Arial"/>
          <w:iCs/>
          <w:sz w:val="24"/>
          <w:szCs w:val="24"/>
        </w:rPr>
        <w:t>stakeholders</w:t>
      </w:r>
      <w:r w:rsidR="002A399D">
        <w:rPr>
          <w:rFonts w:ascii="Arial" w:hAnsi="Arial" w:cs="Arial"/>
          <w:iCs/>
          <w:sz w:val="24"/>
          <w:szCs w:val="24"/>
        </w:rPr>
        <w:t xml:space="preserve"> and families with lived experience of the ACT coronial system</w:t>
      </w:r>
      <w:r w:rsidRPr="00753B7B">
        <w:rPr>
          <w:rFonts w:ascii="Arial" w:hAnsi="Arial" w:cs="Arial"/>
          <w:iCs/>
          <w:sz w:val="24"/>
          <w:szCs w:val="24"/>
        </w:rPr>
        <w:t xml:space="preserve">. </w:t>
      </w:r>
      <w:r w:rsidR="007907E5" w:rsidRPr="00753B7B">
        <w:rPr>
          <w:rFonts w:ascii="Arial" w:hAnsi="Arial" w:cs="Arial"/>
          <w:iCs/>
          <w:sz w:val="24"/>
          <w:szCs w:val="24"/>
        </w:rPr>
        <w:t xml:space="preserve">The </w:t>
      </w:r>
      <w:r w:rsidR="007907E5" w:rsidRPr="00753B7B">
        <w:rPr>
          <w:rFonts w:ascii="Arial" w:hAnsi="Arial" w:cs="Arial"/>
          <w:iCs/>
          <w:sz w:val="24"/>
          <w:szCs w:val="24"/>
        </w:rPr>
        <w:lastRenderedPageBreak/>
        <w:t xml:space="preserve">input from stakeholders </w:t>
      </w:r>
      <w:r w:rsidR="002A399D">
        <w:rPr>
          <w:rFonts w:ascii="Arial" w:hAnsi="Arial" w:cs="Arial"/>
          <w:iCs/>
          <w:sz w:val="24"/>
          <w:szCs w:val="24"/>
        </w:rPr>
        <w:t xml:space="preserve">has </w:t>
      </w:r>
      <w:r w:rsidR="00AB44CF" w:rsidRPr="00753B7B">
        <w:rPr>
          <w:rFonts w:ascii="Arial" w:hAnsi="Arial" w:cs="Arial"/>
          <w:iCs/>
          <w:sz w:val="24"/>
          <w:szCs w:val="24"/>
        </w:rPr>
        <w:t>significantly</w:t>
      </w:r>
      <w:r w:rsidR="007907E5" w:rsidRPr="00753B7B">
        <w:rPr>
          <w:rFonts w:ascii="Arial" w:hAnsi="Arial" w:cs="Arial"/>
          <w:iCs/>
          <w:sz w:val="24"/>
          <w:szCs w:val="24"/>
        </w:rPr>
        <w:t xml:space="preserve"> informed the amendments proposed in this Bill.  </w:t>
      </w:r>
    </w:p>
    <w:p w14:paraId="1A2BA5E1" w14:textId="6E3769AB" w:rsidR="00790FE4" w:rsidRDefault="00503AAB" w:rsidP="004F40C4">
      <w:pPr>
        <w:pStyle w:val="Heading2"/>
        <w:spacing w:before="200" w:after="200"/>
      </w:pPr>
      <w:r w:rsidRPr="00325664">
        <w:t xml:space="preserve">CONSISTENCY WITH </w:t>
      </w:r>
      <w:r w:rsidR="00790FE4" w:rsidRPr="00325664">
        <w:t>HUMAN RIGHTS</w:t>
      </w:r>
    </w:p>
    <w:p w14:paraId="3351846A" w14:textId="77777777" w:rsidR="00325664" w:rsidRPr="00413CEE" w:rsidRDefault="00325664" w:rsidP="00325664">
      <w:pPr>
        <w:rPr>
          <w:rFonts w:ascii="Arial" w:hAnsi="Arial" w:cs="Arial"/>
          <w:iCs/>
          <w:sz w:val="24"/>
          <w:szCs w:val="24"/>
        </w:rPr>
      </w:pPr>
      <w:r w:rsidRPr="00413CEE">
        <w:rPr>
          <w:rFonts w:ascii="Arial" w:hAnsi="Arial" w:cs="Arial"/>
          <w:iCs/>
          <w:sz w:val="24"/>
          <w:szCs w:val="24"/>
        </w:rPr>
        <w:t xml:space="preserve">Section 9 of the </w:t>
      </w:r>
      <w:r w:rsidRPr="00413CEE">
        <w:rPr>
          <w:rFonts w:ascii="Arial" w:hAnsi="Arial" w:cs="Arial"/>
          <w:i/>
          <w:sz w:val="24"/>
          <w:szCs w:val="24"/>
        </w:rPr>
        <w:t>Human Rights Act 2004</w:t>
      </w:r>
      <w:r w:rsidRPr="00413CEE">
        <w:rPr>
          <w:rFonts w:ascii="Arial" w:hAnsi="Arial" w:cs="Arial"/>
          <w:iCs/>
          <w:sz w:val="24"/>
          <w:szCs w:val="24"/>
        </w:rPr>
        <w:t xml:space="preserve"> (HRA) protects the right to life. This right is based on the right to life under article 6(1) of the International Covenant on Civil and Political Rights (ICCPR) and article 1 of the Second Optional Protocol to the ICCPR. The right to life has three core elements to it:</w:t>
      </w:r>
    </w:p>
    <w:p w14:paraId="2974CB38" w14:textId="77777777" w:rsidR="00325664" w:rsidRDefault="00325664" w:rsidP="006B7E73">
      <w:pPr>
        <w:pStyle w:val="ListParagraph"/>
        <w:numPr>
          <w:ilvl w:val="0"/>
          <w:numId w:val="5"/>
        </w:numPr>
        <w:spacing w:after="120"/>
        <w:ind w:left="1077" w:hanging="357"/>
        <w:rPr>
          <w:rFonts w:ascii="Arial" w:hAnsi="Arial" w:cs="Arial"/>
          <w:iCs/>
          <w:sz w:val="24"/>
          <w:szCs w:val="24"/>
        </w:rPr>
      </w:pPr>
      <w:r w:rsidRPr="00413CEE">
        <w:rPr>
          <w:rFonts w:ascii="Arial" w:hAnsi="Arial" w:cs="Arial"/>
          <w:iCs/>
          <w:sz w:val="24"/>
          <w:szCs w:val="24"/>
        </w:rPr>
        <w:t xml:space="preserve">it prohibits </w:t>
      </w:r>
      <w:r>
        <w:rPr>
          <w:rFonts w:ascii="Arial" w:hAnsi="Arial" w:cs="Arial"/>
          <w:iCs/>
          <w:sz w:val="24"/>
          <w:szCs w:val="24"/>
        </w:rPr>
        <w:t>Government</w:t>
      </w:r>
      <w:r w:rsidRPr="00413CEE">
        <w:rPr>
          <w:rFonts w:ascii="Arial" w:hAnsi="Arial" w:cs="Arial"/>
          <w:iCs/>
          <w:sz w:val="24"/>
          <w:szCs w:val="24"/>
        </w:rPr>
        <w:t xml:space="preserve"> from arbitrarily killing a person; </w:t>
      </w:r>
    </w:p>
    <w:p w14:paraId="00A4EB0E" w14:textId="77777777" w:rsidR="00325664" w:rsidRDefault="00325664" w:rsidP="006B7E73">
      <w:pPr>
        <w:pStyle w:val="ListParagraph"/>
        <w:numPr>
          <w:ilvl w:val="0"/>
          <w:numId w:val="5"/>
        </w:numPr>
        <w:spacing w:after="120"/>
        <w:ind w:left="1077" w:hanging="357"/>
        <w:rPr>
          <w:rFonts w:ascii="Arial" w:hAnsi="Arial" w:cs="Arial"/>
          <w:iCs/>
          <w:sz w:val="24"/>
          <w:szCs w:val="24"/>
        </w:rPr>
      </w:pPr>
      <w:r w:rsidRPr="00413CEE">
        <w:rPr>
          <w:rFonts w:ascii="Arial" w:hAnsi="Arial" w:cs="Arial"/>
          <w:iCs/>
          <w:sz w:val="24"/>
          <w:szCs w:val="24"/>
        </w:rPr>
        <w:t xml:space="preserve">it imposes an obligation on </w:t>
      </w:r>
      <w:r>
        <w:rPr>
          <w:rFonts w:ascii="Arial" w:hAnsi="Arial" w:cs="Arial"/>
          <w:iCs/>
          <w:sz w:val="24"/>
          <w:szCs w:val="24"/>
        </w:rPr>
        <w:t xml:space="preserve">Government </w:t>
      </w:r>
      <w:r w:rsidRPr="00413CEE">
        <w:rPr>
          <w:rFonts w:ascii="Arial" w:hAnsi="Arial" w:cs="Arial"/>
          <w:iCs/>
          <w:sz w:val="24"/>
          <w:szCs w:val="24"/>
        </w:rPr>
        <w:t xml:space="preserve">to protect people from being killed by others or </w:t>
      </w:r>
      <w:r>
        <w:rPr>
          <w:rFonts w:ascii="Arial" w:hAnsi="Arial" w:cs="Arial"/>
          <w:iCs/>
          <w:sz w:val="24"/>
          <w:szCs w:val="24"/>
        </w:rPr>
        <w:t xml:space="preserve">reasonably </w:t>
      </w:r>
      <w:r w:rsidRPr="00413CEE">
        <w:rPr>
          <w:rFonts w:ascii="Arial" w:hAnsi="Arial" w:cs="Arial"/>
          <w:iCs/>
          <w:sz w:val="24"/>
          <w:szCs w:val="24"/>
        </w:rPr>
        <w:t>identified risks; and</w:t>
      </w:r>
    </w:p>
    <w:p w14:paraId="51DA250B" w14:textId="77777777" w:rsidR="00325664" w:rsidRPr="00413CEE" w:rsidRDefault="00325664" w:rsidP="006B7E73">
      <w:pPr>
        <w:pStyle w:val="ListParagraph"/>
        <w:numPr>
          <w:ilvl w:val="0"/>
          <w:numId w:val="5"/>
        </w:numPr>
        <w:spacing w:after="120"/>
        <w:ind w:left="1077" w:hanging="357"/>
        <w:rPr>
          <w:rFonts w:ascii="Arial" w:hAnsi="Arial" w:cs="Arial"/>
          <w:iCs/>
          <w:sz w:val="24"/>
          <w:szCs w:val="24"/>
        </w:rPr>
      </w:pPr>
      <w:r w:rsidRPr="00413CEE">
        <w:rPr>
          <w:rFonts w:ascii="Arial" w:hAnsi="Arial" w:cs="Arial"/>
          <w:iCs/>
          <w:sz w:val="24"/>
          <w:szCs w:val="24"/>
        </w:rPr>
        <w:t xml:space="preserve">it requires the state to undertake an effective and proper investigation into all deaths where the </w:t>
      </w:r>
      <w:r>
        <w:rPr>
          <w:rFonts w:ascii="Arial" w:hAnsi="Arial" w:cs="Arial"/>
          <w:iCs/>
          <w:sz w:val="24"/>
          <w:szCs w:val="24"/>
        </w:rPr>
        <w:t>Government</w:t>
      </w:r>
      <w:r w:rsidRPr="00413CEE">
        <w:rPr>
          <w:rFonts w:ascii="Arial" w:hAnsi="Arial" w:cs="Arial"/>
          <w:iCs/>
          <w:sz w:val="24"/>
          <w:szCs w:val="24"/>
        </w:rPr>
        <w:t xml:space="preserve"> is involved</w:t>
      </w:r>
      <w:r>
        <w:rPr>
          <w:rFonts w:ascii="Arial" w:hAnsi="Arial" w:cs="Arial"/>
          <w:iCs/>
          <w:sz w:val="24"/>
          <w:szCs w:val="24"/>
        </w:rPr>
        <w:t xml:space="preserve"> (the duty to investigate).</w:t>
      </w:r>
    </w:p>
    <w:p w14:paraId="02CC1FEB" w14:textId="77777777" w:rsidR="00325664" w:rsidRPr="00031552" w:rsidRDefault="00325664" w:rsidP="004F0796">
      <w:pPr>
        <w:pStyle w:val="ListParagraph"/>
        <w:spacing w:after="120" w:line="276" w:lineRule="auto"/>
        <w:ind w:left="0"/>
        <w:rPr>
          <w:rFonts w:ascii="Arial" w:hAnsi="Arial" w:cs="Arial"/>
          <w:iCs/>
          <w:sz w:val="24"/>
          <w:szCs w:val="24"/>
        </w:rPr>
      </w:pPr>
      <w:r>
        <w:rPr>
          <w:rFonts w:ascii="Arial" w:hAnsi="Arial" w:cs="Arial"/>
          <w:iCs/>
          <w:sz w:val="24"/>
          <w:szCs w:val="24"/>
        </w:rPr>
        <w:t>The duty of investigate, as implied from the right to life, specifically</w:t>
      </w:r>
      <w:r w:rsidRPr="00031552">
        <w:rPr>
          <w:rFonts w:ascii="Arial" w:hAnsi="Arial" w:cs="Arial"/>
          <w:iCs/>
          <w:sz w:val="24"/>
          <w:szCs w:val="24"/>
        </w:rPr>
        <w:t xml:space="preserve"> requires that there be an effective official investigation into all deaths which result from state use of force and where the state has failed to protect life. Such an investigation must be: </w:t>
      </w:r>
    </w:p>
    <w:p w14:paraId="6BF11FFC" w14:textId="77777777" w:rsidR="00325664" w:rsidRPr="00031552" w:rsidRDefault="00325664" w:rsidP="006B7E73">
      <w:pPr>
        <w:pStyle w:val="ListParagraph"/>
        <w:numPr>
          <w:ilvl w:val="0"/>
          <w:numId w:val="6"/>
        </w:numPr>
        <w:spacing w:after="120"/>
        <w:rPr>
          <w:rFonts w:ascii="Arial" w:hAnsi="Arial" w:cs="Arial"/>
          <w:iCs/>
          <w:sz w:val="24"/>
          <w:szCs w:val="24"/>
        </w:rPr>
      </w:pPr>
      <w:r w:rsidRPr="00031552">
        <w:rPr>
          <w:rFonts w:ascii="Arial" w:hAnsi="Arial" w:cs="Arial"/>
          <w:iCs/>
          <w:sz w:val="24"/>
          <w:szCs w:val="24"/>
        </w:rPr>
        <w:t xml:space="preserve">brought by the state in good faith and on its own initiative; </w:t>
      </w:r>
    </w:p>
    <w:p w14:paraId="1C64E76F" w14:textId="77777777" w:rsidR="00325664" w:rsidRPr="00031552" w:rsidRDefault="00325664" w:rsidP="006B7E73">
      <w:pPr>
        <w:pStyle w:val="ListParagraph"/>
        <w:numPr>
          <w:ilvl w:val="0"/>
          <w:numId w:val="6"/>
        </w:numPr>
        <w:spacing w:after="120"/>
        <w:rPr>
          <w:rFonts w:ascii="Arial" w:hAnsi="Arial" w:cs="Arial"/>
          <w:iCs/>
          <w:sz w:val="24"/>
          <w:szCs w:val="24"/>
        </w:rPr>
      </w:pPr>
      <w:r w:rsidRPr="00031552">
        <w:rPr>
          <w:rFonts w:ascii="Arial" w:hAnsi="Arial" w:cs="Arial"/>
          <w:iCs/>
          <w:sz w:val="24"/>
          <w:szCs w:val="24"/>
        </w:rPr>
        <w:t xml:space="preserve">independent and impartial; </w:t>
      </w:r>
    </w:p>
    <w:p w14:paraId="660F527B" w14:textId="77777777" w:rsidR="00325664" w:rsidRPr="00031552" w:rsidRDefault="00325664" w:rsidP="006B7E73">
      <w:pPr>
        <w:pStyle w:val="ListParagraph"/>
        <w:numPr>
          <w:ilvl w:val="0"/>
          <w:numId w:val="6"/>
        </w:numPr>
        <w:spacing w:after="120"/>
        <w:rPr>
          <w:rFonts w:ascii="Arial" w:hAnsi="Arial" w:cs="Arial"/>
          <w:iCs/>
          <w:sz w:val="24"/>
          <w:szCs w:val="24"/>
        </w:rPr>
      </w:pPr>
      <w:r w:rsidRPr="00031552">
        <w:rPr>
          <w:rFonts w:ascii="Arial" w:hAnsi="Arial" w:cs="Arial"/>
          <w:iCs/>
          <w:sz w:val="24"/>
          <w:szCs w:val="24"/>
        </w:rPr>
        <w:t xml:space="preserve">adequate and effective; </w:t>
      </w:r>
    </w:p>
    <w:p w14:paraId="74DC2B9F" w14:textId="77777777" w:rsidR="00325664" w:rsidRPr="00031552" w:rsidRDefault="00325664" w:rsidP="006B7E73">
      <w:pPr>
        <w:pStyle w:val="ListParagraph"/>
        <w:numPr>
          <w:ilvl w:val="0"/>
          <w:numId w:val="6"/>
        </w:numPr>
        <w:spacing w:after="120"/>
        <w:rPr>
          <w:rFonts w:ascii="Arial" w:hAnsi="Arial" w:cs="Arial"/>
          <w:iCs/>
          <w:sz w:val="24"/>
          <w:szCs w:val="24"/>
        </w:rPr>
      </w:pPr>
      <w:r w:rsidRPr="00031552">
        <w:rPr>
          <w:rFonts w:ascii="Arial" w:hAnsi="Arial" w:cs="Arial"/>
          <w:iCs/>
          <w:sz w:val="24"/>
          <w:szCs w:val="24"/>
        </w:rPr>
        <w:t xml:space="preserve">carried out promptly; </w:t>
      </w:r>
    </w:p>
    <w:p w14:paraId="3D826507" w14:textId="77777777" w:rsidR="00325664" w:rsidRPr="00031552" w:rsidRDefault="00325664" w:rsidP="006B7E73">
      <w:pPr>
        <w:pStyle w:val="ListParagraph"/>
        <w:numPr>
          <w:ilvl w:val="0"/>
          <w:numId w:val="6"/>
        </w:numPr>
        <w:spacing w:after="120"/>
        <w:rPr>
          <w:rFonts w:ascii="Arial" w:hAnsi="Arial" w:cs="Arial"/>
          <w:iCs/>
          <w:sz w:val="24"/>
          <w:szCs w:val="24"/>
        </w:rPr>
      </w:pPr>
      <w:r w:rsidRPr="00031552">
        <w:rPr>
          <w:rFonts w:ascii="Arial" w:hAnsi="Arial" w:cs="Arial"/>
          <w:iCs/>
          <w:sz w:val="24"/>
          <w:szCs w:val="24"/>
        </w:rPr>
        <w:t>open to public scrutiny; and</w:t>
      </w:r>
    </w:p>
    <w:p w14:paraId="4E6A9788" w14:textId="729C0CCB" w:rsidR="00325664" w:rsidRPr="00031552" w:rsidRDefault="00325664" w:rsidP="006B7E73">
      <w:pPr>
        <w:pStyle w:val="ListParagraph"/>
        <w:numPr>
          <w:ilvl w:val="0"/>
          <w:numId w:val="6"/>
        </w:numPr>
        <w:spacing w:after="120"/>
        <w:rPr>
          <w:rFonts w:ascii="Arial" w:hAnsi="Arial" w:cs="Arial"/>
          <w:iCs/>
          <w:sz w:val="24"/>
          <w:szCs w:val="24"/>
        </w:rPr>
      </w:pPr>
      <w:r w:rsidRPr="00031552">
        <w:rPr>
          <w:rFonts w:ascii="Arial" w:hAnsi="Arial" w:cs="Arial"/>
          <w:iCs/>
          <w:sz w:val="24"/>
          <w:szCs w:val="24"/>
        </w:rPr>
        <w:t xml:space="preserve">inclusive of the family of the </w:t>
      </w:r>
      <w:r w:rsidR="00827C08" w:rsidRPr="00031552">
        <w:rPr>
          <w:rFonts w:ascii="Arial" w:hAnsi="Arial" w:cs="Arial"/>
          <w:iCs/>
          <w:sz w:val="24"/>
          <w:szCs w:val="24"/>
        </w:rPr>
        <w:t>deceased and</w:t>
      </w:r>
      <w:r w:rsidRPr="00031552">
        <w:rPr>
          <w:rFonts w:ascii="Arial" w:hAnsi="Arial" w:cs="Arial"/>
          <w:iCs/>
          <w:sz w:val="24"/>
          <w:szCs w:val="24"/>
        </w:rPr>
        <w:t xml:space="preserve"> allow the family access to information relevant to the investigation.</w:t>
      </w:r>
      <w:r w:rsidRPr="00031552">
        <w:rPr>
          <w:rFonts w:ascii="Arial" w:hAnsi="Arial" w:cs="Arial"/>
          <w:iCs/>
          <w:sz w:val="24"/>
          <w:szCs w:val="24"/>
          <w:vertAlign w:val="superscript"/>
        </w:rPr>
        <w:footnoteReference w:id="2"/>
      </w:r>
      <w:r w:rsidRPr="00031552">
        <w:rPr>
          <w:rFonts w:ascii="Arial" w:hAnsi="Arial" w:cs="Arial"/>
          <w:iCs/>
          <w:sz w:val="24"/>
          <w:szCs w:val="24"/>
        </w:rPr>
        <w:t xml:space="preserve"> </w:t>
      </w:r>
    </w:p>
    <w:p w14:paraId="51F3969A" w14:textId="2B74EF80" w:rsidR="00325664" w:rsidRPr="00413CEE" w:rsidRDefault="00325664" w:rsidP="00325664">
      <w:pPr>
        <w:rPr>
          <w:rFonts w:ascii="Arial" w:hAnsi="Arial" w:cs="Arial"/>
          <w:iCs/>
          <w:sz w:val="24"/>
          <w:szCs w:val="24"/>
        </w:rPr>
      </w:pPr>
      <w:r w:rsidRPr="00413CEE">
        <w:rPr>
          <w:rFonts w:ascii="Arial" w:hAnsi="Arial" w:cs="Arial"/>
          <w:iCs/>
          <w:sz w:val="24"/>
          <w:szCs w:val="24"/>
        </w:rPr>
        <w:t>Cor</w:t>
      </w:r>
      <w:r>
        <w:rPr>
          <w:rFonts w:ascii="Arial" w:hAnsi="Arial" w:cs="Arial"/>
          <w:iCs/>
          <w:sz w:val="24"/>
          <w:szCs w:val="24"/>
        </w:rPr>
        <w:t>onial</w:t>
      </w:r>
      <w:r w:rsidRPr="00413CEE">
        <w:rPr>
          <w:rFonts w:ascii="Arial" w:hAnsi="Arial" w:cs="Arial"/>
          <w:iCs/>
          <w:sz w:val="24"/>
          <w:szCs w:val="24"/>
        </w:rPr>
        <w:t xml:space="preserve"> </w:t>
      </w:r>
      <w:r>
        <w:rPr>
          <w:rFonts w:ascii="Arial" w:hAnsi="Arial" w:cs="Arial"/>
          <w:iCs/>
          <w:sz w:val="24"/>
          <w:szCs w:val="24"/>
        </w:rPr>
        <w:t>inquests</w:t>
      </w:r>
      <w:r w:rsidRPr="00413CEE">
        <w:rPr>
          <w:rFonts w:ascii="Arial" w:hAnsi="Arial" w:cs="Arial"/>
          <w:iCs/>
          <w:sz w:val="24"/>
          <w:szCs w:val="24"/>
        </w:rPr>
        <w:t xml:space="preserve"> are an important mechanism by which the ACT Government fulfils this obligation</w:t>
      </w:r>
      <w:r>
        <w:rPr>
          <w:rFonts w:ascii="Arial" w:hAnsi="Arial" w:cs="Arial"/>
          <w:iCs/>
          <w:sz w:val="24"/>
          <w:szCs w:val="24"/>
        </w:rPr>
        <w:t>. This is because they provide for independent and impartial investigations into deaths</w:t>
      </w:r>
      <w:r w:rsidRPr="00413CEE">
        <w:rPr>
          <w:rFonts w:ascii="Arial" w:hAnsi="Arial" w:cs="Arial"/>
          <w:iCs/>
          <w:sz w:val="24"/>
          <w:szCs w:val="24"/>
        </w:rPr>
        <w:t>.</w:t>
      </w:r>
      <w:r>
        <w:rPr>
          <w:rFonts w:ascii="Arial" w:hAnsi="Arial" w:cs="Arial"/>
          <w:iCs/>
          <w:sz w:val="24"/>
          <w:szCs w:val="24"/>
        </w:rPr>
        <w:t xml:space="preserve"> The measures outlined in this bill promote the right to life by strengthening these processes including in respect of the inclusion of family members.</w:t>
      </w:r>
    </w:p>
    <w:p w14:paraId="08E560EC" w14:textId="1BB8472D" w:rsidR="00325664" w:rsidRDefault="00325664" w:rsidP="00325664">
      <w:pPr>
        <w:rPr>
          <w:rFonts w:ascii="Arial" w:hAnsi="Arial" w:cs="Arial"/>
          <w:sz w:val="24"/>
          <w:szCs w:val="24"/>
        </w:rPr>
      </w:pPr>
      <w:r>
        <w:rPr>
          <w:rFonts w:ascii="Arial" w:hAnsi="Arial" w:cs="Arial"/>
          <w:sz w:val="24"/>
          <w:szCs w:val="24"/>
        </w:rPr>
        <w:t>Currently, s</w:t>
      </w:r>
      <w:r w:rsidRPr="00413CEE">
        <w:rPr>
          <w:rFonts w:ascii="Arial" w:hAnsi="Arial" w:cs="Arial"/>
          <w:sz w:val="24"/>
          <w:szCs w:val="24"/>
        </w:rPr>
        <w:t xml:space="preserve">ection 42(b) of the </w:t>
      </w:r>
      <w:r w:rsidRPr="00413CEE">
        <w:rPr>
          <w:rFonts w:ascii="Arial" w:hAnsi="Arial" w:cs="Arial"/>
          <w:i/>
          <w:iCs/>
          <w:sz w:val="24"/>
          <w:szCs w:val="24"/>
        </w:rPr>
        <w:t>Coroners Act 1997</w:t>
      </w:r>
      <w:r w:rsidRPr="00413CEE">
        <w:rPr>
          <w:rFonts w:ascii="Arial" w:hAnsi="Arial" w:cs="Arial"/>
          <w:sz w:val="24"/>
          <w:szCs w:val="24"/>
        </w:rPr>
        <w:t xml:space="preserve"> provides the coroner with a discretion to grant leave to a person who, in the opinion of the coroner, has a sufficient interest in the subject matter of the inquest or inquiry, to appear in person </w:t>
      </w:r>
      <w:r w:rsidRPr="00413CEE">
        <w:rPr>
          <w:rFonts w:ascii="Arial" w:hAnsi="Arial" w:cs="Arial"/>
          <w:sz w:val="24"/>
          <w:szCs w:val="24"/>
        </w:rPr>
        <w:lastRenderedPageBreak/>
        <w:t xml:space="preserve">at a hearing or to be represented by a lawyer. A person granted that leave can then examine and cross examine witnesses on matters relevant to the inquest or inquiry to which the hearing relates. </w:t>
      </w:r>
      <w:r>
        <w:rPr>
          <w:rFonts w:ascii="Arial" w:hAnsi="Arial" w:cs="Arial"/>
          <w:sz w:val="24"/>
          <w:szCs w:val="24"/>
        </w:rPr>
        <w:t>While this provides for the participation of family members, the bill strengthen</w:t>
      </w:r>
      <w:r w:rsidR="00AE5542">
        <w:rPr>
          <w:rFonts w:ascii="Arial" w:hAnsi="Arial" w:cs="Arial"/>
          <w:sz w:val="24"/>
          <w:szCs w:val="24"/>
        </w:rPr>
        <w:t>s</w:t>
      </w:r>
      <w:r>
        <w:rPr>
          <w:rFonts w:ascii="Arial" w:hAnsi="Arial" w:cs="Arial"/>
          <w:sz w:val="24"/>
          <w:szCs w:val="24"/>
        </w:rPr>
        <w:t xml:space="preserve"> the ability of family members to be informed about and included in coronial processes including by:</w:t>
      </w:r>
    </w:p>
    <w:p w14:paraId="0B82B2F1" w14:textId="6EF96577" w:rsidR="003F0F38" w:rsidRDefault="00325664" w:rsidP="00FF43DF">
      <w:pPr>
        <w:pStyle w:val="ListParagraph"/>
        <w:numPr>
          <w:ilvl w:val="0"/>
          <w:numId w:val="7"/>
        </w:numPr>
        <w:spacing w:after="120" w:line="276" w:lineRule="auto"/>
        <w:rPr>
          <w:rFonts w:ascii="Arial" w:hAnsi="Arial" w:cs="Arial"/>
          <w:sz w:val="24"/>
          <w:szCs w:val="24"/>
        </w:rPr>
      </w:pPr>
      <w:r>
        <w:rPr>
          <w:rFonts w:ascii="Arial" w:hAnsi="Arial" w:cs="Arial"/>
          <w:sz w:val="24"/>
          <w:szCs w:val="24"/>
        </w:rPr>
        <w:t xml:space="preserve">providing </w:t>
      </w:r>
      <w:r w:rsidR="003F0F38">
        <w:rPr>
          <w:rFonts w:ascii="Arial" w:hAnsi="Arial" w:cs="Arial"/>
          <w:sz w:val="24"/>
          <w:szCs w:val="24"/>
        </w:rPr>
        <w:t xml:space="preserve">that, </w:t>
      </w:r>
      <w:r>
        <w:rPr>
          <w:rFonts w:ascii="Arial" w:hAnsi="Arial" w:cs="Arial"/>
          <w:sz w:val="24"/>
          <w:szCs w:val="24"/>
        </w:rPr>
        <w:t>in carrying out the objects of the Act in relation to an inquest into a person’s death</w:t>
      </w:r>
      <w:r w:rsidR="003F0F38">
        <w:rPr>
          <w:rFonts w:ascii="Arial" w:hAnsi="Arial" w:cs="Arial"/>
          <w:sz w:val="24"/>
          <w:szCs w:val="24"/>
        </w:rPr>
        <w:t>, for greater inclusion of the deceased person’s family members</w:t>
      </w:r>
      <w:r w:rsidR="008E0814">
        <w:rPr>
          <w:rFonts w:ascii="Arial" w:hAnsi="Arial" w:cs="Arial"/>
          <w:sz w:val="24"/>
          <w:szCs w:val="24"/>
        </w:rPr>
        <w:t>,</w:t>
      </w:r>
      <w:r w:rsidR="003F0F38">
        <w:rPr>
          <w:rFonts w:ascii="Arial" w:hAnsi="Arial" w:cs="Arial"/>
          <w:sz w:val="24"/>
          <w:szCs w:val="24"/>
        </w:rPr>
        <w:t xml:space="preserve"> </w:t>
      </w:r>
      <w:r>
        <w:rPr>
          <w:rFonts w:ascii="Arial" w:hAnsi="Arial" w:cs="Arial"/>
          <w:sz w:val="24"/>
          <w:szCs w:val="24"/>
        </w:rPr>
        <w:t>including</w:t>
      </w:r>
      <w:r w:rsidR="003F0F38">
        <w:rPr>
          <w:rFonts w:ascii="Arial" w:hAnsi="Arial" w:cs="Arial"/>
          <w:sz w:val="24"/>
          <w:szCs w:val="24"/>
        </w:rPr>
        <w:t>:</w:t>
      </w:r>
    </w:p>
    <w:p w14:paraId="10DD2173" w14:textId="77777777" w:rsidR="003F0F38" w:rsidRDefault="00325664" w:rsidP="003F0F38">
      <w:pPr>
        <w:pStyle w:val="ListParagraph"/>
        <w:numPr>
          <w:ilvl w:val="1"/>
          <w:numId w:val="7"/>
        </w:numPr>
        <w:spacing w:after="120" w:line="276" w:lineRule="auto"/>
        <w:rPr>
          <w:rFonts w:ascii="Arial" w:hAnsi="Arial" w:cs="Arial"/>
          <w:sz w:val="24"/>
          <w:szCs w:val="24"/>
        </w:rPr>
      </w:pPr>
      <w:r w:rsidRPr="00916269">
        <w:rPr>
          <w:rFonts w:ascii="Arial" w:hAnsi="Arial" w:cs="Arial"/>
          <w:sz w:val="24"/>
          <w:szCs w:val="24"/>
        </w:rPr>
        <w:t>recognis</w:t>
      </w:r>
      <w:r>
        <w:rPr>
          <w:rFonts w:ascii="Arial" w:hAnsi="Arial" w:cs="Arial"/>
          <w:sz w:val="24"/>
          <w:szCs w:val="24"/>
        </w:rPr>
        <w:t>ing</w:t>
      </w:r>
      <w:r w:rsidRPr="00413CEE">
        <w:rPr>
          <w:rFonts w:ascii="Arial" w:hAnsi="Arial" w:cs="Arial"/>
          <w:sz w:val="24"/>
          <w:szCs w:val="24"/>
        </w:rPr>
        <w:t xml:space="preserve"> the family and friends of the deceased person have an interest in having all reasonable questions about the circumstances of the person’s death answered; </w:t>
      </w:r>
    </w:p>
    <w:p w14:paraId="05A59D31" w14:textId="77777777" w:rsidR="003F0F38" w:rsidRDefault="00325664" w:rsidP="003F0F38">
      <w:pPr>
        <w:pStyle w:val="ListParagraph"/>
        <w:numPr>
          <w:ilvl w:val="1"/>
          <w:numId w:val="7"/>
        </w:numPr>
        <w:spacing w:after="120" w:line="276" w:lineRule="auto"/>
        <w:rPr>
          <w:rFonts w:ascii="Arial" w:hAnsi="Arial" w:cs="Arial"/>
          <w:sz w:val="24"/>
          <w:szCs w:val="24"/>
        </w:rPr>
      </w:pPr>
      <w:r w:rsidRPr="00413CEE">
        <w:rPr>
          <w:rFonts w:ascii="Arial" w:hAnsi="Arial" w:cs="Arial"/>
          <w:sz w:val="24"/>
          <w:szCs w:val="24"/>
        </w:rPr>
        <w:t xml:space="preserve">the death of a person, and an inquest into the person’s death, has a significant impact on the person’s family and friends; </w:t>
      </w:r>
    </w:p>
    <w:p w14:paraId="4411BB6E" w14:textId="77777777" w:rsidR="003F0F38" w:rsidRDefault="00325664" w:rsidP="003F0F38">
      <w:pPr>
        <w:pStyle w:val="ListParagraph"/>
        <w:numPr>
          <w:ilvl w:val="1"/>
          <w:numId w:val="7"/>
        </w:numPr>
        <w:spacing w:after="120" w:line="276" w:lineRule="auto"/>
        <w:rPr>
          <w:rFonts w:ascii="Arial" w:hAnsi="Arial" w:cs="Arial"/>
          <w:sz w:val="24"/>
          <w:szCs w:val="24"/>
        </w:rPr>
      </w:pPr>
      <w:r w:rsidRPr="00413CEE">
        <w:rPr>
          <w:rFonts w:ascii="Arial" w:hAnsi="Arial" w:cs="Arial"/>
          <w:sz w:val="24"/>
          <w:szCs w:val="24"/>
        </w:rPr>
        <w:t xml:space="preserve">members of the immediate family for the deceased person should, where appropriate, be kept informed of the particulars and progress of the inquest into the person’s death; </w:t>
      </w:r>
      <w:r w:rsidR="003F0F38">
        <w:rPr>
          <w:rFonts w:ascii="Arial" w:hAnsi="Arial" w:cs="Arial"/>
          <w:sz w:val="24"/>
          <w:szCs w:val="24"/>
        </w:rPr>
        <w:t>and</w:t>
      </w:r>
    </w:p>
    <w:p w14:paraId="62C40271" w14:textId="79B56930" w:rsidR="00325664" w:rsidRPr="00413CEE" w:rsidRDefault="00325664" w:rsidP="003F0F38">
      <w:pPr>
        <w:pStyle w:val="ListParagraph"/>
        <w:numPr>
          <w:ilvl w:val="1"/>
          <w:numId w:val="7"/>
        </w:numPr>
        <w:spacing w:after="120" w:line="276" w:lineRule="auto"/>
        <w:rPr>
          <w:rFonts w:ascii="Arial" w:hAnsi="Arial" w:cs="Arial"/>
          <w:sz w:val="24"/>
          <w:szCs w:val="24"/>
        </w:rPr>
      </w:pPr>
      <w:r w:rsidRPr="00413CEE">
        <w:rPr>
          <w:rFonts w:ascii="Arial" w:hAnsi="Arial" w:cs="Arial"/>
          <w:sz w:val="24"/>
          <w:szCs w:val="24"/>
        </w:rPr>
        <w:t>that different cultures have different beliefs and practices about death that should, where possible, be respected (clause 6, proposed section 3BA(2)(a)</w:t>
      </w:r>
      <w:r>
        <w:rPr>
          <w:rFonts w:ascii="Arial" w:hAnsi="Arial" w:cs="Arial"/>
          <w:sz w:val="24"/>
          <w:szCs w:val="24"/>
        </w:rPr>
        <w:t>;</w:t>
      </w:r>
    </w:p>
    <w:p w14:paraId="149E988C" w14:textId="143DDC44" w:rsidR="00325664" w:rsidRDefault="00325664" w:rsidP="00FF43DF">
      <w:pPr>
        <w:pStyle w:val="ListParagraph"/>
        <w:numPr>
          <w:ilvl w:val="0"/>
          <w:numId w:val="7"/>
        </w:numPr>
        <w:spacing w:after="120" w:line="276" w:lineRule="auto"/>
        <w:ind w:left="714" w:hanging="357"/>
        <w:rPr>
          <w:rFonts w:ascii="Arial" w:hAnsi="Arial" w:cs="Arial"/>
          <w:sz w:val="24"/>
          <w:szCs w:val="24"/>
        </w:rPr>
      </w:pPr>
      <w:r>
        <w:rPr>
          <w:rFonts w:ascii="Arial" w:hAnsi="Arial" w:cs="Arial"/>
          <w:sz w:val="24"/>
          <w:szCs w:val="24"/>
        </w:rPr>
        <w:t xml:space="preserve">providing </w:t>
      </w:r>
      <w:r w:rsidRPr="00413CEE">
        <w:rPr>
          <w:rFonts w:ascii="Arial" w:hAnsi="Arial" w:cs="Arial"/>
          <w:sz w:val="24"/>
          <w:szCs w:val="24"/>
        </w:rPr>
        <w:t>the coroner</w:t>
      </w:r>
      <w:r>
        <w:rPr>
          <w:rFonts w:ascii="Arial" w:hAnsi="Arial" w:cs="Arial"/>
          <w:sz w:val="24"/>
          <w:szCs w:val="24"/>
        </w:rPr>
        <w:t xml:space="preserve"> must</w:t>
      </w:r>
      <w:r w:rsidRPr="00413CEE">
        <w:rPr>
          <w:rFonts w:ascii="Arial" w:hAnsi="Arial" w:cs="Arial"/>
          <w:sz w:val="24"/>
          <w:szCs w:val="24"/>
        </w:rPr>
        <w:t xml:space="preserve"> take reasonable steps to notify a member of the immediate family of the deceased person about the time and place of the hearing</w:t>
      </w:r>
      <w:r>
        <w:rPr>
          <w:rFonts w:ascii="Arial" w:hAnsi="Arial" w:cs="Arial"/>
          <w:sz w:val="24"/>
          <w:szCs w:val="24"/>
        </w:rPr>
        <w:t xml:space="preserve"> (clause 13, section 37(1));</w:t>
      </w:r>
      <w:r w:rsidR="003F0F38">
        <w:rPr>
          <w:rFonts w:ascii="Arial" w:hAnsi="Arial" w:cs="Arial"/>
          <w:sz w:val="24"/>
          <w:szCs w:val="24"/>
        </w:rPr>
        <w:t xml:space="preserve"> and</w:t>
      </w:r>
    </w:p>
    <w:p w14:paraId="5AB712F5" w14:textId="0C8AC2C4" w:rsidR="00023B23" w:rsidRPr="003F0F38" w:rsidRDefault="00325664" w:rsidP="003F0F38">
      <w:pPr>
        <w:pStyle w:val="ListParagraph"/>
        <w:numPr>
          <w:ilvl w:val="0"/>
          <w:numId w:val="7"/>
        </w:numPr>
        <w:spacing w:after="120" w:line="276" w:lineRule="auto"/>
        <w:ind w:left="714" w:hanging="357"/>
        <w:rPr>
          <w:rFonts w:ascii="Arial" w:hAnsi="Arial" w:cs="Arial"/>
          <w:sz w:val="24"/>
          <w:szCs w:val="24"/>
        </w:rPr>
      </w:pPr>
      <w:r>
        <w:rPr>
          <w:rFonts w:ascii="Arial" w:hAnsi="Arial" w:cs="Arial"/>
          <w:sz w:val="24"/>
          <w:szCs w:val="24"/>
        </w:rPr>
        <w:t xml:space="preserve">providing that </w:t>
      </w:r>
      <w:r w:rsidR="003F0F38">
        <w:rPr>
          <w:rFonts w:ascii="Arial" w:hAnsi="Arial" w:cs="Arial"/>
          <w:sz w:val="24"/>
          <w:szCs w:val="24"/>
        </w:rPr>
        <w:t xml:space="preserve">a </w:t>
      </w:r>
      <w:r>
        <w:rPr>
          <w:rFonts w:ascii="Arial" w:hAnsi="Arial" w:cs="Arial"/>
          <w:sz w:val="24"/>
          <w:szCs w:val="24"/>
        </w:rPr>
        <w:t>coroner must, where practicable, provide 28 days public notice of a hearing, date, time and place (rather than the current 14 days) (clause 14, section 38)</w:t>
      </w:r>
      <w:r w:rsidRPr="00413CEE">
        <w:rPr>
          <w:rFonts w:ascii="Arial" w:hAnsi="Arial" w:cs="Arial"/>
          <w:sz w:val="24"/>
          <w:szCs w:val="24"/>
        </w:rPr>
        <w:t>.</w:t>
      </w:r>
    </w:p>
    <w:p w14:paraId="2927A5DD" w14:textId="7D541AA6" w:rsidR="00091E66" w:rsidRPr="006D49BD" w:rsidRDefault="00091E66" w:rsidP="004D1224">
      <w:pPr>
        <w:pageBreakBefore/>
        <w:spacing w:after="0"/>
        <w:rPr>
          <w:rFonts w:ascii="Arial" w:hAnsi="Arial" w:cs="Arial"/>
          <w:b/>
          <w:bCs/>
          <w:sz w:val="24"/>
          <w:szCs w:val="24"/>
        </w:rPr>
      </w:pPr>
    </w:p>
    <w:p w14:paraId="04F50CE4" w14:textId="77777777" w:rsidR="00A5201D" w:rsidRDefault="00A5201D" w:rsidP="00E574DD">
      <w:pPr>
        <w:pStyle w:val="Heading2"/>
        <w:ind w:left="-108"/>
        <w:jc w:val="center"/>
        <w:rPr>
          <w:rFonts w:asciiTheme="minorHAnsi" w:hAnsiTheme="minorHAnsi" w:cs="Arial"/>
          <w:b w:val="0"/>
          <w:sz w:val="28"/>
          <w:szCs w:val="28"/>
          <w:lang w:eastAsia="en-AU"/>
        </w:rPr>
      </w:pPr>
      <w:bookmarkStart w:id="1" w:name="OLE_LINK1"/>
    </w:p>
    <w:p w14:paraId="79AD90A2" w14:textId="2FFD7E58" w:rsidR="00E574DD" w:rsidRPr="00943C7F" w:rsidRDefault="00753B7B"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Coroners</w:t>
      </w:r>
      <w:r w:rsidR="00CC1A4A">
        <w:rPr>
          <w:rFonts w:asciiTheme="minorHAnsi" w:hAnsiTheme="minorHAnsi" w:cs="Arial"/>
          <w:b w:val="0"/>
          <w:sz w:val="28"/>
          <w:szCs w:val="28"/>
          <w:lang w:eastAsia="en-AU"/>
        </w:rPr>
        <w:t xml:space="preserve"> </w:t>
      </w:r>
      <w:r w:rsidR="00E574DD" w:rsidRPr="00943C7F">
        <w:rPr>
          <w:rFonts w:asciiTheme="minorHAnsi" w:hAnsiTheme="minorHAnsi" w:cs="Arial"/>
          <w:b w:val="0"/>
          <w:sz w:val="28"/>
          <w:szCs w:val="28"/>
          <w:lang w:eastAsia="en-AU"/>
        </w:rPr>
        <w:t>Amendment Bill 20</w:t>
      </w:r>
      <w:r>
        <w:rPr>
          <w:rFonts w:asciiTheme="minorHAnsi" w:hAnsiTheme="minorHAnsi" w:cs="Arial"/>
          <w:b w:val="0"/>
          <w:sz w:val="28"/>
          <w:szCs w:val="28"/>
          <w:lang w:eastAsia="en-AU"/>
        </w:rPr>
        <w:t>20</w:t>
      </w:r>
    </w:p>
    <w:bookmarkEnd w:id="1"/>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70B67F29" w:rsidR="00E574DD" w:rsidRDefault="00E574DD" w:rsidP="00E574DD">
      <w:pPr>
        <w:jc w:val="both"/>
      </w:pPr>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753B7B">
        <w:rPr>
          <w:rFonts w:asciiTheme="minorHAnsi" w:hAnsiTheme="minorHAnsi"/>
          <w:b/>
        </w:rPr>
        <w:t>Coroners</w:t>
      </w:r>
      <w:r>
        <w:rPr>
          <w:rFonts w:asciiTheme="minorHAnsi" w:hAnsiTheme="minorHAnsi"/>
          <w:b/>
        </w:rPr>
        <w:t> Amendment Bill</w:t>
      </w:r>
      <w:r w:rsidR="00753B7B">
        <w:rPr>
          <w:rFonts w:asciiTheme="minorHAnsi" w:hAnsiTheme="minorHAnsi"/>
          <w:b/>
        </w:rPr>
        <w:t xml:space="preserve"> </w:t>
      </w:r>
      <w:r>
        <w:rPr>
          <w:rFonts w:asciiTheme="minorHAnsi" w:hAnsiTheme="minorHAnsi"/>
          <w:b/>
        </w:rPr>
        <w:t>20</w:t>
      </w:r>
      <w:r w:rsidR="00753B7B">
        <w:rPr>
          <w:rFonts w:asciiTheme="minorHAnsi" w:hAnsiTheme="minorHAnsi"/>
          <w:b/>
        </w:rPr>
        <w:t>20</w:t>
      </w:r>
      <w:r w:rsidRPr="00521950">
        <w:rPr>
          <w:rFonts w:asciiTheme="minorHAnsi" w:hAnsiTheme="minorHAnsi"/>
        </w:rPr>
        <w:t>.  In my opinion,</w:t>
      </w:r>
      <w:r w:rsidR="000D758B">
        <w:rPr>
          <w:rFonts w:asciiTheme="minorHAnsi" w:hAnsiTheme="minorHAnsi"/>
        </w:rPr>
        <w:t xml:space="preserve"> having regard to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424FBB" w:rsidRPr="008E0814">
        <w:rPr>
          <w:rFonts w:asciiTheme="minorHAnsi" w:hAnsiTheme="minorHAnsi"/>
          <w:bCs/>
        </w:rPr>
        <w:t xml:space="preserve"> </w:t>
      </w:r>
      <w:r w:rsidRPr="008E0814">
        <w:rPr>
          <w:rFonts w:asciiTheme="minorHAnsi" w:hAnsiTheme="minorHAnsi"/>
          <w:bCs/>
        </w:rPr>
        <w:t>is</w:t>
      </w:r>
      <w:r w:rsidRPr="008E0814">
        <w:rPr>
          <w:rFonts w:asciiTheme="minorHAnsi" w:hAnsiTheme="minorHAnsi"/>
          <w:b/>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Pr="006B7E73" w:rsidRDefault="008C76C4">
      <w:pPr>
        <w:pStyle w:val="Heading2"/>
        <w:pageBreakBefore/>
        <w:spacing w:before="240" w:after="240"/>
        <w:rPr>
          <w:rFonts w:cs="Arial"/>
        </w:rPr>
      </w:pPr>
      <w:r w:rsidRPr="006B7E73">
        <w:rPr>
          <w:rFonts w:cs="Arial"/>
        </w:rPr>
        <w:lastRenderedPageBreak/>
        <w:t>CLAUSE NOTES</w:t>
      </w:r>
    </w:p>
    <w:p w14:paraId="0E2E8CBE" w14:textId="77777777" w:rsidR="00E76504" w:rsidRPr="006B7E73" w:rsidRDefault="00E76504" w:rsidP="00E76504">
      <w:pPr>
        <w:rPr>
          <w:rFonts w:ascii="Arial" w:hAnsi="Arial" w:cs="Arial"/>
        </w:rPr>
      </w:pPr>
    </w:p>
    <w:p w14:paraId="27FB735B" w14:textId="486BA958" w:rsidR="00C61B07" w:rsidRPr="006B7E73" w:rsidRDefault="00C61B07" w:rsidP="00C65E0C">
      <w:pPr>
        <w:pStyle w:val="Heading3"/>
        <w:rPr>
          <w:rFonts w:cs="Arial"/>
        </w:rPr>
      </w:pPr>
      <w:r w:rsidRPr="006B7E73">
        <w:rPr>
          <w:rFonts w:cs="Arial"/>
        </w:rPr>
        <w:t>Clause 1</w:t>
      </w:r>
      <w:r w:rsidRPr="006B7E73">
        <w:rPr>
          <w:rFonts w:cs="Arial"/>
        </w:rPr>
        <w:tab/>
        <w:t>Name of Act</w:t>
      </w:r>
    </w:p>
    <w:p w14:paraId="654C6597" w14:textId="4BC197D1" w:rsidR="004C0BF4" w:rsidRPr="006B7E73" w:rsidRDefault="004C0BF4" w:rsidP="004C0BF4">
      <w:pPr>
        <w:rPr>
          <w:rFonts w:ascii="Arial" w:hAnsi="Arial" w:cs="Arial"/>
        </w:rPr>
      </w:pPr>
      <w:r w:rsidRPr="006B7E73">
        <w:rPr>
          <w:rFonts w:ascii="Arial" w:hAnsi="Arial" w:cs="Arial"/>
        </w:rPr>
        <w:t xml:space="preserve">This is a technical clause that names the short title of the Act. The name of the Act will be the </w:t>
      </w:r>
      <w:r w:rsidRPr="006B7E73">
        <w:rPr>
          <w:rFonts w:ascii="Arial" w:hAnsi="Arial" w:cs="Arial"/>
          <w:i/>
          <w:iCs/>
        </w:rPr>
        <w:t>Coroners Amendment Act 2020</w:t>
      </w:r>
      <w:r w:rsidRPr="006B7E73">
        <w:rPr>
          <w:rFonts w:ascii="Arial" w:hAnsi="Arial" w:cs="Arial"/>
        </w:rPr>
        <w:t xml:space="preserve"> (the Act). </w:t>
      </w:r>
    </w:p>
    <w:p w14:paraId="341827EE" w14:textId="5CEA129A" w:rsidR="00C61B07" w:rsidRPr="006B7E73" w:rsidRDefault="00C61B07" w:rsidP="008C225D">
      <w:pPr>
        <w:pStyle w:val="Heading3"/>
        <w:rPr>
          <w:rFonts w:cs="Arial"/>
        </w:rPr>
      </w:pPr>
      <w:r w:rsidRPr="006B7E73">
        <w:rPr>
          <w:rFonts w:cs="Arial"/>
        </w:rPr>
        <w:t>Clause 2</w:t>
      </w:r>
      <w:r w:rsidRPr="006B7E73">
        <w:rPr>
          <w:rFonts w:cs="Arial"/>
        </w:rPr>
        <w:tab/>
        <w:t>Commencement</w:t>
      </w:r>
    </w:p>
    <w:p w14:paraId="1AD88A72" w14:textId="20BE4F80" w:rsidR="004C0BF4" w:rsidRPr="006B7E73" w:rsidRDefault="004C0BF4" w:rsidP="004C0BF4">
      <w:pPr>
        <w:rPr>
          <w:rFonts w:ascii="Arial" w:hAnsi="Arial" w:cs="Arial"/>
        </w:rPr>
      </w:pPr>
      <w:r w:rsidRPr="006B7E73">
        <w:rPr>
          <w:rFonts w:ascii="Arial" w:hAnsi="Arial" w:cs="Arial"/>
        </w:rPr>
        <w:t xml:space="preserve">This clause provides information about when the </w:t>
      </w:r>
      <w:r w:rsidR="0062452A" w:rsidRPr="006B7E73">
        <w:rPr>
          <w:rFonts w:ascii="Arial" w:hAnsi="Arial" w:cs="Arial"/>
        </w:rPr>
        <w:t>b</w:t>
      </w:r>
      <w:r w:rsidRPr="006B7E73">
        <w:rPr>
          <w:rFonts w:ascii="Arial" w:hAnsi="Arial" w:cs="Arial"/>
        </w:rPr>
        <w:t>ill’s provisions commence. All provisions will commence on a day fixed by the Minister by written notice. If a provision has not commenced within 6 months beginning on the notification day, it automatically commences on the first day after that period (see Legislation Act, s</w:t>
      </w:r>
      <w:r w:rsidR="00EE33EA" w:rsidRPr="006B7E73">
        <w:rPr>
          <w:rFonts w:ascii="Arial" w:hAnsi="Arial" w:cs="Arial"/>
        </w:rPr>
        <w:t xml:space="preserve">ection </w:t>
      </w:r>
      <w:r w:rsidRPr="006B7E73">
        <w:rPr>
          <w:rFonts w:ascii="Arial" w:hAnsi="Arial" w:cs="Arial"/>
        </w:rPr>
        <w:t xml:space="preserve">79).  </w:t>
      </w:r>
    </w:p>
    <w:p w14:paraId="03E3F0B8" w14:textId="532263CA" w:rsidR="00C61B07" w:rsidRPr="006B7E73" w:rsidRDefault="00C61B07" w:rsidP="008C225D">
      <w:pPr>
        <w:pStyle w:val="Heading3"/>
        <w:rPr>
          <w:rFonts w:cs="Arial"/>
        </w:rPr>
      </w:pPr>
      <w:r w:rsidRPr="006B7E73">
        <w:rPr>
          <w:rFonts w:cs="Arial"/>
        </w:rPr>
        <w:t>Clause 3</w:t>
      </w:r>
      <w:r w:rsidRPr="006B7E73">
        <w:rPr>
          <w:rFonts w:cs="Arial"/>
        </w:rPr>
        <w:tab/>
        <w:t>Legislation amended</w:t>
      </w:r>
    </w:p>
    <w:p w14:paraId="695B286D" w14:textId="4A684A8C" w:rsidR="004C0BF4" w:rsidRPr="006B7E73" w:rsidRDefault="004C0BF4" w:rsidP="004C0BF4">
      <w:pPr>
        <w:rPr>
          <w:rFonts w:ascii="Arial" w:hAnsi="Arial" w:cs="Arial"/>
        </w:rPr>
      </w:pPr>
      <w:r w:rsidRPr="006B7E73">
        <w:rPr>
          <w:rFonts w:ascii="Arial" w:hAnsi="Arial" w:cs="Arial"/>
        </w:rPr>
        <w:t xml:space="preserve">This clause outlines the legislation that is amended by the Act. This Act amends </w:t>
      </w:r>
      <w:r w:rsidRPr="006B7E73">
        <w:rPr>
          <w:rFonts w:ascii="Arial" w:hAnsi="Arial" w:cs="Arial"/>
          <w:i/>
          <w:iCs/>
        </w:rPr>
        <w:t>the Coroners Act 1997</w:t>
      </w:r>
      <w:r w:rsidRPr="006B7E73">
        <w:rPr>
          <w:rFonts w:ascii="Arial" w:hAnsi="Arial" w:cs="Arial"/>
        </w:rPr>
        <w:t xml:space="preserve">. </w:t>
      </w:r>
    </w:p>
    <w:p w14:paraId="02EC9892" w14:textId="22A60BFA" w:rsidR="003F0E3D" w:rsidRPr="006B7E73" w:rsidRDefault="000E04DA" w:rsidP="003F0E3D">
      <w:pPr>
        <w:pStyle w:val="Heading3"/>
        <w:spacing w:before="0" w:after="0"/>
        <w:rPr>
          <w:rFonts w:cs="Arial"/>
        </w:rPr>
      </w:pPr>
      <w:r w:rsidRPr="006B7E73">
        <w:rPr>
          <w:rFonts w:cs="Arial"/>
        </w:rPr>
        <w:t xml:space="preserve">Clause </w:t>
      </w:r>
      <w:r w:rsidR="007427AD" w:rsidRPr="006B7E73">
        <w:rPr>
          <w:rFonts w:cs="Arial"/>
        </w:rPr>
        <w:t>4</w:t>
      </w:r>
      <w:r w:rsidR="008B5B6F" w:rsidRPr="006B7E73">
        <w:rPr>
          <w:rFonts w:cs="Arial"/>
        </w:rPr>
        <w:tab/>
      </w:r>
      <w:r w:rsidR="003F0E3D" w:rsidRPr="006B7E73">
        <w:rPr>
          <w:rFonts w:cs="Arial"/>
        </w:rPr>
        <w:t>Objects of Act</w:t>
      </w:r>
    </w:p>
    <w:p w14:paraId="47780986" w14:textId="1C47A0B2" w:rsidR="000E04DA" w:rsidRPr="006B7E73" w:rsidRDefault="000E04DA" w:rsidP="003F0E3D">
      <w:pPr>
        <w:pStyle w:val="Heading3"/>
        <w:spacing w:before="0"/>
        <w:ind w:left="720" w:firstLine="720"/>
        <w:rPr>
          <w:rFonts w:cs="Arial"/>
        </w:rPr>
      </w:pPr>
      <w:r w:rsidRPr="006B7E73">
        <w:rPr>
          <w:rFonts w:cs="Arial"/>
        </w:rPr>
        <w:t>Section 3BA</w:t>
      </w:r>
      <w:r w:rsidR="00EE33EA" w:rsidRPr="006B7E73">
        <w:rPr>
          <w:rFonts w:cs="Arial"/>
        </w:rPr>
        <w:t xml:space="preserve"> </w:t>
      </w:r>
      <w:r w:rsidRPr="006B7E73">
        <w:rPr>
          <w:rFonts w:cs="Arial"/>
        </w:rPr>
        <w:t>(1)</w:t>
      </w:r>
      <w:r w:rsidR="00EE33EA" w:rsidRPr="006B7E73">
        <w:rPr>
          <w:rFonts w:cs="Arial"/>
        </w:rPr>
        <w:t xml:space="preserve"> </w:t>
      </w:r>
      <w:r w:rsidRPr="006B7E73">
        <w:rPr>
          <w:rFonts w:cs="Arial"/>
        </w:rPr>
        <w:t>(d)</w:t>
      </w:r>
    </w:p>
    <w:p w14:paraId="79E3D5AD" w14:textId="7F605BBB" w:rsidR="000E04DA" w:rsidRPr="006B7E73" w:rsidRDefault="00B806C5" w:rsidP="000E04DA">
      <w:pPr>
        <w:rPr>
          <w:rFonts w:ascii="Arial" w:hAnsi="Arial" w:cs="Arial"/>
        </w:rPr>
      </w:pPr>
      <w:r w:rsidRPr="006B7E73">
        <w:rPr>
          <w:rFonts w:ascii="Arial" w:hAnsi="Arial" w:cs="Arial"/>
        </w:rPr>
        <w:t xml:space="preserve">This clause amends the objects clause to clarify that </w:t>
      </w:r>
      <w:r w:rsidR="00A0639F" w:rsidRPr="006B7E73">
        <w:rPr>
          <w:rFonts w:ascii="Arial" w:hAnsi="Arial" w:cs="Arial"/>
        </w:rPr>
        <w:t xml:space="preserve">one of the objects of the Act is to allow </w:t>
      </w:r>
      <w:r w:rsidRPr="006B7E73">
        <w:rPr>
          <w:rFonts w:ascii="Arial" w:hAnsi="Arial" w:cs="Arial"/>
        </w:rPr>
        <w:t>a coroner</w:t>
      </w:r>
      <w:r w:rsidR="00A0639F" w:rsidRPr="006B7E73">
        <w:rPr>
          <w:rFonts w:ascii="Arial" w:hAnsi="Arial" w:cs="Arial"/>
        </w:rPr>
        <w:t xml:space="preserve"> to make</w:t>
      </w:r>
      <w:r w:rsidRPr="006B7E73">
        <w:rPr>
          <w:rFonts w:ascii="Arial" w:hAnsi="Arial" w:cs="Arial"/>
        </w:rPr>
        <w:t xml:space="preserve"> comments</w:t>
      </w:r>
      <w:r w:rsidR="00A0639F" w:rsidRPr="006B7E73">
        <w:rPr>
          <w:rFonts w:ascii="Arial" w:hAnsi="Arial" w:cs="Arial"/>
        </w:rPr>
        <w:t xml:space="preserve"> on public safety as well as recommendations</w:t>
      </w:r>
      <w:r w:rsidRPr="006B7E73">
        <w:rPr>
          <w:rFonts w:ascii="Arial" w:hAnsi="Arial" w:cs="Arial"/>
        </w:rPr>
        <w:t>. This clause relates</w:t>
      </w:r>
      <w:r w:rsidR="00A0639F" w:rsidRPr="006B7E73">
        <w:rPr>
          <w:rFonts w:ascii="Arial" w:hAnsi="Arial" w:cs="Arial"/>
        </w:rPr>
        <w:t xml:space="preserve"> to</w:t>
      </w:r>
      <w:r w:rsidRPr="006B7E73">
        <w:rPr>
          <w:rFonts w:ascii="Arial" w:hAnsi="Arial" w:cs="Arial"/>
        </w:rPr>
        <w:t xml:space="preserve"> the requirement in section 52 (4) (ii) for </w:t>
      </w:r>
      <w:r w:rsidR="00BF72F9" w:rsidRPr="006B7E73">
        <w:rPr>
          <w:rFonts w:ascii="Arial" w:hAnsi="Arial" w:cs="Arial"/>
        </w:rPr>
        <w:t>a</w:t>
      </w:r>
      <w:r w:rsidRPr="006B7E73">
        <w:rPr>
          <w:rFonts w:ascii="Arial" w:hAnsi="Arial" w:cs="Arial"/>
        </w:rPr>
        <w:t xml:space="preserve"> coroner</w:t>
      </w:r>
      <w:r w:rsidR="00BF72F9" w:rsidRPr="006B7E73">
        <w:rPr>
          <w:rFonts w:ascii="Arial" w:hAnsi="Arial" w:cs="Arial"/>
        </w:rPr>
        <w:t xml:space="preserve"> to comment on a matter of public safety if one is found to have arisen in connection with an inquest or inquiry.</w:t>
      </w:r>
    </w:p>
    <w:p w14:paraId="222E0691" w14:textId="13E5B92D" w:rsidR="004C0BF4" w:rsidRPr="006B7E73" w:rsidRDefault="004C0BF4" w:rsidP="004C0BF4">
      <w:pPr>
        <w:pStyle w:val="Heading3"/>
        <w:rPr>
          <w:rFonts w:cs="Arial"/>
        </w:rPr>
      </w:pPr>
      <w:r w:rsidRPr="006B7E73">
        <w:rPr>
          <w:rFonts w:cs="Arial"/>
        </w:rPr>
        <w:t xml:space="preserve">Clause </w:t>
      </w:r>
      <w:r w:rsidR="007427AD" w:rsidRPr="006B7E73">
        <w:rPr>
          <w:rFonts w:cs="Arial"/>
        </w:rPr>
        <w:t>5</w:t>
      </w:r>
      <w:r w:rsidRPr="006B7E73">
        <w:rPr>
          <w:rFonts w:cs="Arial"/>
        </w:rPr>
        <w:t xml:space="preserve"> </w:t>
      </w:r>
      <w:r w:rsidRPr="006B7E73">
        <w:rPr>
          <w:rFonts w:cs="Arial"/>
        </w:rPr>
        <w:tab/>
      </w:r>
      <w:r w:rsidR="00A0639F" w:rsidRPr="006B7E73">
        <w:rPr>
          <w:rFonts w:cs="Arial"/>
        </w:rPr>
        <w:t>S</w:t>
      </w:r>
      <w:r w:rsidRPr="006B7E73">
        <w:rPr>
          <w:rFonts w:cs="Arial"/>
        </w:rPr>
        <w:t>ection 3BA</w:t>
      </w:r>
      <w:r w:rsidR="00A0639F" w:rsidRPr="006B7E73">
        <w:rPr>
          <w:rFonts w:cs="Arial"/>
        </w:rPr>
        <w:t xml:space="preserve"> </w:t>
      </w:r>
      <w:r w:rsidRPr="006B7E73">
        <w:rPr>
          <w:rFonts w:cs="Arial"/>
        </w:rPr>
        <w:t>(2)</w:t>
      </w:r>
      <w:r w:rsidR="00A0639F" w:rsidRPr="006B7E73">
        <w:rPr>
          <w:rFonts w:cs="Arial"/>
        </w:rPr>
        <w:t xml:space="preserve"> </w:t>
      </w:r>
      <w:r w:rsidRPr="006B7E73">
        <w:rPr>
          <w:rFonts w:cs="Arial"/>
        </w:rPr>
        <w:t>(a)</w:t>
      </w:r>
    </w:p>
    <w:p w14:paraId="10433AEE" w14:textId="6E91AE21" w:rsidR="004766EB" w:rsidRPr="006B7E73" w:rsidRDefault="00073937" w:rsidP="001855CA">
      <w:pPr>
        <w:pStyle w:val="ListParagraph"/>
        <w:spacing w:after="120" w:line="276" w:lineRule="auto"/>
        <w:ind w:left="0"/>
        <w:rPr>
          <w:rFonts w:ascii="Arial" w:hAnsi="Arial" w:cs="Arial"/>
          <w:lang w:eastAsia="en-US"/>
        </w:rPr>
      </w:pPr>
      <w:r w:rsidRPr="006B7E73">
        <w:rPr>
          <w:rFonts w:ascii="Arial" w:hAnsi="Arial" w:cs="Arial"/>
          <w:lang w:eastAsia="en-US"/>
        </w:rPr>
        <w:t xml:space="preserve">This provision substitutes section 3BA (2) (a) to </w:t>
      </w:r>
      <w:r w:rsidR="004766EB" w:rsidRPr="006B7E73">
        <w:rPr>
          <w:rFonts w:ascii="Arial" w:hAnsi="Arial" w:cs="Arial"/>
          <w:lang w:eastAsia="en-US"/>
        </w:rPr>
        <w:t>enshrine restorative principles</w:t>
      </w:r>
      <w:r w:rsidR="00551839" w:rsidRPr="006B7E73">
        <w:rPr>
          <w:rFonts w:ascii="Arial" w:hAnsi="Arial" w:cs="Arial"/>
          <w:lang w:eastAsia="en-US"/>
        </w:rPr>
        <w:t xml:space="preserve"> within the objects of the Coroners Act.</w:t>
      </w:r>
      <w:r w:rsidR="004766EB" w:rsidRPr="006B7E73">
        <w:rPr>
          <w:rFonts w:ascii="Arial" w:hAnsi="Arial" w:cs="Arial"/>
          <w:lang w:eastAsia="en-US"/>
        </w:rPr>
        <w:t xml:space="preserve"> Section 3BA currently provides that the main objects of the Act are to establish the Coroners Court and the position of Chief Coroner, while providing that magistrates are also coroners. It also outlines the functions of coroners, and outlines that as far as is practicable, the objects of the Act must be carried out in particular ways</w:t>
      </w:r>
      <w:r w:rsidR="00551839" w:rsidRPr="006B7E73">
        <w:rPr>
          <w:rFonts w:ascii="Arial" w:hAnsi="Arial" w:cs="Arial"/>
          <w:lang w:eastAsia="en-US"/>
        </w:rPr>
        <w:t>,</w:t>
      </w:r>
      <w:r w:rsidR="004766EB" w:rsidRPr="006B7E73">
        <w:rPr>
          <w:rFonts w:ascii="Arial" w:hAnsi="Arial" w:cs="Arial"/>
          <w:lang w:eastAsia="en-US"/>
        </w:rPr>
        <w:t xml:space="preserve"> such as by recognising the interests of the person’s immediate family to have all reasonable questions about the circumstances of that person’s death answered and to be kept informed of important developments throughout the inquest.  </w:t>
      </w:r>
    </w:p>
    <w:p w14:paraId="244B770F" w14:textId="77777777" w:rsidR="00C4350D" w:rsidRPr="006B7E73" w:rsidRDefault="00073937" w:rsidP="009B4E89">
      <w:pPr>
        <w:pStyle w:val="ListParagraph"/>
        <w:spacing w:after="120" w:line="276" w:lineRule="auto"/>
        <w:ind w:left="0"/>
        <w:rPr>
          <w:rFonts w:ascii="Arial" w:hAnsi="Arial" w:cs="Arial"/>
          <w:lang w:eastAsia="en-US"/>
        </w:rPr>
      </w:pPr>
      <w:r w:rsidRPr="006B7E73">
        <w:rPr>
          <w:rFonts w:ascii="Arial" w:hAnsi="Arial" w:cs="Arial"/>
          <w:lang w:eastAsia="en-US"/>
        </w:rPr>
        <w:t xml:space="preserve">New section 3BA (2) (a) amends the objects clause to </w:t>
      </w:r>
      <w:r w:rsidR="009B4E89" w:rsidRPr="006B7E73">
        <w:rPr>
          <w:rFonts w:ascii="Arial" w:hAnsi="Arial" w:cs="Arial"/>
          <w:lang w:eastAsia="en-US"/>
        </w:rPr>
        <w:t>provide that as far as is practicable, the objects of the Act are to be carried out in a way that, in relation to an inquest into a person’s death, recognises</w:t>
      </w:r>
      <w:r w:rsidR="00C4350D" w:rsidRPr="006B7E73">
        <w:rPr>
          <w:rFonts w:ascii="Arial" w:hAnsi="Arial" w:cs="Arial"/>
          <w:lang w:eastAsia="en-US"/>
        </w:rPr>
        <w:t>:</w:t>
      </w:r>
    </w:p>
    <w:p w14:paraId="29AFC463" w14:textId="77777777" w:rsidR="00C4350D" w:rsidRPr="006B7E73" w:rsidRDefault="00C4350D" w:rsidP="00C4350D">
      <w:pPr>
        <w:pStyle w:val="ListParagraph"/>
        <w:numPr>
          <w:ilvl w:val="0"/>
          <w:numId w:val="8"/>
        </w:numPr>
        <w:spacing w:after="120" w:line="276" w:lineRule="auto"/>
        <w:rPr>
          <w:rFonts w:ascii="Arial" w:hAnsi="Arial" w:cs="Arial"/>
          <w:lang w:eastAsia="en-US"/>
        </w:rPr>
      </w:pPr>
      <w:r w:rsidRPr="006B7E73">
        <w:rPr>
          <w:rFonts w:ascii="Arial" w:hAnsi="Arial" w:cs="Arial"/>
          <w:lang w:eastAsia="en-US"/>
        </w:rPr>
        <w:t xml:space="preserve">the impact that a person’s death, and any inquest into that death, has on the family and friends of the deceased; </w:t>
      </w:r>
    </w:p>
    <w:p w14:paraId="48E69EA8" w14:textId="5D5DBC3B" w:rsidR="00C4350D" w:rsidRPr="006B7E73" w:rsidRDefault="00C4350D" w:rsidP="00C4350D">
      <w:pPr>
        <w:pStyle w:val="ListParagraph"/>
        <w:numPr>
          <w:ilvl w:val="0"/>
          <w:numId w:val="8"/>
        </w:numPr>
        <w:spacing w:after="120" w:line="276" w:lineRule="auto"/>
        <w:rPr>
          <w:rFonts w:ascii="Arial" w:hAnsi="Arial" w:cs="Arial"/>
          <w:lang w:eastAsia="en-US"/>
        </w:rPr>
      </w:pPr>
      <w:r w:rsidRPr="006B7E73">
        <w:rPr>
          <w:rFonts w:ascii="Arial" w:hAnsi="Arial" w:cs="Arial"/>
          <w:lang w:eastAsia="en-US"/>
        </w:rPr>
        <w:t xml:space="preserve">that </w:t>
      </w:r>
      <w:r w:rsidR="00BF51B6" w:rsidRPr="006B7E73">
        <w:rPr>
          <w:rFonts w:ascii="Arial" w:hAnsi="Arial" w:cs="Arial"/>
          <w:lang w:eastAsia="en-US"/>
        </w:rPr>
        <w:t xml:space="preserve">where appropriate, </w:t>
      </w:r>
      <w:r w:rsidRPr="006B7E73">
        <w:rPr>
          <w:rFonts w:ascii="Arial" w:hAnsi="Arial" w:cs="Arial"/>
          <w:lang w:eastAsia="en-US"/>
        </w:rPr>
        <w:t>members of the immediate family should</w:t>
      </w:r>
      <w:r w:rsidR="00BF51B6" w:rsidRPr="006B7E73">
        <w:rPr>
          <w:rFonts w:ascii="Arial" w:hAnsi="Arial" w:cs="Arial"/>
          <w:lang w:eastAsia="en-US"/>
        </w:rPr>
        <w:t xml:space="preserve"> </w:t>
      </w:r>
      <w:r w:rsidRPr="006B7E73">
        <w:rPr>
          <w:rFonts w:ascii="Arial" w:hAnsi="Arial" w:cs="Arial"/>
          <w:lang w:eastAsia="en-US"/>
        </w:rPr>
        <w:t xml:space="preserve">be provided opportunities to engage in, and be kept informed of the progress of, the </w:t>
      </w:r>
      <w:r w:rsidR="001C6EB6" w:rsidRPr="006B7E73">
        <w:rPr>
          <w:rFonts w:ascii="Arial" w:hAnsi="Arial" w:cs="Arial"/>
          <w:lang w:eastAsia="en-US"/>
        </w:rPr>
        <w:t>inquest into their family member’s death</w:t>
      </w:r>
      <w:r w:rsidRPr="006B7E73">
        <w:rPr>
          <w:rFonts w:ascii="Arial" w:hAnsi="Arial" w:cs="Arial"/>
          <w:lang w:eastAsia="en-US"/>
        </w:rPr>
        <w:t>; and</w:t>
      </w:r>
    </w:p>
    <w:p w14:paraId="0879E13A" w14:textId="2D065A77" w:rsidR="00073937" w:rsidRPr="006B7E73" w:rsidRDefault="00C4350D" w:rsidP="00C4350D">
      <w:pPr>
        <w:pStyle w:val="ListParagraph"/>
        <w:numPr>
          <w:ilvl w:val="0"/>
          <w:numId w:val="8"/>
        </w:numPr>
        <w:spacing w:after="120" w:line="276" w:lineRule="auto"/>
        <w:rPr>
          <w:rFonts w:ascii="Arial" w:hAnsi="Arial" w:cs="Arial"/>
          <w:lang w:eastAsia="en-US"/>
        </w:rPr>
      </w:pPr>
      <w:r w:rsidRPr="006B7E73">
        <w:rPr>
          <w:rFonts w:ascii="Arial" w:hAnsi="Arial" w:cs="Arial"/>
          <w:lang w:eastAsia="en-US"/>
        </w:rPr>
        <w:t>that cultural differences should, wherever possible, be respected by the Court in the conduct of the coronial process.</w:t>
      </w:r>
    </w:p>
    <w:p w14:paraId="3E1A401B" w14:textId="0A75E8A7" w:rsidR="00420E78" w:rsidRPr="006B7E73" w:rsidRDefault="00922A2C" w:rsidP="00420E78">
      <w:pPr>
        <w:tabs>
          <w:tab w:val="left" w:pos="426"/>
        </w:tabs>
        <w:autoSpaceDE w:val="0"/>
        <w:autoSpaceDN w:val="0"/>
        <w:adjustRightInd w:val="0"/>
        <w:spacing w:after="120" w:line="240" w:lineRule="auto"/>
        <w:rPr>
          <w:rFonts w:ascii="Arial" w:hAnsi="Arial" w:cs="Arial"/>
        </w:rPr>
      </w:pPr>
      <w:r w:rsidRPr="006B7E73">
        <w:rPr>
          <w:rFonts w:ascii="Arial" w:hAnsi="Arial" w:cs="Arial"/>
        </w:rPr>
        <w:lastRenderedPageBreak/>
        <w:t xml:space="preserve">This clause has been drafted </w:t>
      </w:r>
      <w:r w:rsidR="00420E78" w:rsidRPr="006B7E73">
        <w:rPr>
          <w:rFonts w:ascii="Arial" w:hAnsi="Arial" w:cs="Arial"/>
        </w:rPr>
        <w:t>in order to</w:t>
      </w:r>
      <w:r w:rsidRPr="006B7E73">
        <w:rPr>
          <w:rFonts w:ascii="Arial" w:hAnsi="Arial" w:cs="Arial"/>
        </w:rPr>
        <w:t xml:space="preserve"> </w:t>
      </w:r>
      <w:r w:rsidR="00420E78" w:rsidRPr="006B7E73">
        <w:rPr>
          <w:rFonts w:ascii="Arial" w:hAnsi="Arial" w:cs="Arial"/>
        </w:rPr>
        <w:t>respond directly to the principles of harm minimisation, appropriate communication, mutual respect and</w:t>
      </w:r>
      <w:r w:rsidR="008E1307" w:rsidRPr="006B7E73">
        <w:rPr>
          <w:rFonts w:ascii="Arial" w:hAnsi="Arial" w:cs="Arial"/>
        </w:rPr>
        <w:t xml:space="preserve"> the</w:t>
      </w:r>
      <w:r w:rsidR="00420E78" w:rsidRPr="006B7E73">
        <w:rPr>
          <w:rFonts w:ascii="Arial" w:hAnsi="Arial" w:cs="Arial"/>
        </w:rPr>
        <w:t xml:space="preserve"> implementation of a person-centric ethos </w:t>
      </w:r>
      <w:r w:rsidR="00C4350D" w:rsidRPr="006B7E73">
        <w:rPr>
          <w:rFonts w:ascii="Arial" w:hAnsi="Arial" w:cs="Arial"/>
        </w:rPr>
        <w:t>that is key consideration</w:t>
      </w:r>
      <w:r w:rsidR="008E1307" w:rsidRPr="006B7E73">
        <w:rPr>
          <w:rFonts w:ascii="Arial" w:hAnsi="Arial" w:cs="Arial"/>
        </w:rPr>
        <w:t>s</w:t>
      </w:r>
      <w:r w:rsidR="00C4350D" w:rsidRPr="006B7E73">
        <w:rPr>
          <w:rFonts w:ascii="Arial" w:hAnsi="Arial" w:cs="Arial"/>
        </w:rPr>
        <w:t xml:space="preserve"> in</w:t>
      </w:r>
      <w:r w:rsidR="00420E78" w:rsidRPr="006B7E73">
        <w:rPr>
          <w:rFonts w:ascii="Arial" w:hAnsi="Arial" w:cs="Arial"/>
        </w:rPr>
        <w:t xml:space="preserve"> restorative practice</w:t>
      </w:r>
      <w:r w:rsidR="008E1307" w:rsidRPr="006B7E73">
        <w:rPr>
          <w:rFonts w:ascii="Arial" w:hAnsi="Arial" w:cs="Arial"/>
        </w:rPr>
        <w:t>s</w:t>
      </w:r>
      <w:r w:rsidR="00420E78" w:rsidRPr="006B7E73">
        <w:rPr>
          <w:rFonts w:ascii="Arial" w:hAnsi="Arial" w:cs="Arial"/>
        </w:rPr>
        <w:t>.</w:t>
      </w:r>
    </w:p>
    <w:p w14:paraId="0FDEF4A1" w14:textId="6EFDAC5E" w:rsidR="004C0BF4" w:rsidRPr="006B7E73" w:rsidRDefault="00F91650" w:rsidP="00F91650">
      <w:pPr>
        <w:pStyle w:val="Heading3"/>
        <w:rPr>
          <w:rFonts w:cs="Arial"/>
        </w:rPr>
      </w:pPr>
      <w:r w:rsidRPr="006B7E73">
        <w:rPr>
          <w:rFonts w:cs="Arial"/>
        </w:rPr>
        <w:t xml:space="preserve">Clause </w:t>
      </w:r>
      <w:r w:rsidR="007427AD" w:rsidRPr="006B7E73">
        <w:rPr>
          <w:rFonts w:cs="Arial"/>
        </w:rPr>
        <w:t>6</w:t>
      </w:r>
      <w:r w:rsidRPr="006B7E73">
        <w:rPr>
          <w:rFonts w:cs="Arial"/>
        </w:rPr>
        <w:t xml:space="preserve"> </w:t>
      </w:r>
      <w:r w:rsidRPr="006B7E73">
        <w:rPr>
          <w:rFonts w:cs="Arial"/>
        </w:rPr>
        <w:tab/>
        <w:t xml:space="preserve">New section 3BB </w:t>
      </w:r>
    </w:p>
    <w:p w14:paraId="325BE732" w14:textId="2C034DB2" w:rsidR="00F91650" w:rsidRPr="006B7E73" w:rsidRDefault="00F91650" w:rsidP="004C0BF4">
      <w:pPr>
        <w:rPr>
          <w:rFonts w:ascii="Arial" w:hAnsi="Arial" w:cs="Arial"/>
        </w:rPr>
      </w:pPr>
      <w:r w:rsidRPr="006B7E73">
        <w:rPr>
          <w:rFonts w:ascii="Arial" w:hAnsi="Arial" w:cs="Arial"/>
        </w:rPr>
        <w:t>This clause inserts a new definition</w:t>
      </w:r>
      <w:r w:rsidR="009B0CC2" w:rsidRPr="006B7E73">
        <w:rPr>
          <w:rFonts w:ascii="Arial" w:hAnsi="Arial" w:cs="Arial"/>
        </w:rPr>
        <w:t xml:space="preserve"> for ‘death in care’</w:t>
      </w:r>
      <w:r w:rsidR="00FB0FA4" w:rsidRPr="006B7E73">
        <w:rPr>
          <w:rFonts w:ascii="Arial" w:hAnsi="Arial" w:cs="Arial"/>
        </w:rPr>
        <w:t xml:space="preserve"> into Division 1.2 </w:t>
      </w:r>
      <w:r w:rsidR="00FB0FA4" w:rsidRPr="006B7E73">
        <w:rPr>
          <w:rFonts w:ascii="Arial" w:hAnsi="Arial" w:cs="Arial"/>
          <w:i/>
          <w:iCs/>
        </w:rPr>
        <w:t>Objects and important concepts</w:t>
      </w:r>
      <w:r w:rsidRPr="006B7E73">
        <w:rPr>
          <w:rFonts w:ascii="Arial" w:hAnsi="Arial" w:cs="Arial"/>
        </w:rPr>
        <w:t xml:space="preserve">. A death in care means the death of a person while being taken into or detained in custody, or subject to an order, under the </w:t>
      </w:r>
      <w:r w:rsidRPr="006B7E73">
        <w:rPr>
          <w:rFonts w:ascii="Arial" w:hAnsi="Arial" w:cs="Arial"/>
          <w:i/>
          <w:iCs/>
        </w:rPr>
        <w:t>Mental Health Act 2015</w:t>
      </w:r>
      <w:r w:rsidR="009B0CC2" w:rsidRPr="006B7E73">
        <w:rPr>
          <w:rFonts w:ascii="Arial" w:hAnsi="Arial" w:cs="Arial"/>
        </w:rPr>
        <w:t xml:space="preserve"> or the </w:t>
      </w:r>
      <w:r w:rsidR="009B0CC2" w:rsidRPr="006B7E73">
        <w:rPr>
          <w:rFonts w:ascii="Arial" w:hAnsi="Arial" w:cs="Arial"/>
          <w:i/>
          <w:iCs/>
        </w:rPr>
        <w:t>Crimes Act 1900</w:t>
      </w:r>
      <w:r w:rsidR="009B0CC2" w:rsidRPr="006B7E73">
        <w:rPr>
          <w:rFonts w:ascii="Arial" w:hAnsi="Arial" w:cs="Arial"/>
        </w:rPr>
        <w:t>, section 309 (assessment whether emergency detention required), or because of a fatal injury sustained while being taken into or detained in custody, or subject to an order under these Acts</w:t>
      </w:r>
      <w:r w:rsidRPr="006B7E73">
        <w:rPr>
          <w:rFonts w:ascii="Arial" w:hAnsi="Arial" w:cs="Arial"/>
        </w:rPr>
        <w:t xml:space="preserve">. </w:t>
      </w:r>
    </w:p>
    <w:p w14:paraId="15C86A14" w14:textId="698CD479" w:rsidR="003C025C" w:rsidRPr="006B7E73" w:rsidRDefault="003C025C" w:rsidP="004C0BF4">
      <w:pPr>
        <w:rPr>
          <w:rFonts w:ascii="Arial" w:hAnsi="Arial" w:cs="Arial"/>
        </w:rPr>
      </w:pPr>
      <w:r w:rsidRPr="006B7E73">
        <w:rPr>
          <w:rFonts w:ascii="Arial" w:hAnsi="Arial" w:cs="Arial"/>
        </w:rPr>
        <w:t xml:space="preserve">The insertion of this definition provides a distinction between a death in custody and a death in care. This amendment has resulted from </w:t>
      </w:r>
      <w:r w:rsidR="0065404B" w:rsidRPr="006B7E73">
        <w:rPr>
          <w:rFonts w:ascii="Arial" w:hAnsi="Arial" w:cs="Arial"/>
        </w:rPr>
        <w:t xml:space="preserve">extensive </w:t>
      </w:r>
      <w:r w:rsidR="00356AB0" w:rsidRPr="006B7E73">
        <w:rPr>
          <w:rFonts w:ascii="Arial" w:hAnsi="Arial" w:cs="Arial"/>
        </w:rPr>
        <w:t>community consultation</w:t>
      </w:r>
      <w:r w:rsidR="0065404B" w:rsidRPr="006B7E73">
        <w:rPr>
          <w:rFonts w:ascii="Arial" w:hAnsi="Arial" w:cs="Arial"/>
        </w:rPr>
        <w:t>, including</w:t>
      </w:r>
      <w:r w:rsidR="00356AB0" w:rsidRPr="006B7E73">
        <w:rPr>
          <w:rFonts w:ascii="Arial" w:hAnsi="Arial" w:cs="Arial"/>
        </w:rPr>
        <w:t xml:space="preserve"> with families with lived experience of the coronial system</w:t>
      </w:r>
      <w:r w:rsidR="0065404B" w:rsidRPr="006B7E73">
        <w:rPr>
          <w:rFonts w:ascii="Arial" w:hAnsi="Arial" w:cs="Arial"/>
        </w:rPr>
        <w:t>,</w:t>
      </w:r>
      <w:r w:rsidR="00356AB0" w:rsidRPr="006B7E73">
        <w:rPr>
          <w:rFonts w:ascii="Arial" w:hAnsi="Arial" w:cs="Arial"/>
        </w:rPr>
        <w:t xml:space="preserve"> who </w:t>
      </w:r>
      <w:r w:rsidR="008E0814">
        <w:rPr>
          <w:rFonts w:ascii="Arial" w:hAnsi="Arial" w:cs="Arial"/>
        </w:rPr>
        <w:t>advocated</w:t>
      </w:r>
      <w:r w:rsidR="00356AB0" w:rsidRPr="006B7E73">
        <w:rPr>
          <w:rFonts w:ascii="Arial" w:hAnsi="Arial" w:cs="Arial"/>
        </w:rPr>
        <w:t xml:space="preserve"> that the Act should distinguish between </w:t>
      </w:r>
      <w:r w:rsidRPr="006B7E73">
        <w:rPr>
          <w:rFonts w:ascii="Arial" w:hAnsi="Arial" w:cs="Arial"/>
        </w:rPr>
        <w:t xml:space="preserve">a death in a correctional centre and a death under a mental health order, where involvement in the criminal justice system </w:t>
      </w:r>
      <w:r w:rsidR="00356AB0" w:rsidRPr="006B7E73">
        <w:rPr>
          <w:rFonts w:ascii="Arial" w:hAnsi="Arial" w:cs="Arial"/>
        </w:rPr>
        <w:t>should not be assumed</w:t>
      </w:r>
      <w:r w:rsidRPr="006B7E73">
        <w:rPr>
          <w:rFonts w:ascii="Arial" w:hAnsi="Arial" w:cs="Arial"/>
        </w:rPr>
        <w:t>.</w:t>
      </w:r>
    </w:p>
    <w:p w14:paraId="43C32BAF" w14:textId="124BD579" w:rsidR="00F91650" w:rsidRPr="006B7E73" w:rsidRDefault="00F91650" w:rsidP="004C0BF4">
      <w:pPr>
        <w:rPr>
          <w:rFonts w:ascii="Arial" w:hAnsi="Arial" w:cs="Arial"/>
        </w:rPr>
      </w:pPr>
      <w:r w:rsidRPr="006B7E73">
        <w:rPr>
          <w:rFonts w:ascii="Arial" w:hAnsi="Arial" w:cs="Arial"/>
        </w:rPr>
        <w:t>This new definition does not alter the investigative requirements placed upon the Territory by the right to life (</w:t>
      </w:r>
      <w:r w:rsidRPr="006B7E73">
        <w:rPr>
          <w:rFonts w:ascii="Arial" w:hAnsi="Arial" w:cs="Arial"/>
          <w:i/>
          <w:iCs/>
        </w:rPr>
        <w:t>Human Rights Act 2004</w:t>
      </w:r>
      <w:r w:rsidR="00AF149D" w:rsidRPr="006B7E73">
        <w:rPr>
          <w:rFonts w:ascii="Arial" w:hAnsi="Arial" w:cs="Arial"/>
        </w:rPr>
        <w:t>, section 9</w:t>
      </w:r>
      <w:r w:rsidRPr="006B7E73">
        <w:rPr>
          <w:rFonts w:ascii="Arial" w:hAnsi="Arial" w:cs="Arial"/>
        </w:rPr>
        <w:t xml:space="preserve">). Any investigative requirement which currently applies to a death in custody will continue to apply where a person </w:t>
      </w:r>
      <w:r w:rsidR="00356AB0" w:rsidRPr="006B7E73">
        <w:rPr>
          <w:rFonts w:ascii="Arial" w:hAnsi="Arial" w:cs="Arial"/>
        </w:rPr>
        <w:t>dies</w:t>
      </w:r>
      <w:r w:rsidRPr="006B7E73">
        <w:rPr>
          <w:rFonts w:ascii="Arial" w:hAnsi="Arial" w:cs="Arial"/>
        </w:rPr>
        <w:t xml:space="preserve"> ‘in care</w:t>
      </w:r>
      <w:r w:rsidR="007571E7">
        <w:rPr>
          <w:rFonts w:ascii="Arial" w:hAnsi="Arial" w:cs="Arial"/>
        </w:rPr>
        <w:t>.</w:t>
      </w:r>
      <w:r w:rsidRPr="006B7E73">
        <w:rPr>
          <w:rFonts w:ascii="Arial" w:hAnsi="Arial" w:cs="Arial"/>
        </w:rPr>
        <w:t xml:space="preserve">’ This is achieved through </w:t>
      </w:r>
      <w:r w:rsidR="00356AB0" w:rsidRPr="006B7E73">
        <w:rPr>
          <w:rFonts w:ascii="Arial" w:hAnsi="Arial" w:cs="Arial"/>
        </w:rPr>
        <w:t>consequential</w:t>
      </w:r>
      <w:r w:rsidRPr="006B7E73">
        <w:rPr>
          <w:rFonts w:ascii="Arial" w:hAnsi="Arial" w:cs="Arial"/>
        </w:rPr>
        <w:t xml:space="preserve"> amendments</w:t>
      </w:r>
      <w:r w:rsidR="00356AB0" w:rsidRPr="006B7E73">
        <w:rPr>
          <w:rFonts w:ascii="Arial" w:hAnsi="Arial" w:cs="Arial"/>
        </w:rPr>
        <w:t xml:space="preserve"> made by this </w:t>
      </w:r>
      <w:r w:rsidR="0062452A" w:rsidRPr="006B7E73">
        <w:rPr>
          <w:rFonts w:ascii="Arial" w:hAnsi="Arial" w:cs="Arial"/>
        </w:rPr>
        <w:t>b</w:t>
      </w:r>
      <w:r w:rsidR="00356AB0" w:rsidRPr="006B7E73">
        <w:rPr>
          <w:rFonts w:ascii="Arial" w:hAnsi="Arial" w:cs="Arial"/>
        </w:rPr>
        <w:t>ill</w:t>
      </w:r>
      <w:r w:rsidRPr="006B7E73">
        <w:rPr>
          <w:rFonts w:ascii="Arial" w:hAnsi="Arial" w:cs="Arial"/>
        </w:rPr>
        <w:t xml:space="preserve"> throughout the Act </w:t>
      </w:r>
      <w:r w:rsidR="00356AB0" w:rsidRPr="006B7E73">
        <w:rPr>
          <w:rFonts w:ascii="Arial" w:hAnsi="Arial" w:cs="Arial"/>
        </w:rPr>
        <w:t xml:space="preserve">to </w:t>
      </w:r>
      <w:r w:rsidRPr="006B7E73">
        <w:rPr>
          <w:rFonts w:ascii="Arial" w:hAnsi="Arial" w:cs="Arial"/>
        </w:rPr>
        <w:t>identify that a requirement applies to a ‘death in custody’ or a ‘death in care</w:t>
      </w:r>
      <w:r w:rsidR="008E0814">
        <w:rPr>
          <w:rFonts w:ascii="Arial" w:hAnsi="Arial" w:cs="Arial"/>
        </w:rPr>
        <w:t>.’</w:t>
      </w:r>
    </w:p>
    <w:p w14:paraId="2B7F3E6E" w14:textId="14CA74C2" w:rsidR="003F0E3D" w:rsidRPr="006B7E73" w:rsidRDefault="003F0E3D" w:rsidP="003F0E3D">
      <w:pPr>
        <w:pStyle w:val="Heading3"/>
        <w:spacing w:after="0"/>
        <w:rPr>
          <w:rFonts w:cs="Arial"/>
        </w:rPr>
      </w:pPr>
      <w:r w:rsidRPr="006B7E73">
        <w:rPr>
          <w:rFonts w:cs="Arial"/>
        </w:rPr>
        <w:t>Clause 7</w:t>
      </w:r>
      <w:r w:rsidRPr="006B7E73">
        <w:rPr>
          <w:rFonts w:cs="Arial"/>
        </w:rPr>
        <w:tab/>
        <w:t xml:space="preserve">Meaning of </w:t>
      </w:r>
      <w:r w:rsidRPr="006B7E73">
        <w:rPr>
          <w:rFonts w:cs="Arial"/>
          <w:i/>
          <w:iCs/>
        </w:rPr>
        <w:t>death in custody</w:t>
      </w:r>
      <w:r w:rsidRPr="006B7E73">
        <w:rPr>
          <w:rFonts w:cs="Arial"/>
        </w:rPr>
        <w:t xml:space="preserve"> </w:t>
      </w:r>
    </w:p>
    <w:p w14:paraId="4B8AC34C" w14:textId="48ABB16C" w:rsidR="003F0E3D" w:rsidRPr="006B7E73" w:rsidRDefault="003F0E3D" w:rsidP="003F0E3D">
      <w:pPr>
        <w:pStyle w:val="Heading3"/>
        <w:spacing w:before="0"/>
        <w:ind w:left="720" w:firstLine="720"/>
        <w:rPr>
          <w:rFonts w:cs="Arial"/>
        </w:rPr>
      </w:pPr>
      <w:r w:rsidRPr="006B7E73">
        <w:rPr>
          <w:rFonts w:cs="Arial"/>
        </w:rPr>
        <w:t>Section 3C (1)</w:t>
      </w:r>
    </w:p>
    <w:p w14:paraId="25732370" w14:textId="07C7F88D" w:rsidR="003F0E3D" w:rsidRPr="006B7E73" w:rsidRDefault="003F0E3D" w:rsidP="003F0E3D">
      <w:pPr>
        <w:rPr>
          <w:rFonts w:ascii="Arial" w:hAnsi="Arial" w:cs="Arial"/>
        </w:rPr>
      </w:pPr>
      <w:r w:rsidRPr="006B7E73">
        <w:rPr>
          <w:rFonts w:ascii="Arial" w:hAnsi="Arial" w:cs="Arial"/>
        </w:rPr>
        <w:t>This clause</w:t>
      </w:r>
      <w:r w:rsidR="003E64B9" w:rsidRPr="006B7E73">
        <w:rPr>
          <w:rFonts w:ascii="Arial" w:hAnsi="Arial" w:cs="Arial"/>
        </w:rPr>
        <w:t xml:space="preserve"> is a consequential amendment resulting from the inclusion of new section 3BB set out above.</w:t>
      </w:r>
    </w:p>
    <w:p w14:paraId="61C1FC31" w14:textId="6075FE99" w:rsidR="00F91650" w:rsidRPr="006B7E73" w:rsidRDefault="00F91650" w:rsidP="00DA40D0">
      <w:pPr>
        <w:pStyle w:val="Heading3"/>
        <w:rPr>
          <w:rFonts w:cs="Arial"/>
        </w:rPr>
      </w:pPr>
      <w:r w:rsidRPr="006B7E73">
        <w:rPr>
          <w:rFonts w:cs="Arial"/>
        </w:rPr>
        <w:t xml:space="preserve">Clause </w:t>
      </w:r>
      <w:r w:rsidR="000E04DA" w:rsidRPr="006B7E73">
        <w:rPr>
          <w:rFonts w:cs="Arial"/>
        </w:rPr>
        <w:t>8</w:t>
      </w:r>
      <w:r w:rsidR="00585EA5" w:rsidRPr="006B7E73">
        <w:rPr>
          <w:rFonts w:cs="Arial"/>
        </w:rPr>
        <w:tab/>
      </w:r>
      <w:r w:rsidR="000E04DA" w:rsidRPr="006B7E73">
        <w:rPr>
          <w:rFonts w:cs="Arial"/>
        </w:rPr>
        <w:t>Section 3C</w:t>
      </w:r>
      <w:r w:rsidR="0065404B" w:rsidRPr="006B7E73">
        <w:rPr>
          <w:rFonts w:cs="Arial"/>
        </w:rPr>
        <w:t xml:space="preserve"> </w:t>
      </w:r>
      <w:r w:rsidR="000E04DA" w:rsidRPr="006B7E73">
        <w:rPr>
          <w:rFonts w:cs="Arial"/>
        </w:rPr>
        <w:t>(1)</w:t>
      </w:r>
      <w:r w:rsidR="0065404B" w:rsidRPr="006B7E73">
        <w:rPr>
          <w:rFonts w:cs="Arial"/>
        </w:rPr>
        <w:t xml:space="preserve"> </w:t>
      </w:r>
      <w:r w:rsidR="000E04DA" w:rsidRPr="006B7E73">
        <w:rPr>
          <w:rFonts w:cs="Arial"/>
        </w:rPr>
        <w:t>(c)</w:t>
      </w:r>
    </w:p>
    <w:p w14:paraId="57C1E7C2" w14:textId="2DC67F7C" w:rsidR="00585EA5" w:rsidRPr="006B7E73" w:rsidRDefault="00585EA5" w:rsidP="004C0BF4">
      <w:pPr>
        <w:rPr>
          <w:rFonts w:ascii="Arial" w:hAnsi="Arial" w:cs="Arial"/>
        </w:rPr>
      </w:pPr>
      <w:r w:rsidRPr="006B7E73">
        <w:rPr>
          <w:rFonts w:ascii="Arial" w:hAnsi="Arial" w:cs="Arial"/>
        </w:rPr>
        <w:t xml:space="preserve">This clause </w:t>
      </w:r>
      <w:r w:rsidR="000E04DA" w:rsidRPr="006B7E73">
        <w:rPr>
          <w:rFonts w:ascii="Arial" w:hAnsi="Arial" w:cs="Arial"/>
        </w:rPr>
        <w:t>removes</w:t>
      </w:r>
      <w:r w:rsidRPr="006B7E73">
        <w:rPr>
          <w:rFonts w:ascii="Arial" w:hAnsi="Arial" w:cs="Arial"/>
        </w:rPr>
        <w:t xml:space="preserve"> current section 3C</w:t>
      </w:r>
      <w:r w:rsidR="0065404B" w:rsidRPr="006B7E73">
        <w:rPr>
          <w:rFonts w:ascii="Arial" w:hAnsi="Arial" w:cs="Arial"/>
        </w:rPr>
        <w:t xml:space="preserve"> </w:t>
      </w:r>
      <w:r w:rsidRPr="006B7E73">
        <w:rPr>
          <w:rFonts w:ascii="Arial" w:hAnsi="Arial" w:cs="Arial"/>
        </w:rPr>
        <w:t>(1)</w:t>
      </w:r>
      <w:r w:rsidR="0065404B" w:rsidRPr="006B7E73">
        <w:rPr>
          <w:rFonts w:ascii="Arial" w:hAnsi="Arial" w:cs="Arial"/>
        </w:rPr>
        <w:t xml:space="preserve"> </w:t>
      </w:r>
      <w:r w:rsidRPr="006B7E73">
        <w:rPr>
          <w:rFonts w:ascii="Arial" w:hAnsi="Arial" w:cs="Arial"/>
        </w:rPr>
        <w:t xml:space="preserve">(c) </w:t>
      </w:r>
      <w:r w:rsidR="0065404B" w:rsidRPr="006B7E73">
        <w:rPr>
          <w:rFonts w:ascii="Arial" w:hAnsi="Arial" w:cs="Arial"/>
        </w:rPr>
        <w:t xml:space="preserve">to </w:t>
      </w:r>
      <w:r w:rsidRPr="006B7E73">
        <w:rPr>
          <w:rFonts w:ascii="Arial" w:hAnsi="Arial" w:cs="Arial"/>
        </w:rPr>
        <w:t>remov</w:t>
      </w:r>
      <w:r w:rsidR="0065404B" w:rsidRPr="006B7E73">
        <w:rPr>
          <w:rFonts w:ascii="Arial" w:hAnsi="Arial" w:cs="Arial"/>
        </w:rPr>
        <w:t>e</w:t>
      </w:r>
      <w:r w:rsidRPr="006B7E73">
        <w:rPr>
          <w:rFonts w:ascii="Arial" w:hAnsi="Arial" w:cs="Arial"/>
        </w:rPr>
        <w:t xml:space="preserve"> from the definition of ‘death in custody’ the circumstance where a person is being taken into custody or detained under the </w:t>
      </w:r>
      <w:r w:rsidRPr="006B7E73">
        <w:rPr>
          <w:rFonts w:ascii="Arial" w:hAnsi="Arial" w:cs="Arial"/>
          <w:i/>
          <w:iCs/>
        </w:rPr>
        <w:t>Mental Health Act 2015</w:t>
      </w:r>
      <w:r w:rsidRPr="006B7E73">
        <w:rPr>
          <w:rFonts w:ascii="Arial" w:hAnsi="Arial" w:cs="Arial"/>
        </w:rPr>
        <w:t xml:space="preserve">.  This omission </w:t>
      </w:r>
      <w:r w:rsidR="003C025C" w:rsidRPr="006B7E73">
        <w:rPr>
          <w:rFonts w:ascii="Arial" w:hAnsi="Arial" w:cs="Arial"/>
        </w:rPr>
        <w:t>is consequential as a result of</w:t>
      </w:r>
      <w:r w:rsidRPr="006B7E73">
        <w:rPr>
          <w:rFonts w:ascii="Arial" w:hAnsi="Arial" w:cs="Arial"/>
        </w:rPr>
        <w:t xml:space="preserve"> the inclusion of new section 3BB set out above. </w:t>
      </w:r>
    </w:p>
    <w:p w14:paraId="7CCFF74E" w14:textId="5B183C4C" w:rsidR="0065404B" w:rsidRPr="006B7E73" w:rsidRDefault="00585EA5" w:rsidP="0065404B">
      <w:pPr>
        <w:pStyle w:val="Heading3"/>
        <w:spacing w:after="0"/>
        <w:rPr>
          <w:rFonts w:cs="Arial"/>
        </w:rPr>
      </w:pPr>
      <w:r w:rsidRPr="006B7E73">
        <w:rPr>
          <w:rFonts w:cs="Arial"/>
        </w:rPr>
        <w:t xml:space="preserve">Clause </w:t>
      </w:r>
      <w:r w:rsidR="000E04DA" w:rsidRPr="006B7E73">
        <w:rPr>
          <w:rFonts w:cs="Arial"/>
        </w:rPr>
        <w:t>9</w:t>
      </w:r>
      <w:r w:rsidRPr="006B7E73">
        <w:rPr>
          <w:rFonts w:cs="Arial"/>
        </w:rPr>
        <w:t xml:space="preserve"> </w:t>
      </w:r>
      <w:r w:rsidRPr="006B7E73">
        <w:rPr>
          <w:rFonts w:cs="Arial"/>
        </w:rPr>
        <w:tab/>
      </w:r>
      <w:r w:rsidR="0065404B" w:rsidRPr="006B7E73">
        <w:rPr>
          <w:rFonts w:cs="Arial"/>
        </w:rPr>
        <w:t xml:space="preserve">Deputy coroners’ functions </w:t>
      </w:r>
    </w:p>
    <w:p w14:paraId="514F5BF4" w14:textId="7B3DF99E" w:rsidR="0065404B" w:rsidRPr="006B7E73" w:rsidRDefault="0065404B" w:rsidP="00FF6BFF">
      <w:pPr>
        <w:pStyle w:val="Heading3"/>
        <w:spacing w:before="0"/>
        <w:ind w:left="720" w:firstLine="720"/>
        <w:rPr>
          <w:rFonts w:cs="Arial"/>
        </w:rPr>
      </w:pPr>
      <w:r w:rsidRPr="006B7E73">
        <w:rPr>
          <w:rFonts w:cs="Arial"/>
        </w:rPr>
        <w:t>Section 9 (2)</w:t>
      </w:r>
    </w:p>
    <w:p w14:paraId="1896CB5A" w14:textId="3873ED85" w:rsidR="00585EA5" w:rsidRPr="006B7E73" w:rsidRDefault="00585EA5" w:rsidP="004C0BF4">
      <w:pPr>
        <w:rPr>
          <w:rFonts w:ascii="Arial" w:hAnsi="Arial" w:cs="Arial"/>
        </w:rPr>
      </w:pPr>
      <w:r w:rsidRPr="006B7E73">
        <w:rPr>
          <w:rFonts w:ascii="Arial" w:hAnsi="Arial" w:cs="Arial"/>
        </w:rPr>
        <w:t xml:space="preserve">This is </w:t>
      </w:r>
      <w:r w:rsidR="003E64B9" w:rsidRPr="006B7E73">
        <w:rPr>
          <w:rFonts w:ascii="Arial" w:hAnsi="Arial" w:cs="Arial"/>
        </w:rPr>
        <w:t xml:space="preserve">a consequential amendment </w:t>
      </w:r>
      <w:r w:rsidRPr="006B7E73">
        <w:rPr>
          <w:rFonts w:ascii="Arial" w:hAnsi="Arial" w:cs="Arial"/>
        </w:rPr>
        <w:t>that ensures the same powers, obligations and investigative requirements apply to a ‘death in care’ as a ‘death in custody</w:t>
      </w:r>
      <w:r w:rsidR="008E0814">
        <w:rPr>
          <w:rFonts w:ascii="Arial" w:hAnsi="Arial" w:cs="Arial"/>
        </w:rPr>
        <w:t>.’</w:t>
      </w:r>
      <w:r w:rsidRPr="006B7E73">
        <w:rPr>
          <w:rFonts w:ascii="Arial" w:hAnsi="Arial" w:cs="Arial"/>
        </w:rPr>
        <w:t xml:space="preserve"> </w:t>
      </w:r>
    </w:p>
    <w:p w14:paraId="503198C4" w14:textId="4BCE2266" w:rsidR="0065404B" w:rsidRPr="006B7E73" w:rsidRDefault="00585EA5" w:rsidP="0065404B">
      <w:pPr>
        <w:pStyle w:val="Heading3"/>
        <w:spacing w:after="0"/>
        <w:rPr>
          <w:rFonts w:cs="Arial"/>
        </w:rPr>
      </w:pPr>
      <w:r w:rsidRPr="006B7E73">
        <w:rPr>
          <w:rFonts w:cs="Arial"/>
        </w:rPr>
        <w:t xml:space="preserve">Clause </w:t>
      </w:r>
      <w:r w:rsidR="000E04DA" w:rsidRPr="006B7E73">
        <w:rPr>
          <w:rFonts w:cs="Arial"/>
        </w:rPr>
        <w:t>10</w:t>
      </w:r>
      <w:r w:rsidRPr="006B7E73">
        <w:rPr>
          <w:rFonts w:cs="Arial"/>
        </w:rPr>
        <w:t xml:space="preserve"> </w:t>
      </w:r>
      <w:r w:rsidRPr="006B7E73">
        <w:rPr>
          <w:rFonts w:cs="Arial"/>
        </w:rPr>
        <w:tab/>
      </w:r>
      <w:r w:rsidR="000E04DA" w:rsidRPr="006B7E73">
        <w:rPr>
          <w:rFonts w:cs="Arial"/>
        </w:rPr>
        <w:t>Coroner’s jurisdiction in relation to deaths</w:t>
      </w:r>
    </w:p>
    <w:p w14:paraId="6F7F213A" w14:textId="7424A89E" w:rsidR="000E04DA" w:rsidRPr="006B7E73" w:rsidRDefault="000E04DA" w:rsidP="00FF6BFF">
      <w:pPr>
        <w:pStyle w:val="Heading3"/>
        <w:spacing w:before="0"/>
        <w:ind w:left="720" w:firstLine="720"/>
        <w:rPr>
          <w:rFonts w:cs="Arial"/>
        </w:rPr>
      </w:pPr>
      <w:r w:rsidRPr="006B7E73">
        <w:rPr>
          <w:rFonts w:cs="Arial"/>
        </w:rPr>
        <w:t>Section 13</w:t>
      </w:r>
      <w:r w:rsidR="0065404B" w:rsidRPr="006B7E73">
        <w:rPr>
          <w:rFonts w:cs="Arial"/>
        </w:rPr>
        <w:t xml:space="preserve"> </w:t>
      </w:r>
      <w:r w:rsidRPr="006B7E73">
        <w:rPr>
          <w:rFonts w:cs="Arial"/>
        </w:rPr>
        <w:t>(1)</w:t>
      </w:r>
      <w:r w:rsidR="0065404B" w:rsidRPr="006B7E73">
        <w:rPr>
          <w:rFonts w:cs="Arial"/>
        </w:rPr>
        <w:t xml:space="preserve"> </w:t>
      </w:r>
      <w:r w:rsidRPr="006B7E73">
        <w:rPr>
          <w:rFonts w:cs="Arial"/>
        </w:rPr>
        <w:t>(i)</w:t>
      </w:r>
    </w:p>
    <w:p w14:paraId="2C89C67D" w14:textId="1351606D" w:rsidR="000E04DA" w:rsidRPr="006B7E73" w:rsidRDefault="000E04DA" w:rsidP="000E04DA">
      <w:pPr>
        <w:rPr>
          <w:rFonts w:ascii="Arial" w:hAnsi="Arial" w:cs="Arial"/>
        </w:rPr>
      </w:pPr>
      <w:r w:rsidRPr="006B7E73">
        <w:rPr>
          <w:rFonts w:ascii="Arial" w:hAnsi="Arial" w:cs="Arial"/>
        </w:rPr>
        <w:t xml:space="preserve">This section confirms that the coroner must hold an inquest into the manner and cause of death of a person who dies in care. </w:t>
      </w:r>
    </w:p>
    <w:p w14:paraId="18DF0DFB" w14:textId="3E0A8762" w:rsidR="0065404B" w:rsidRPr="006B7E73" w:rsidRDefault="000E04DA" w:rsidP="00E974A9">
      <w:pPr>
        <w:pStyle w:val="Heading3"/>
        <w:spacing w:after="0"/>
        <w:rPr>
          <w:rFonts w:cs="Arial"/>
        </w:rPr>
      </w:pPr>
      <w:r w:rsidRPr="006B7E73">
        <w:rPr>
          <w:rFonts w:cs="Arial"/>
        </w:rPr>
        <w:lastRenderedPageBreak/>
        <w:t>Clause 11</w:t>
      </w:r>
      <w:r w:rsidRPr="006B7E73">
        <w:rPr>
          <w:rFonts w:cs="Arial"/>
        </w:rPr>
        <w:tab/>
      </w:r>
      <w:r w:rsidR="00585EA5" w:rsidRPr="006B7E73">
        <w:rPr>
          <w:rFonts w:cs="Arial"/>
        </w:rPr>
        <w:t>Consideration of immediate family</w:t>
      </w:r>
    </w:p>
    <w:p w14:paraId="111E7F38" w14:textId="402818B8" w:rsidR="00585EA5" w:rsidRPr="006B7E73" w:rsidRDefault="0065404B" w:rsidP="00FF6BFF">
      <w:pPr>
        <w:pStyle w:val="Heading3"/>
        <w:spacing w:before="0"/>
        <w:ind w:left="720" w:firstLine="720"/>
        <w:rPr>
          <w:rFonts w:cs="Arial"/>
        </w:rPr>
      </w:pPr>
      <w:r w:rsidRPr="006B7E73">
        <w:rPr>
          <w:rFonts w:cs="Arial"/>
        </w:rPr>
        <w:t>S</w:t>
      </w:r>
      <w:r w:rsidR="00585EA5" w:rsidRPr="006B7E73">
        <w:rPr>
          <w:rFonts w:cs="Arial"/>
        </w:rPr>
        <w:t>ection 23 (1)</w:t>
      </w:r>
    </w:p>
    <w:p w14:paraId="614384B3" w14:textId="102DC742" w:rsidR="00585EA5" w:rsidRPr="006B7E73" w:rsidRDefault="00585EA5" w:rsidP="00585EA5">
      <w:pPr>
        <w:rPr>
          <w:rFonts w:ascii="Arial" w:hAnsi="Arial" w:cs="Arial"/>
        </w:rPr>
      </w:pPr>
      <w:r w:rsidRPr="006B7E73">
        <w:rPr>
          <w:rFonts w:ascii="Arial" w:hAnsi="Arial" w:cs="Arial"/>
        </w:rPr>
        <w:t xml:space="preserve">This is a </w:t>
      </w:r>
      <w:r w:rsidR="003E64B9" w:rsidRPr="006B7E73">
        <w:rPr>
          <w:rFonts w:ascii="Arial" w:hAnsi="Arial" w:cs="Arial"/>
        </w:rPr>
        <w:t>consequential amendment</w:t>
      </w:r>
      <w:r w:rsidRPr="006B7E73">
        <w:rPr>
          <w:rFonts w:ascii="Arial" w:hAnsi="Arial" w:cs="Arial"/>
        </w:rPr>
        <w:t xml:space="preserve"> that ensures the same powers, obligations and investigative requirements apply to a ‘death in care’ as a ‘death in custody</w:t>
      </w:r>
      <w:r w:rsidR="008E0814">
        <w:rPr>
          <w:rFonts w:ascii="Arial" w:hAnsi="Arial" w:cs="Arial"/>
        </w:rPr>
        <w:t>.</w:t>
      </w:r>
      <w:r w:rsidRPr="006B7E73">
        <w:rPr>
          <w:rFonts w:ascii="Arial" w:hAnsi="Arial" w:cs="Arial"/>
        </w:rPr>
        <w:t xml:space="preserve">’ </w:t>
      </w:r>
    </w:p>
    <w:p w14:paraId="064D7EF1" w14:textId="34F89CC2" w:rsidR="00E974A9" w:rsidRPr="006B7E73" w:rsidRDefault="009A3897" w:rsidP="00E974A9">
      <w:pPr>
        <w:pStyle w:val="Heading3"/>
        <w:spacing w:after="0"/>
        <w:rPr>
          <w:rFonts w:cs="Arial"/>
        </w:rPr>
      </w:pPr>
      <w:r w:rsidRPr="006B7E73">
        <w:rPr>
          <w:rFonts w:cs="Arial"/>
        </w:rPr>
        <w:t>Clause 1</w:t>
      </w:r>
      <w:r w:rsidR="000E04DA" w:rsidRPr="006B7E73">
        <w:rPr>
          <w:rFonts w:cs="Arial"/>
        </w:rPr>
        <w:t>2</w:t>
      </w:r>
      <w:r w:rsidRPr="006B7E73">
        <w:rPr>
          <w:rFonts w:cs="Arial"/>
        </w:rPr>
        <w:t xml:space="preserve"> </w:t>
      </w:r>
      <w:r w:rsidRPr="006B7E73">
        <w:rPr>
          <w:rFonts w:cs="Arial"/>
        </w:rPr>
        <w:tab/>
      </w:r>
      <w:r w:rsidR="000E04DA" w:rsidRPr="006B7E73">
        <w:rPr>
          <w:rFonts w:cs="Arial"/>
        </w:rPr>
        <w:t>Decision not to conduct hearing</w:t>
      </w:r>
    </w:p>
    <w:p w14:paraId="5B4C77B9" w14:textId="3B9FE43D" w:rsidR="000E04DA" w:rsidRPr="006B7E73" w:rsidRDefault="000E04DA" w:rsidP="00FF6BFF">
      <w:pPr>
        <w:pStyle w:val="Heading3"/>
        <w:spacing w:before="0"/>
        <w:ind w:left="720" w:firstLine="720"/>
        <w:rPr>
          <w:rFonts w:cs="Arial"/>
        </w:rPr>
      </w:pPr>
      <w:r w:rsidRPr="006B7E73">
        <w:rPr>
          <w:rFonts w:cs="Arial"/>
        </w:rPr>
        <w:t>Section 34A</w:t>
      </w:r>
      <w:r w:rsidR="005E360C" w:rsidRPr="006B7E73">
        <w:rPr>
          <w:rFonts w:cs="Arial"/>
        </w:rPr>
        <w:t xml:space="preserve"> </w:t>
      </w:r>
      <w:r w:rsidRPr="006B7E73">
        <w:rPr>
          <w:rFonts w:cs="Arial"/>
        </w:rPr>
        <w:t>(2)</w:t>
      </w:r>
    </w:p>
    <w:p w14:paraId="6CB5DAAE" w14:textId="34FF77B1" w:rsidR="000E04DA" w:rsidRPr="006B7E73" w:rsidRDefault="000E04DA" w:rsidP="00AF6EAC">
      <w:pPr>
        <w:rPr>
          <w:rFonts w:ascii="Arial" w:hAnsi="Arial" w:cs="Arial"/>
        </w:rPr>
      </w:pPr>
      <w:r w:rsidRPr="006B7E73">
        <w:rPr>
          <w:rFonts w:ascii="Arial" w:hAnsi="Arial" w:cs="Arial"/>
        </w:rPr>
        <w:t xml:space="preserve">This clause is a consequential amendment that confirms that all the obligations that previously applied to deaths in custody continue to apply to </w:t>
      </w:r>
      <w:r w:rsidR="00AF6EAC" w:rsidRPr="006B7E73">
        <w:rPr>
          <w:rFonts w:ascii="Arial" w:hAnsi="Arial" w:cs="Arial"/>
        </w:rPr>
        <w:t xml:space="preserve">deaths in care. </w:t>
      </w:r>
    </w:p>
    <w:p w14:paraId="3B9856FA" w14:textId="40A2965E" w:rsidR="00E974A9" w:rsidRPr="006B7E73" w:rsidRDefault="00AF6EAC" w:rsidP="00E974A9">
      <w:pPr>
        <w:pStyle w:val="Heading3"/>
        <w:spacing w:after="0"/>
        <w:rPr>
          <w:rFonts w:cs="Arial"/>
        </w:rPr>
      </w:pPr>
      <w:r w:rsidRPr="006B7E73">
        <w:rPr>
          <w:rFonts w:cs="Arial"/>
        </w:rPr>
        <w:t>Clause 13</w:t>
      </w:r>
      <w:r w:rsidRPr="006B7E73">
        <w:rPr>
          <w:rFonts w:cs="Arial"/>
        </w:rPr>
        <w:tab/>
      </w:r>
      <w:r w:rsidR="009A3897" w:rsidRPr="006B7E73">
        <w:rPr>
          <w:rFonts w:cs="Arial"/>
        </w:rPr>
        <w:t>Notification of immediate family</w:t>
      </w:r>
      <w:r w:rsidR="00E974A9" w:rsidRPr="006B7E73">
        <w:rPr>
          <w:rFonts w:cs="Arial"/>
        </w:rPr>
        <w:t xml:space="preserve"> </w:t>
      </w:r>
    </w:p>
    <w:p w14:paraId="7B37BE61" w14:textId="0003D60D" w:rsidR="009A3897" w:rsidRPr="006B7E73" w:rsidRDefault="00E974A9" w:rsidP="00FF6BFF">
      <w:pPr>
        <w:pStyle w:val="Heading3"/>
        <w:spacing w:before="0"/>
        <w:ind w:left="720" w:firstLine="720"/>
        <w:rPr>
          <w:rFonts w:cs="Arial"/>
        </w:rPr>
      </w:pPr>
      <w:r w:rsidRPr="006B7E73">
        <w:rPr>
          <w:rFonts w:cs="Arial"/>
        </w:rPr>
        <w:t>S</w:t>
      </w:r>
      <w:r w:rsidR="009A3897" w:rsidRPr="006B7E73">
        <w:rPr>
          <w:rFonts w:cs="Arial"/>
        </w:rPr>
        <w:t>ection 37</w:t>
      </w:r>
      <w:r w:rsidR="005E360C" w:rsidRPr="006B7E73">
        <w:rPr>
          <w:rFonts w:cs="Arial"/>
        </w:rPr>
        <w:t xml:space="preserve"> </w:t>
      </w:r>
      <w:r w:rsidR="009A3897" w:rsidRPr="006B7E73">
        <w:rPr>
          <w:rFonts w:cs="Arial"/>
        </w:rPr>
        <w:t>(1)</w:t>
      </w:r>
    </w:p>
    <w:p w14:paraId="7F5EF586" w14:textId="1749B8E1" w:rsidR="005B5913" w:rsidRPr="006B7E73" w:rsidRDefault="00B246E0" w:rsidP="00D3034B">
      <w:pPr>
        <w:rPr>
          <w:rFonts w:ascii="Arial" w:hAnsi="Arial" w:cs="Arial"/>
        </w:rPr>
      </w:pPr>
      <w:r w:rsidRPr="006B7E73">
        <w:rPr>
          <w:rFonts w:ascii="Arial" w:hAnsi="Arial" w:cs="Arial"/>
        </w:rPr>
        <w:t>Section 37</w:t>
      </w:r>
      <w:r w:rsidR="00C43686" w:rsidRPr="006B7E73">
        <w:rPr>
          <w:rFonts w:ascii="Arial" w:hAnsi="Arial" w:cs="Arial"/>
        </w:rPr>
        <w:t xml:space="preserve"> (1)</w:t>
      </w:r>
      <w:r w:rsidRPr="006B7E73">
        <w:rPr>
          <w:rFonts w:ascii="Arial" w:hAnsi="Arial" w:cs="Arial"/>
        </w:rPr>
        <w:t xml:space="preserve"> currently provides that</w:t>
      </w:r>
      <w:r w:rsidR="00B57442" w:rsidRPr="006B7E73">
        <w:rPr>
          <w:rFonts w:ascii="Arial" w:hAnsi="Arial" w:cs="Arial"/>
        </w:rPr>
        <w:t>, before conducting a hearing,</w:t>
      </w:r>
      <w:r w:rsidRPr="006B7E73">
        <w:rPr>
          <w:rFonts w:ascii="Arial" w:hAnsi="Arial" w:cs="Arial"/>
        </w:rPr>
        <w:t xml:space="preserve"> a coroner must have regard to whether a member of the immediate family has been notified of the hearing, and if they have not been notified, whether reasonable efforts were made to do so. </w:t>
      </w:r>
    </w:p>
    <w:p w14:paraId="20A41BEE" w14:textId="2FEB860B" w:rsidR="009A3897" w:rsidRPr="006B7E73" w:rsidRDefault="00AE1643" w:rsidP="00D3034B">
      <w:pPr>
        <w:rPr>
          <w:rFonts w:ascii="Arial" w:hAnsi="Arial" w:cs="Arial"/>
        </w:rPr>
      </w:pPr>
      <w:r w:rsidRPr="006B7E73">
        <w:rPr>
          <w:rFonts w:ascii="Arial" w:hAnsi="Arial" w:cs="Arial"/>
        </w:rPr>
        <w:t>T</w:t>
      </w:r>
      <w:r w:rsidR="00B246E0" w:rsidRPr="006B7E73">
        <w:rPr>
          <w:rFonts w:ascii="Arial" w:hAnsi="Arial" w:cs="Arial"/>
        </w:rPr>
        <w:t xml:space="preserve">his clause </w:t>
      </w:r>
      <w:r w:rsidR="00B57442" w:rsidRPr="006B7E73">
        <w:rPr>
          <w:rFonts w:ascii="Arial" w:hAnsi="Arial" w:cs="Arial"/>
        </w:rPr>
        <w:t xml:space="preserve">substitutes </w:t>
      </w:r>
      <w:r w:rsidR="00C43686" w:rsidRPr="006B7E73">
        <w:rPr>
          <w:rFonts w:ascii="Arial" w:hAnsi="Arial" w:cs="Arial"/>
        </w:rPr>
        <w:t>section 37 (1)</w:t>
      </w:r>
      <w:r w:rsidR="00B57442" w:rsidRPr="006B7E73">
        <w:rPr>
          <w:rFonts w:ascii="Arial" w:hAnsi="Arial" w:cs="Arial"/>
        </w:rPr>
        <w:t xml:space="preserve"> to </w:t>
      </w:r>
      <w:r w:rsidRPr="006B7E73">
        <w:rPr>
          <w:rFonts w:ascii="Arial" w:hAnsi="Arial" w:cs="Arial"/>
        </w:rPr>
        <w:t>require</w:t>
      </w:r>
      <w:r w:rsidR="00B246E0" w:rsidRPr="006B7E73">
        <w:rPr>
          <w:rFonts w:ascii="Arial" w:hAnsi="Arial" w:cs="Arial"/>
        </w:rPr>
        <w:t xml:space="preserve"> the </w:t>
      </w:r>
      <w:r w:rsidRPr="006B7E73">
        <w:rPr>
          <w:rFonts w:ascii="Arial" w:hAnsi="Arial" w:cs="Arial"/>
        </w:rPr>
        <w:t>c</w:t>
      </w:r>
      <w:r w:rsidR="00B246E0" w:rsidRPr="006B7E73">
        <w:rPr>
          <w:rFonts w:ascii="Arial" w:hAnsi="Arial" w:cs="Arial"/>
        </w:rPr>
        <w:t xml:space="preserve">oroner to, as far as reasonably practicable, take steps to notify a member of the immediate family of the time and place of the hearing. </w:t>
      </w:r>
      <w:r w:rsidR="00C43686" w:rsidRPr="006B7E73">
        <w:rPr>
          <w:rFonts w:ascii="Arial" w:hAnsi="Arial" w:cs="Arial"/>
        </w:rPr>
        <w:t>This recognises the need for families to be made aware of a hearing into the death of their family member.</w:t>
      </w:r>
    </w:p>
    <w:p w14:paraId="54F086C3" w14:textId="386F7076" w:rsidR="005E360C" w:rsidRPr="006B7E73" w:rsidRDefault="009A3897" w:rsidP="005E360C">
      <w:pPr>
        <w:pStyle w:val="Heading3"/>
        <w:spacing w:after="0"/>
        <w:rPr>
          <w:rFonts w:cs="Arial"/>
        </w:rPr>
      </w:pPr>
      <w:r w:rsidRPr="006B7E73">
        <w:rPr>
          <w:rFonts w:cs="Arial"/>
        </w:rPr>
        <w:t>Clause 1</w:t>
      </w:r>
      <w:r w:rsidR="00AF6EAC" w:rsidRPr="006B7E73">
        <w:rPr>
          <w:rFonts w:cs="Arial"/>
        </w:rPr>
        <w:t>4</w:t>
      </w:r>
      <w:r w:rsidRPr="006B7E73">
        <w:rPr>
          <w:rFonts w:cs="Arial"/>
        </w:rPr>
        <w:t xml:space="preserve"> </w:t>
      </w:r>
      <w:r w:rsidRPr="006B7E73">
        <w:rPr>
          <w:rFonts w:cs="Arial"/>
        </w:rPr>
        <w:tab/>
        <w:t>Notice relating to conduct of hearing</w:t>
      </w:r>
    </w:p>
    <w:p w14:paraId="411878C0" w14:textId="1A694E60" w:rsidR="009A3897" w:rsidRPr="006B7E73" w:rsidRDefault="009A3897" w:rsidP="00FF6BFF">
      <w:pPr>
        <w:pStyle w:val="Heading3"/>
        <w:spacing w:before="0"/>
        <w:ind w:left="720" w:firstLine="720"/>
        <w:rPr>
          <w:rFonts w:cs="Arial"/>
        </w:rPr>
      </w:pPr>
      <w:r w:rsidRPr="006B7E73">
        <w:rPr>
          <w:rFonts w:cs="Arial"/>
        </w:rPr>
        <w:t>Section 38</w:t>
      </w:r>
    </w:p>
    <w:p w14:paraId="0CDFF3D5" w14:textId="3309F0A4" w:rsidR="009A3897" w:rsidRPr="006B7E73" w:rsidRDefault="00B246E0" w:rsidP="00D3034B">
      <w:pPr>
        <w:rPr>
          <w:rFonts w:ascii="Arial" w:hAnsi="Arial" w:cs="Arial"/>
        </w:rPr>
      </w:pPr>
      <w:r w:rsidRPr="006B7E73">
        <w:rPr>
          <w:rFonts w:ascii="Arial" w:hAnsi="Arial" w:cs="Arial"/>
        </w:rPr>
        <w:t>This clause increases the public notification period</w:t>
      </w:r>
      <w:r w:rsidR="00AB002D" w:rsidRPr="006B7E73">
        <w:rPr>
          <w:rFonts w:ascii="Arial" w:hAnsi="Arial" w:cs="Arial"/>
        </w:rPr>
        <w:t xml:space="preserve"> for the date, time and place of the hearing</w:t>
      </w:r>
      <w:r w:rsidRPr="006B7E73">
        <w:rPr>
          <w:rFonts w:ascii="Arial" w:hAnsi="Arial" w:cs="Arial"/>
        </w:rPr>
        <w:t xml:space="preserve"> from 14 to 28 days</w:t>
      </w:r>
      <w:r w:rsidR="00AB002D" w:rsidRPr="006B7E73">
        <w:rPr>
          <w:rFonts w:ascii="Arial" w:hAnsi="Arial" w:cs="Arial"/>
        </w:rPr>
        <w:t xml:space="preserve">.  </w:t>
      </w:r>
      <w:r w:rsidR="00D202C1" w:rsidRPr="006B7E73">
        <w:rPr>
          <w:rFonts w:ascii="Arial" w:hAnsi="Arial" w:cs="Arial"/>
        </w:rPr>
        <w:t xml:space="preserve">This recognises the needs of families to have more time to prepare and/or make any arrangements for the hearing if they wish. </w:t>
      </w:r>
    </w:p>
    <w:p w14:paraId="693EACFC" w14:textId="263A3051" w:rsidR="002F25A6" w:rsidRPr="006B7E73" w:rsidRDefault="00AB002D" w:rsidP="00FF6BFF">
      <w:pPr>
        <w:pStyle w:val="Heading3"/>
        <w:spacing w:after="0"/>
        <w:ind w:left="1440" w:hanging="1440"/>
        <w:rPr>
          <w:rFonts w:cs="Arial"/>
        </w:rPr>
      </w:pPr>
      <w:r w:rsidRPr="006B7E73">
        <w:rPr>
          <w:rFonts w:cs="Arial"/>
        </w:rPr>
        <w:t>Clause 1</w:t>
      </w:r>
      <w:r w:rsidR="00AF6EAC" w:rsidRPr="006B7E73">
        <w:rPr>
          <w:rFonts w:cs="Arial"/>
        </w:rPr>
        <w:t>5</w:t>
      </w:r>
      <w:r w:rsidRPr="006B7E73">
        <w:rPr>
          <w:rFonts w:cs="Arial"/>
        </w:rPr>
        <w:t xml:space="preserve"> </w:t>
      </w:r>
      <w:r w:rsidRPr="006B7E73">
        <w:rPr>
          <w:rFonts w:cs="Arial"/>
        </w:rPr>
        <w:tab/>
        <w:t>Inquests into non-custodial deaths and inquiries – discretion to appoint counsel assisting</w:t>
      </w:r>
    </w:p>
    <w:p w14:paraId="7E20FA38" w14:textId="7BA486AE" w:rsidR="00D7062D" w:rsidRPr="006B7E73" w:rsidRDefault="00AB002D" w:rsidP="002F25A6">
      <w:pPr>
        <w:pStyle w:val="Heading3"/>
        <w:spacing w:before="0"/>
        <w:ind w:left="1440"/>
        <w:rPr>
          <w:rFonts w:cs="Arial"/>
        </w:rPr>
      </w:pPr>
      <w:r w:rsidRPr="006B7E73">
        <w:rPr>
          <w:rFonts w:cs="Arial"/>
        </w:rPr>
        <w:t>Section 39</w:t>
      </w:r>
      <w:r w:rsidR="002F0E84" w:rsidRPr="006B7E73">
        <w:rPr>
          <w:rFonts w:cs="Arial"/>
        </w:rPr>
        <w:t xml:space="preserve"> </w:t>
      </w:r>
      <w:r w:rsidRPr="006B7E73">
        <w:rPr>
          <w:rFonts w:cs="Arial"/>
        </w:rPr>
        <w:t>(1)</w:t>
      </w:r>
    </w:p>
    <w:p w14:paraId="580C05CB" w14:textId="7BE4EB53" w:rsidR="00981F00" w:rsidRPr="006B7E73" w:rsidRDefault="00981F00" w:rsidP="00981F00">
      <w:pPr>
        <w:rPr>
          <w:rFonts w:ascii="Arial" w:hAnsi="Arial" w:cs="Arial"/>
        </w:rPr>
      </w:pPr>
      <w:r w:rsidRPr="006B7E73">
        <w:rPr>
          <w:rFonts w:ascii="Arial" w:hAnsi="Arial" w:cs="Arial"/>
        </w:rPr>
        <w:t xml:space="preserve">This is a </w:t>
      </w:r>
      <w:r w:rsidR="001B6F04"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8E0814">
        <w:rPr>
          <w:rFonts w:ascii="Arial" w:hAnsi="Arial" w:cs="Arial"/>
        </w:rPr>
        <w:t>.</w:t>
      </w:r>
      <w:r w:rsidRPr="006B7E73">
        <w:rPr>
          <w:rFonts w:ascii="Arial" w:hAnsi="Arial" w:cs="Arial"/>
        </w:rPr>
        <w:t>’</w:t>
      </w:r>
    </w:p>
    <w:p w14:paraId="0F0E1A2E" w14:textId="215C57EA" w:rsidR="00AB002D" w:rsidRPr="006B7E73" w:rsidRDefault="00981F00" w:rsidP="00981F00">
      <w:pPr>
        <w:pStyle w:val="Heading3"/>
        <w:ind w:left="1440" w:hanging="1440"/>
        <w:rPr>
          <w:rFonts w:cs="Arial"/>
        </w:rPr>
      </w:pPr>
      <w:r w:rsidRPr="006B7E73">
        <w:rPr>
          <w:rFonts w:cs="Arial"/>
        </w:rPr>
        <w:t>Clause 1</w:t>
      </w:r>
      <w:r w:rsidR="00AF6EAC" w:rsidRPr="006B7E73">
        <w:rPr>
          <w:rFonts w:cs="Arial"/>
        </w:rPr>
        <w:t>6</w:t>
      </w:r>
      <w:r w:rsidRPr="006B7E73">
        <w:rPr>
          <w:rFonts w:cs="Arial"/>
        </w:rPr>
        <w:t xml:space="preserve"> </w:t>
      </w:r>
      <w:r w:rsidRPr="006B7E73">
        <w:rPr>
          <w:rFonts w:cs="Arial"/>
        </w:rPr>
        <w:tab/>
        <w:t>Section 39</w:t>
      </w:r>
      <w:r w:rsidR="002F0E84" w:rsidRPr="006B7E73">
        <w:rPr>
          <w:rFonts w:cs="Arial"/>
        </w:rPr>
        <w:t xml:space="preserve"> </w:t>
      </w:r>
      <w:r w:rsidRPr="006B7E73">
        <w:rPr>
          <w:rFonts w:cs="Arial"/>
        </w:rPr>
        <w:t>(3)</w:t>
      </w:r>
      <w:r w:rsidR="002F0E84" w:rsidRPr="006B7E73">
        <w:rPr>
          <w:rFonts w:cs="Arial"/>
        </w:rPr>
        <w:t>,</w:t>
      </w:r>
      <w:r w:rsidRPr="006B7E73">
        <w:rPr>
          <w:rFonts w:cs="Arial"/>
        </w:rPr>
        <w:t xml:space="preserve"> note</w:t>
      </w:r>
    </w:p>
    <w:p w14:paraId="5BE4A23C" w14:textId="60161026" w:rsidR="00981F00" w:rsidRPr="006B7E73" w:rsidRDefault="00981F00" w:rsidP="00981F00">
      <w:pPr>
        <w:rPr>
          <w:rFonts w:ascii="Arial" w:hAnsi="Arial" w:cs="Arial"/>
        </w:rPr>
      </w:pPr>
      <w:r w:rsidRPr="006B7E73">
        <w:rPr>
          <w:rFonts w:ascii="Arial" w:hAnsi="Arial" w:cs="Arial"/>
        </w:rPr>
        <w:t xml:space="preserve">This is a </w:t>
      </w:r>
      <w:r w:rsidR="001B6F04"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8E0814">
        <w:rPr>
          <w:rFonts w:ascii="Arial" w:hAnsi="Arial" w:cs="Arial"/>
        </w:rPr>
        <w:t>.</w:t>
      </w:r>
      <w:r w:rsidRPr="006B7E73">
        <w:rPr>
          <w:rFonts w:ascii="Arial" w:hAnsi="Arial" w:cs="Arial"/>
        </w:rPr>
        <w:t>’</w:t>
      </w:r>
    </w:p>
    <w:p w14:paraId="4356B113" w14:textId="6EA5603B" w:rsidR="00981F00" w:rsidRPr="006B7E73" w:rsidRDefault="00981F00" w:rsidP="00981F00">
      <w:pPr>
        <w:pStyle w:val="Heading3"/>
        <w:ind w:left="1440" w:hanging="1440"/>
        <w:rPr>
          <w:rFonts w:cs="Arial"/>
        </w:rPr>
      </w:pPr>
      <w:r w:rsidRPr="006B7E73">
        <w:rPr>
          <w:rFonts w:cs="Arial"/>
        </w:rPr>
        <w:t>Clause 1</w:t>
      </w:r>
      <w:r w:rsidR="00AF6EAC" w:rsidRPr="006B7E73">
        <w:rPr>
          <w:rFonts w:cs="Arial"/>
        </w:rPr>
        <w:t>7</w:t>
      </w:r>
      <w:r w:rsidRPr="006B7E73">
        <w:rPr>
          <w:rFonts w:cs="Arial"/>
        </w:rPr>
        <w:tab/>
        <w:t>Section 54 heading</w:t>
      </w:r>
    </w:p>
    <w:p w14:paraId="38623344" w14:textId="38E59E6A" w:rsidR="00981F00" w:rsidRPr="006B7E73" w:rsidRDefault="00086029" w:rsidP="00981F00">
      <w:pPr>
        <w:rPr>
          <w:rFonts w:ascii="Arial" w:hAnsi="Arial" w:cs="Arial"/>
        </w:rPr>
      </w:pPr>
      <w:r w:rsidRPr="006B7E73">
        <w:rPr>
          <w:rFonts w:ascii="Arial" w:hAnsi="Arial" w:cs="Arial"/>
        </w:rPr>
        <w:t xml:space="preserve">This is a technical amendment to more accurately reflect the contents of the section. </w:t>
      </w:r>
    </w:p>
    <w:p w14:paraId="7EEA2636" w14:textId="5969A86D" w:rsidR="00AF6EAC" w:rsidRPr="006B7E73" w:rsidRDefault="00981F00" w:rsidP="00981F00">
      <w:pPr>
        <w:pStyle w:val="Heading3"/>
        <w:ind w:left="1440" w:hanging="1440"/>
        <w:rPr>
          <w:rFonts w:cs="Arial"/>
        </w:rPr>
      </w:pPr>
      <w:r w:rsidRPr="006B7E73">
        <w:rPr>
          <w:rFonts w:cs="Arial"/>
        </w:rPr>
        <w:t>Clause 1</w:t>
      </w:r>
      <w:r w:rsidR="00AF6EAC" w:rsidRPr="006B7E73">
        <w:rPr>
          <w:rFonts w:cs="Arial"/>
        </w:rPr>
        <w:t>8</w:t>
      </w:r>
      <w:r w:rsidRPr="006B7E73">
        <w:rPr>
          <w:rFonts w:cs="Arial"/>
        </w:rPr>
        <w:t xml:space="preserve"> </w:t>
      </w:r>
      <w:r w:rsidRPr="006B7E73">
        <w:rPr>
          <w:rFonts w:cs="Arial"/>
        </w:rPr>
        <w:tab/>
      </w:r>
      <w:r w:rsidR="00AF6EAC" w:rsidRPr="006B7E73">
        <w:rPr>
          <w:rFonts w:cs="Arial"/>
        </w:rPr>
        <w:t>Section 54</w:t>
      </w:r>
      <w:r w:rsidR="002F0E84" w:rsidRPr="006B7E73">
        <w:rPr>
          <w:rFonts w:cs="Arial"/>
        </w:rPr>
        <w:t xml:space="preserve"> </w:t>
      </w:r>
      <w:r w:rsidR="00AF6EAC" w:rsidRPr="006B7E73">
        <w:rPr>
          <w:rFonts w:cs="Arial"/>
        </w:rPr>
        <w:t>(1)</w:t>
      </w:r>
    </w:p>
    <w:p w14:paraId="70A2C93B" w14:textId="64959A86" w:rsidR="00AF6EAC" w:rsidRPr="006B7E73" w:rsidRDefault="00AF6EAC" w:rsidP="00AF6EAC">
      <w:pPr>
        <w:rPr>
          <w:rFonts w:ascii="Arial" w:hAnsi="Arial" w:cs="Arial"/>
        </w:rPr>
      </w:pPr>
      <w:r w:rsidRPr="006B7E73">
        <w:rPr>
          <w:rFonts w:ascii="Arial" w:hAnsi="Arial" w:cs="Arial"/>
        </w:rPr>
        <w:t xml:space="preserve">This is a </w:t>
      </w:r>
      <w:r w:rsidR="00086029"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8E0814">
        <w:rPr>
          <w:rFonts w:ascii="Arial" w:hAnsi="Arial" w:cs="Arial"/>
        </w:rPr>
        <w:t>.</w:t>
      </w:r>
      <w:r w:rsidRPr="006B7E73">
        <w:rPr>
          <w:rFonts w:ascii="Arial" w:hAnsi="Arial" w:cs="Arial"/>
        </w:rPr>
        <w:t>’</w:t>
      </w:r>
    </w:p>
    <w:p w14:paraId="2D2BB5E1" w14:textId="456F3424" w:rsidR="00981F00" w:rsidRPr="006B7E73" w:rsidRDefault="00AF6EAC" w:rsidP="00981F00">
      <w:pPr>
        <w:pStyle w:val="Heading3"/>
        <w:ind w:left="1440" w:hanging="1440"/>
        <w:rPr>
          <w:rFonts w:cs="Arial"/>
        </w:rPr>
      </w:pPr>
      <w:r w:rsidRPr="006B7E73">
        <w:rPr>
          <w:rFonts w:cs="Arial"/>
        </w:rPr>
        <w:lastRenderedPageBreak/>
        <w:t>Clause 19</w:t>
      </w:r>
      <w:r w:rsidRPr="006B7E73">
        <w:rPr>
          <w:rFonts w:cs="Arial"/>
        </w:rPr>
        <w:tab/>
        <w:t>New section 57A</w:t>
      </w:r>
    </w:p>
    <w:p w14:paraId="70989E47" w14:textId="77777777" w:rsidR="00BE0B5A" w:rsidRPr="006B7E73" w:rsidRDefault="00346D33" w:rsidP="00346D33">
      <w:pPr>
        <w:rPr>
          <w:rFonts w:ascii="Arial" w:hAnsi="Arial" w:cs="Arial"/>
        </w:rPr>
      </w:pPr>
      <w:r w:rsidRPr="006B7E73">
        <w:rPr>
          <w:rFonts w:ascii="Arial" w:hAnsi="Arial" w:cs="Arial"/>
        </w:rPr>
        <w:t>This clause inserts a formal power</w:t>
      </w:r>
      <w:r w:rsidR="007731B9" w:rsidRPr="006B7E73">
        <w:rPr>
          <w:rFonts w:ascii="Arial" w:hAnsi="Arial" w:cs="Arial"/>
        </w:rPr>
        <w:t xml:space="preserve"> to enable a coroner</w:t>
      </w:r>
      <w:r w:rsidRPr="006B7E73">
        <w:rPr>
          <w:rFonts w:ascii="Arial" w:hAnsi="Arial" w:cs="Arial"/>
        </w:rPr>
        <w:t xml:space="preserve"> </w:t>
      </w:r>
      <w:r w:rsidR="007731B9" w:rsidRPr="006B7E73">
        <w:rPr>
          <w:rFonts w:ascii="Arial" w:hAnsi="Arial" w:cs="Arial"/>
        </w:rPr>
        <w:t xml:space="preserve">to correct a mistake, error or omission in a coronial finding or report. This power is </w:t>
      </w:r>
      <w:r w:rsidRPr="006B7E73">
        <w:rPr>
          <w:rFonts w:ascii="Arial" w:hAnsi="Arial" w:cs="Arial"/>
        </w:rPr>
        <w:t xml:space="preserve">akin to section 76 of the </w:t>
      </w:r>
      <w:r w:rsidRPr="006B7E73">
        <w:rPr>
          <w:rFonts w:ascii="Arial" w:hAnsi="Arial" w:cs="Arial"/>
          <w:i/>
          <w:iCs/>
        </w:rPr>
        <w:t xml:space="preserve">Coroners Act 2008 </w:t>
      </w:r>
      <w:r w:rsidRPr="006B7E73">
        <w:rPr>
          <w:rFonts w:ascii="Arial" w:hAnsi="Arial" w:cs="Arial"/>
        </w:rPr>
        <w:t>(VIC</w:t>
      </w:r>
      <w:r w:rsidR="007731B9" w:rsidRPr="006B7E73">
        <w:rPr>
          <w:rFonts w:ascii="Arial" w:hAnsi="Arial" w:cs="Arial"/>
        </w:rPr>
        <w:t xml:space="preserve">) and </w:t>
      </w:r>
      <w:r w:rsidRPr="006B7E73">
        <w:rPr>
          <w:rFonts w:ascii="Arial" w:hAnsi="Arial" w:cs="Arial"/>
        </w:rPr>
        <w:t xml:space="preserve">codifies the ‘slip rule’ </w:t>
      </w:r>
      <w:r w:rsidR="007731B9" w:rsidRPr="006B7E73">
        <w:rPr>
          <w:rFonts w:ascii="Arial" w:hAnsi="Arial" w:cs="Arial"/>
        </w:rPr>
        <w:t>to</w:t>
      </w:r>
      <w:r w:rsidRPr="006B7E73">
        <w:rPr>
          <w:rFonts w:ascii="Arial" w:hAnsi="Arial" w:cs="Arial"/>
        </w:rPr>
        <w:t xml:space="preserve"> allow a party to an inquest to request the coroner correct an error which has been made as a result of an accidental slip or omission, or a clerical mistake. </w:t>
      </w:r>
    </w:p>
    <w:p w14:paraId="04972202" w14:textId="0A60BD26" w:rsidR="00346D33" w:rsidRPr="006B7E73" w:rsidRDefault="00BE0B5A" w:rsidP="00346D33">
      <w:pPr>
        <w:rPr>
          <w:rFonts w:ascii="Arial" w:hAnsi="Arial" w:cs="Arial"/>
        </w:rPr>
      </w:pPr>
      <w:r w:rsidRPr="006B7E73">
        <w:rPr>
          <w:rFonts w:ascii="Arial" w:hAnsi="Arial" w:cs="Arial"/>
        </w:rPr>
        <w:t xml:space="preserve">A coroner may make an amendment on their own initiative or on request of a person with sufficient interest in the inquest or inquiry. </w:t>
      </w:r>
    </w:p>
    <w:p w14:paraId="253F0A9B" w14:textId="56301B0C" w:rsidR="00981F00" w:rsidRPr="006B7E73" w:rsidRDefault="005C5FA5" w:rsidP="005C5FA5">
      <w:pPr>
        <w:pStyle w:val="Heading3"/>
        <w:ind w:left="1440" w:hanging="1440"/>
        <w:rPr>
          <w:rFonts w:cs="Arial"/>
        </w:rPr>
      </w:pPr>
      <w:r w:rsidRPr="006B7E73">
        <w:rPr>
          <w:rFonts w:cs="Arial"/>
        </w:rPr>
        <w:t xml:space="preserve">Clause </w:t>
      </w:r>
      <w:r w:rsidR="00AF6EAC" w:rsidRPr="006B7E73">
        <w:rPr>
          <w:rFonts w:cs="Arial"/>
        </w:rPr>
        <w:t>20</w:t>
      </w:r>
      <w:r w:rsidRPr="006B7E73">
        <w:rPr>
          <w:rFonts w:cs="Arial"/>
        </w:rPr>
        <w:t xml:space="preserve"> </w:t>
      </w:r>
      <w:r w:rsidRPr="006B7E73">
        <w:rPr>
          <w:rFonts w:cs="Arial"/>
        </w:rPr>
        <w:tab/>
        <w:t>Part 6 heading</w:t>
      </w:r>
    </w:p>
    <w:p w14:paraId="167C8492" w14:textId="4F49A005" w:rsidR="005C5FA5" w:rsidRPr="006B7E73" w:rsidRDefault="005C5FA5" w:rsidP="005C5FA5">
      <w:pPr>
        <w:rPr>
          <w:rFonts w:ascii="Arial" w:hAnsi="Arial" w:cs="Arial"/>
        </w:rPr>
      </w:pPr>
      <w:r w:rsidRPr="006B7E73">
        <w:rPr>
          <w:rFonts w:ascii="Arial" w:hAnsi="Arial" w:cs="Arial"/>
        </w:rPr>
        <w:t xml:space="preserve">This is a </w:t>
      </w:r>
      <w:r w:rsidR="008953BC"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Pr="006B7E73">
        <w:rPr>
          <w:rFonts w:ascii="Arial" w:hAnsi="Arial" w:cs="Arial"/>
        </w:rPr>
        <w:t xml:space="preserve">’ </w:t>
      </w:r>
    </w:p>
    <w:p w14:paraId="616C9CC9" w14:textId="40D3784D" w:rsidR="00DA40D0" w:rsidRPr="006B7E73" w:rsidRDefault="00DA40D0" w:rsidP="00DA40D0">
      <w:pPr>
        <w:pStyle w:val="Heading3"/>
        <w:ind w:left="1440" w:hanging="1440"/>
        <w:rPr>
          <w:rFonts w:cs="Arial"/>
        </w:rPr>
      </w:pPr>
      <w:r w:rsidRPr="006B7E73">
        <w:rPr>
          <w:rFonts w:cs="Arial"/>
        </w:rPr>
        <w:t xml:space="preserve">Clause 21 </w:t>
      </w:r>
      <w:r w:rsidRPr="006B7E73">
        <w:rPr>
          <w:rFonts w:cs="Arial"/>
        </w:rPr>
        <w:tab/>
        <w:t>Sections 69 to 71</w:t>
      </w:r>
    </w:p>
    <w:p w14:paraId="1EC7C455" w14:textId="297450FC" w:rsidR="00DA40D0" w:rsidRPr="006B7E73" w:rsidRDefault="00DA40D0" w:rsidP="00DA40D0">
      <w:pPr>
        <w:rPr>
          <w:rFonts w:ascii="Arial" w:hAnsi="Arial" w:cs="Arial"/>
        </w:rPr>
      </w:pPr>
      <w:r w:rsidRPr="006B7E73">
        <w:rPr>
          <w:rFonts w:ascii="Arial" w:hAnsi="Arial" w:cs="Arial"/>
        </w:rPr>
        <w:t>Th</w:t>
      </w:r>
      <w:r w:rsidR="00D30BB2" w:rsidRPr="006B7E73">
        <w:rPr>
          <w:rFonts w:ascii="Arial" w:hAnsi="Arial" w:cs="Arial"/>
        </w:rPr>
        <w:t xml:space="preserve">e amendments to these provisions are </w:t>
      </w:r>
      <w:r w:rsidRPr="006B7E73">
        <w:rPr>
          <w:rFonts w:ascii="Arial" w:hAnsi="Arial" w:cs="Arial"/>
        </w:rPr>
        <w:t xml:space="preserve">consequential </w:t>
      </w:r>
      <w:r w:rsidR="00D30BB2" w:rsidRPr="006B7E73">
        <w:rPr>
          <w:rFonts w:ascii="Arial" w:hAnsi="Arial" w:cs="Arial"/>
        </w:rPr>
        <w:t xml:space="preserve">to </w:t>
      </w:r>
      <w:r w:rsidRPr="006B7E73">
        <w:rPr>
          <w:rFonts w:ascii="Arial" w:hAnsi="Arial" w:cs="Arial"/>
        </w:rPr>
        <w:t>ensure</w:t>
      </w:r>
      <w:r w:rsidR="00D30BB2" w:rsidRPr="006B7E73">
        <w:rPr>
          <w:rFonts w:ascii="Arial" w:hAnsi="Arial" w:cs="Arial"/>
        </w:rPr>
        <w:t xml:space="preserve"> that</w:t>
      </w:r>
      <w:r w:rsidRPr="006B7E73">
        <w:rPr>
          <w:rFonts w:ascii="Arial" w:hAnsi="Arial" w:cs="Arial"/>
        </w:rPr>
        <w:t xml:space="preserve">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p>
    <w:p w14:paraId="493AD741" w14:textId="206F1FD2" w:rsidR="005C5FA5" w:rsidRPr="006B7E73" w:rsidRDefault="005C5FA5" w:rsidP="005C5FA5">
      <w:pPr>
        <w:pStyle w:val="Heading3"/>
        <w:ind w:left="1440" w:hanging="1440"/>
        <w:rPr>
          <w:rFonts w:cs="Arial"/>
        </w:rPr>
      </w:pPr>
      <w:r w:rsidRPr="006B7E73">
        <w:rPr>
          <w:rFonts w:cs="Arial"/>
        </w:rPr>
        <w:t>Clause 2</w:t>
      </w:r>
      <w:r w:rsidR="00DA40D0" w:rsidRPr="006B7E73">
        <w:rPr>
          <w:rFonts w:cs="Arial"/>
        </w:rPr>
        <w:t>2</w:t>
      </w:r>
      <w:r w:rsidRPr="006B7E73">
        <w:rPr>
          <w:rFonts w:cs="Arial"/>
        </w:rPr>
        <w:t xml:space="preserve"> </w:t>
      </w:r>
      <w:r w:rsidRPr="006B7E73">
        <w:rPr>
          <w:rFonts w:cs="Arial"/>
        </w:rPr>
        <w:tab/>
        <w:t>Section 72 heading</w:t>
      </w:r>
    </w:p>
    <w:p w14:paraId="638F9AFA" w14:textId="099E687E" w:rsidR="005C5FA5" w:rsidRPr="006B7E73" w:rsidRDefault="005C5FA5" w:rsidP="005C5FA5">
      <w:pPr>
        <w:rPr>
          <w:rFonts w:ascii="Arial" w:hAnsi="Arial" w:cs="Arial"/>
        </w:rPr>
      </w:pPr>
      <w:r w:rsidRPr="006B7E73">
        <w:rPr>
          <w:rFonts w:ascii="Arial" w:hAnsi="Arial" w:cs="Arial"/>
        </w:rPr>
        <w:t xml:space="preserve">This is a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p>
    <w:p w14:paraId="0CCA4788" w14:textId="2E9CBA21" w:rsidR="005C5FA5" w:rsidRPr="006B7E73" w:rsidRDefault="005C5FA5" w:rsidP="005C5FA5">
      <w:pPr>
        <w:pStyle w:val="Heading3"/>
        <w:ind w:left="1440" w:hanging="1440"/>
        <w:rPr>
          <w:rFonts w:cs="Arial"/>
        </w:rPr>
      </w:pPr>
      <w:r w:rsidRPr="006B7E73">
        <w:rPr>
          <w:rFonts w:cs="Arial"/>
        </w:rPr>
        <w:t>Clause 2</w:t>
      </w:r>
      <w:r w:rsidR="00DA40D0" w:rsidRPr="006B7E73">
        <w:rPr>
          <w:rFonts w:cs="Arial"/>
        </w:rPr>
        <w:t>3</w:t>
      </w:r>
      <w:r w:rsidRPr="006B7E73">
        <w:rPr>
          <w:rFonts w:cs="Arial"/>
        </w:rPr>
        <w:t xml:space="preserve"> </w:t>
      </w:r>
      <w:r w:rsidRPr="006B7E73">
        <w:rPr>
          <w:rFonts w:cs="Arial"/>
        </w:rPr>
        <w:tab/>
        <w:t>Section 72</w:t>
      </w:r>
    </w:p>
    <w:p w14:paraId="1B1C53FF" w14:textId="430D0B26" w:rsidR="005C5FA5" w:rsidRPr="006B7E73" w:rsidRDefault="005C5FA5" w:rsidP="005C5FA5">
      <w:pPr>
        <w:rPr>
          <w:rFonts w:ascii="Arial" w:hAnsi="Arial" w:cs="Arial"/>
        </w:rPr>
      </w:pPr>
      <w:r w:rsidRPr="006B7E73">
        <w:rPr>
          <w:rFonts w:ascii="Arial" w:hAnsi="Arial" w:cs="Arial"/>
        </w:rPr>
        <w:t>This is</w:t>
      </w:r>
      <w:r w:rsidR="001855CA" w:rsidRPr="006B7E73">
        <w:rPr>
          <w:rFonts w:ascii="Arial" w:hAnsi="Arial" w:cs="Arial"/>
        </w:rPr>
        <w:t xml:space="preserve"> a</w:t>
      </w:r>
      <w:r w:rsidRPr="006B7E73">
        <w:rPr>
          <w:rFonts w:ascii="Arial" w:hAnsi="Arial" w:cs="Arial"/>
        </w:rPr>
        <w:t xml:space="preserve">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p>
    <w:p w14:paraId="689598E1" w14:textId="281CEB96" w:rsidR="005C5FA5" w:rsidRPr="006B7E73" w:rsidRDefault="005C5FA5" w:rsidP="005C5FA5">
      <w:pPr>
        <w:pStyle w:val="Heading3"/>
        <w:ind w:left="1440" w:hanging="1440"/>
        <w:rPr>
          <w:rFonts w:cs="Arial"/>
        </w:rPr>
      </w:pPr>
      <w:r w:rsidRPr="006B7E73">
        <w:rPr>
          <w:rFonts w:cs="Arial"/>
        </w:rPr>
        <w:t>Clause 2</w:t>
      </w:r>
      <w:r w:rsidR="00DA40D0" w:rsidRPr="006B7E73">
        <w:rPr>
          <w:rFonts w:cs="Arial"/>
        </w:rPr>
        <w:t>4</w:t>
      </w:r>
      <w:r w:rsidRPr="006B7E73">
        <w:rPr>
          <w:rFonts w:cs="Arial"/>
        </w:rPr>
        <w:tab/>
        <w:t>Section 73</w:t>
      </w:r>
    </w:p>
    <w:p w14:paraId="5E992392" w14:textId="542ACF88" w:rsidR="005C5FA5" w:rsidRPr="006B7E73" w:rsidRDefault="005C5FA5" w:rsidP="005C5FA5">
      <w:pPr>
        <w:rPr>
          <w:rFonts w:ascii="Arial" w:hAnsi="Arial" w:cs="Arial"/>
        </w:rPr>
      </w:pPr>
      <w:r w:rsidRPr="006B7E73">
        <w:rPr>
          <w:rFonts w:ascii="Arial" w:hAnsi="Arial" w:cs="Arial"/>
        </w:rPr>
        <w:t xml:space="preserve">This is a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r w:rsidRPr="006B7E73">
        <w:rPr>
          <w:rFonts w:ascii="Arial" w:hAnsi="Arial" w:cs="Arial"/>
        </w:rPr>
        <w:t xml:space="preserve"> </w:t>
      </w:r>
    </w:p>
    <w:p w14:paraId="7A7BD26F" w14:textId="61DCDE16" w:rsidR="001855CA" w:rsidRPr="006B7E73" w:rsidRDefault="005C5FA5" w:rsidP="001855CA">
      <w:pPr>
        <w:pStyle w:val="Heading3"/>
        <w:spacing w:after="0"/>
        <w:ind w:left="1440" w:hanging="1440"/>
        <w:rPr>
          <w:rFonts w:cs="Arial"/>
        </w:rPr>
      </w:pPr>
      <w:r w:rsidRPr="006B7E73">
        <w:rPr>
          <w:rFonts w:cs="Arial"/>
        </w:rPr>
        <w:t>Clause 2</w:t>
      </w:r>
      <w:r w:rsidR="00DA40D0" w:rsidRPr="006B7E73">
        <w:rPr>
          <w:rFonts w:cs="Arial"/>
        </w:rPr>
        <w:t>5</w:t>
      </w:r>
      <w:r w:rsidRPr="006B7E73">
        <w:rPr>
          <w:rFonts w:cs="Arial"/>
        </w:rPr>
        <w:t xml:space="preserve"> </w:t>
      </w:r>
      <w:r w:rsidRPr="006B7E73">
        <w:rPr>
          <w:rFonts w:cs="Arial"/>
        </w:rPr>
        <w:tab/>
        <w:t>Findings about quality of care, treatment and supervision</w:t>
      </w:r>
    </w:p>
    <w:p w14:paraId="59B13E30" w14:textId="7B44F8F6" w:rsidR="005C5FA5" w:rsidRPr="006B7E73" w:rsidRDefault="005C5FA5" w:rsidP="00FF6BFF">
      <w:pPr>
        <w:pStyle w:val="Heading3"/>
        <w:spacing w:before="0"/>
        <w:ind w:left="1440"/>
        <w:rPr>
          <w:rFonts w:cs="Arial"/>
        </w:rPr>
      </w:pPr>
      <w:r w:rsidRPr="006B7E73">
        <w:rPr>
          <w:rFonts w:cs="Arial"/>
        </w:rPr>
        <w:t>Section 74</w:t>
      </w:r>
    </w:p>
    <w:p w14:paraId="4791C965" w14:textId="6F0A38D9" w:rsidR="005C5FA5" w:rsidRPr="006B7E73" w:rsidRDefault="005C5FA5" w:rsidP="005C5FA5">
      <w:pPr>
        <w:rPr>
          <w:rFonts w:ascii="Arial" w:hAnsi="Arial" w:cs="Arial"/>
        </w:rPr>
      </w:pPr>
      <w:r w:rsidRPr="006B7E73">
        <w:rPr>
          <w:rFonts w:ascii="Arial" w:hAnsi="Arial" w:cs="Arial"/>
        </w:rPr>
        <w:t xml:space="preserve">This is a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r w:rsidRPr="006B7E73">
        <w:rPr>
          <w:rFonts w:ascii="Arial" w:hAnsi="Arial" w:cs="Arial"/>
        </w:rPr>
        <w:t xml:space="preserve"> </w:t>
      </w:r>
    </w:p>
    <w:p w14:paraId="3D6969C6" w14:textId="5E4B76E0" w:rsidR="001855CA" w:rsidRPr="006B7E73" w:rsidRDefault="005C5FA5" w:rsidP="00FF6BFF">
      <w:pPr>
        <w:pStyle w:val="Heading3"/>
        <w:spacing w:after="0"/>
        <w:ind w:left="1440" w:hanging="1440"/>
        <w:rPr>
          <w:rFonts w:cs="Arial"/>
        </w:rPr>
      </w:pPr>
      <w:r w:rsidRPr="006B7E73">
        <w:rPr>
          <w:rFonts w:cs="Arial"/>
        </w:rPr>
        <w:t>Clause 2</w:t>
      </w:r>
      <w:r w:rsidR="00DA40D0" w:rsidRPr="006B7E73">
        <w:rPr>
          <w:rFonts w:cs="Arial"/>
        </w:rPr>
        <w:t>6</w:t>
      </w:r>
      <w:r w:rsidRPr="006B7E73">
        <w:rPr>
          <w:rFonts w:cs="Arial"/>
        </w:rPr>
        <w:tab/>
        <w:t>Copies of reports of findings</w:t>
      </w:r>
    </w:p>
    <w:p w14:paraId="179835E1" w14:textId="426229DC" w:rsidR="005C5FA5" w:rsidRPr="006B7E73" w:rsidRDefault="005C5FA5" w:rsidP="001855CA">
      <w:pPr>
        <w:pStyle w:val="Heading3"/>
        <w:spacing w:before="0"/>
        <w:ind w:left="1440"/>
        <w:rPr>
          <w:rFonts w:cs="Arial"/>
        </w:rPr>
      </w:pPr>
      <w:r w:rsidRPr="006B7E73">
        <w:rPr>
          <w:rFonts w:cs="Arial"/>
        </w:rPr>
        <w:t>Section 75</w:t>
      </w:r>
      <w:r w:rsidR="00DA40D0" w:rsidRPr="006B7E73">
        <w:rPr>
          <w:rFonts w:cs="Arial"/>
        </w:rPr>
        <w:t xml:space="preserve"> (1)</w:t>
      </w:r>
    </w:p>
    <w:p w14:paraId="40DAB7EC" w14:textId="3E6E4879" w:rsidR="005C5FA5" w:rsidRPr="006B7E73" w:rsidRDefault="005C5FA5" w:rsidP="005C5FA5">
      <w:pPr>
        <w:rPr>
          <w:rFonts w:ascii="Arial" w:hAnsi="Arial" w:cs="Arial"/>
        </w:rPr>
      </w:pPr>
      <w:r w:rsidRPr="006B7E73">
        <w:rPr>
          <w:rFonts w:ascii="Arial" w:hAnsi="Arial" w:cs="Arial"/>
        </w:rPr>
        <w:t xml:space="preserve">This is a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r w:rsidRPr="006B7E73">
        <w:rPr>
          <w:rFonts w:ascii="Arial" w:hAnsi="Arial" w:cs="Arial"/>
        </w:rPr>
        <w:t xml:space="preserve"> </w:t>
      </w:r>
    </w:p>
    <w:p w14:paraId="136B0D2E" w14:textId="75E72B9D" w:rsidR="00AF6EAC" w:rsidRPr="006B7E73" w:rsidRDefault="005C5FA5" w:rsidP="005C5FA5">
      <w:pPr>
        <w:pStyle w:val="Heading3"/>
        <w:ind w:left="1440" w:hanging="1440"/>
        <w:rPr>
          <w:rFonts w:cs="Arial"/>
        </w:rPr>
      </w:pPr>
      <w:r w:rsidRPr="006B7E73">
        <w:rPr>
          <w:rFonts w:cs="Arial"/>
        </w:rPr>
        <w:t xml:space="preserve">Clause </w:t>
      </w:r>
      <w:r w:rsidR="00AF6EAC" w:rsidRPr="006B7E73">
        <w:rPr>
          <w:rFonts w:cs="Arial"/>
        </w:rPr>
        <w:t>2</w:t>
      </w:r>
      <w:r w:rsidR="00DA40D0" w:rsidRPr="006B7E73">
        <w:rPr>
          <w:rFonts w:cs="Arial"/>
        </w:rPr>
        <w:t>7</w:t>
      </w:r>
      <w:r w:rsidRPr="006B7E73">
        <w:rPr>
          <w:rFonts w:cs="Arial"/>
        </w:rPr>
        <w:tab/>
      </w:r>
      <w:r w:rsidR="00AF6EAC" w:rsidRPr="006B7E73">
        <w:rPr>
          <w:rFonts w:cs="Arial"/>
        </w:rPr>
        <w:t>Section 75</w:t>
      </w:r>
      <w:r w:rsidR="001855CA" w:rsidRPr="006B7E73">
        <w:rPr>
          <w:rFonts w:cs="Arial"/>
        </w:rPr>
        <w:t xml:space="preserve"> </w:t>
      </w:r>
      <w:r w:rsidR="00AF6EAC" w:rsidRPr="006B7E73">
        <w:rPr>
          <w:rFonts w:cs="Arial"/>
        </w:rPr>
        <w:t>(1)</w:t>
      </w:r>
      <w:r w:rsidR="001855CA" w:rsidRPr="006B7E73">
        <w:rPr>
          <w:rFonts w:cs="Arial"/>
        </w:rPr>
        <w:t xml:space="preserve"> </w:t>
      </w:r>
      <w:r w:rsidR="00AF6EAC" w:rsidRPr="006B7E73">
        <w:rPr>
          <w:rFonts w:cs="Arial"/>
        </w:rPr>
        <w:t>(b)</w:t>
      </w:r>
    </w:p>
    <w:p w14:paraId="20012C10" w14:textId="6DAC8B15" w:rsidR="00AF6EAC" w:rsidRPr="006B7E73" w:rsidRDefault="00652E4E" w:rsidP="00AF6EAC">
      <w:pPr>
        <w:rPr>
          <w:rFonts w:ascii="Arial" w:hAnsi="Arial" w:cs="Arial"/>
        </w:rPr>
      </w:pPr>
      <w:r w:rsidRPr="006B7E73">
        <w:rPr>
          <w:rFonts w:ascii="Arial" w:hAnsi="Arial" w:cs="Arial"/>
        </w:rPr>
        <w:t>This is a consequential amendment that ensures the same powers, obligations and requirements apply to a ‘death in care’ as a ‘death in custody</w:t>
      </w:r>
      <w:r w:rsidR="007571E7">
        <w:rPr>
          <w:rFonts w:ascii="Arial" w:hAnsi="Arial" w:cs="Arial"/>
        </w:rPr>
        <w:t>.</w:t>
      </w:r>
      <w:r w:rsidR="007571E7" w:rsidRPr="006B7E73">
        <w:rPr>
          <w:rFonts w:ascii="Arial" w:hAnsi="Arial" w:cs="Arial"/>
        </w:rPr>
        <w:t>’</w:t>
      </w:r>
    </w:p>
    <w:p w14:paraId="1CCCEF39" w14:textId="263C507B" w:rsidR="00DA40D0" w:rsidRPr="006B7E73" w:rsidRDefault="00DA40D0" w:rsidP="00DA40D0">
      <w:pPr>
        <w:pStyle w:val="Heading3"/>
        <w:rPr>
          <w:rFonts w:cs="Arial"/>
        </w:rPr>
      </w:pPr>
      <w:r w:rsidRPr="006B7E73">
        <w:rPr>
          <w:rFonts w:cs="Arial"/>
        </w:rPr>
        <w:lastRenderedPageBreak/>
        <w:t>Clause 28</w:t>
      </w:r>
      <w:r w:rsidRPr="006B7E73">
        <w:rPr>
          <w:rFonts w:cs="Arial"/>
        </w:rPr>
        <w:tab/>
        <w:t>Section 75 (2)</w:t>
      </w:r>
    </w:p>
    <w:p w14:paraId="435FEAAD" w14:textId="026AEF2A" w:rsidR="00E6582F" w:rsidRPr="006B7E73" w:rsidRDefault="00E6582F" w:rsidP="00E6582F">
      <w:pPr>
        <w:rPr>
          <w:rFonts w:ascii="Arial" w:hAnsi="Arial" w:cs="Arial"/>
        </w:rPr>
      </w:pPr>
      <w:r w:rsidRPr="006B7E73">
        <w:rPr>
          <w:rFonts w:ascii="Arial" w:hAnsi="Arial" w:cs="Arial"/>
        </w:rPr>
        <w:t>This is a consequential amendment that ensures the same powers, obligations and requirements apply to a ‘death in care’ as a ‘death in custody</w:t>
      </w:r>
      <w:r w:rsidR="007571E7">
        <w:rPr>
          <w:rFonts w:ascii="Arial" w:hAnsi="Arial" w:cs="Arial"/>
        </w:rPr>
        <w:t>.</w:t>
      </w:r>
      <w:r w:rsidR="007571E7" w:rsidRPr="006B7E73">
        <w:rPr>
          <w:rFonts w:ascii="Arial" w:hAnsi="Arial" w:cs="Arial"/>
        </w:rPr>
        <w:t>’</w:t>
      </w:r>
    </w:p>
    <w:p w14:paraId="0DA8C692" w14:textId="208F59B0" w:rsidR="00984361" w:rsidRPr="006B7E73" w:rsidRDefault="001855CA" w:rsidP="005F5F75">
      <w:pPr>
        <w:pStyle w:val="Heading3"/>
        <w:spacing w:after="0"/>
        <w:rPr>
          <w:rFonts w:cs="Arial"/>
        </w:rPr>
      </w:pPr>
      <w:r w:rsidRPr="006B7E73">
        <w:rPr>
          <w:rFonts w:cs="Arial"/>
        </w:rPr>
        <w:t xml:space="preserve">Clause </w:t>
      </w:r>
      <w:r w:rsidR="00DA40D0" w:rsidRPr="006B7E73">
        <w:rPr>
          <w:rFonts w:cs="Arial"/>
        </w:rPr>
        <w:t>29</w:t>
      </w:r>
      <w:r w:rsidRPr="006B7E73">
        <w:rPr>
          <w:rFonts w:cs="Arial"/>
        </w:rPr>
        <w:tab/>
      </w:r>
      <w:r w:rsidR="00984361" w:rsidRPr="006B7E73">
        <w:rPr>
          <w:rFonts w:cs="Arial"/>
        </w:rPr>
        <w:t xml:space="preserve">Response to reports </w:t>
      </w:r>
    </w:p>
    <w:p w14:paraId="660694F9" w14:textId="08F72DE8" w:rsidR="001855CA" w:rsidRPr="006B7E73" w:rsidRDefault="00984361" w:rsidP="00984361">
      <w:pPr>
        <w:pStyle w:val="Heading3"/>
        <w:spacing w:before="0"/>
        <w:ind w:left="720" w:firstLine="720"/>
        <w:rPr>
          <w:rFonts w:cs="Arial"/>
        </w:rPr>
      </w:pPr>
      <w:r w:rsidRPr="006B7E73">
        <w:rPr>
          <w:rFonts w:cs="Arial"/>
        </w:rPr>
        <w:t>Section 76 (1)</w:t>
      </w:r>
    </w:p>
    <w:p w14:paraId="258DF8B7" w14:textId="11FE5451" w:rsidR="001855CA" w:rsidRPr="006B7E73" w:rsidRDefault="001855CA" w:rsidP="001855CA">
      <w:pPr>
        <w:rPr>
          <w:rFonts w:ascii="Arial" w:hAnsi="Arial" w:cs="Arial"/>
        </w:rPr>
      </w:pPr>
      <w:r w:rsidRPr="006B7E73">
        <w:rPr>
          <w:rFonts w:ascii="Arial" w:hAnsi="Arial" w:cs="Arial"/>
        </w:rPr>
        <w:t xml:space="preserve">This </w:t>
      </w:r>
      <w:r w:rsidR="00984361" w:rsidRPr="006B7E73">
        <w:rPr>
          <w:rFonts w:ascii="Arial" w:hAnsi="Arial" w:cs="Arial"/>
        </w:rPr>
        <w:t>claus</w:t>
      </w:r>
      <w:r w:rsidR="00652E4E" w:rsidRPr="006B7E73">
        <w:rPr>
          <w:rFonts w:ascii="Arial" w:hAnsi="Arial" w:cs="Arial"/>
        </w:rPr>
        <w:t>e is a consequential amendment to the substitution of section 75 (1) (b) above.</w:t>
      </w:r>
    </w:p>
    <w:p w14:paraId="6DF0CBB8" w14:textId="04677145" w:rsidR="001855CA" w:rsidRPr="006B7E73" w:rsidRDefault="001855CA" w:rsidP="001855CA">
      <w:pPr>
        <w:pStyle w:val="Heading3"/>
        <w:rPr>
          <w:rFonts w:cs="Arial"/>
        </w:rPr>
      </w:pPr>
      <w:r w:rsidRPr="006B7E73">
        <w:rPr>
          <w:rFonts w:cs="Arial"/>
        </w:rPr>
        <w:t xml:space="preserve">Clause </w:t>
      </w:r>
      <w:r w:rsidR="00DA40D0" w:rsidRPr="006B7E73">
        <w:rPr>
          <w:rFonts w:cs="Arial"/>
        </w:rPr>
        <w:t>30</w:t>
      </w:r>
      <w:r w:rsidRPr="006B7E73">
        <w:rPr>
          <w:rFonts w:cs="Arial"/>
        </w:rPr>
        <w:tab/>
        <w:t>Section 78 heading</w:t>
      </w:r>
    </w:p>
    <w:p w14:paraId="49C44E44" w14:textId="2A52C1C5" w:rsidR="001855CA" w:rsidRPr="006B7E73" w:rsidRDefault="001855CA" w:rsidP="001855CA">
      <w:pPr>
        <w:rPr>
          <w:rFonts w:ascii="Arial" w:hAnsi="Arial" w:cs="Arial"/>
        </w:rPr>
      </w:pPr>
      <w:r w:rsidRPr="006B7E73">
        <w:rPr>
          <w:rFonts w:ascii="Arial" w:hAnsi="Arial" w:cs="Arial"/>
        </w:rPr>
        <w:t>This is a consequential amendment 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p>
    <w:p w14:paraId="6F93E44A" w14:textId="3A8BAE92" w:rsidR="005C5FA5" w:rsidRPr="006B7E73" w:rsidRDefault="005C5FA5" w:rsidP="005C5FA5">
      <w:pPr>
        <w:pStyle w:val="Heading3"/>
        <w:ind w:left="1440" w:hanging="1440"/>
        <w:rPr>
          <w:rFonts w:cs="Arial"/>
        </w:rPr>
      </w:pPr>
      <w:r w:rsidRPr="006B7E73">
        <w:rPr>
          <w:rFonts w:cs="Arial"/>
        </w:rPr>
        <w:t xml:space="preserve">Clause </w:t>
      </w:r>
      <w:r w:rsidR="00DA40D0" w:rsidRPr="006B7E73">
        <w:rPr>
          <w:rFonts w:cs="Arial"/>
        </w:rPr>
        <w:t>31</w:t>
      </w:r>
      <w:r w:rsidRPr="006B7E73">
        <w:rPr>
          <w:rFonts w:cs="Arial"/>
        </w:rPr>
        <w:tab/>
        <w:t>Section 78</w:t>
      </w:r>
      <w:r w:rsidR="001855CA" w:rsidRPr="006B7E73">
        <w:rPr>
          <w:rFonts w:cs="Arial"/>
        </w:rPr>
        <w:t xml:space="preserve"> </w:t>
      </w:r>
      <w:r w:rsidRPr="006B7E73">
        <w:rPr>
          <w:rFonts w:cs="Arial"/>
        </w:rPr>
        <w:t>(a)</w:t>
      </w:r>
    </w:p>
    <w:p w14:paraId="172E984D" w14:textId="1CF3A1F4" w:rsidR="005C5FA5" w:rsidRPr="006B7E73" w:rsidRDefault="005C5FA5" w:rsidP="005C5FA5">
      <w:pPr>
        <w:rPr>
          <w:rFonts w:ascii="Arial" w:hAnsi="Arial" w:cs="Arial"/>
        </w:rPr>
      </w:pPr>
      <w:r w:rsidRPr="006B7E73">
        <w:rPr>
          <w:rFonts w:ascii="Arial" w:hAnsi="Arial" w:cs="Arial"/>
        </w:rPr>
        <w:t xml:space="preserve">This is a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r w:rsidRPr="006B7E73">
        <w:rPr>
          <w:rFonts w:ascii="Arial" w:hAnsi="Arial" w:cs="Arial"/>
        </w:rPr>
        <w:t xml:space="preserve"> </w:t>
      </w:r>
    </w:p>
    <w:p w14:paraId="47DEE082" w14:textId="2C2277DE" w:rsidR="00AF6EAC" w:rsidRPr="006B7E73" w:rsidRDefault="005C5FA5" w:rsidP="005C5FA5">
      <w:pPr>
        <w:pStyle w:val="Heading3"/>
        <w:ind w:left="1440" w:hanging="1440"/>
        <w:rPr>
          <w:rFonts w:cs="Arial"/>
        </w:rPr>
      </w:pPr>
      <w:r w:rsidRPr="006B7E73">
        <w:rPr>
          <w:rFonts w:cs="Arial"/>
        </w:rPr>
        <w:t xml:space="preserve">Clause </w:t>
      </w:r>
      <w:r w:rsidR="00AF6EAC" w:rsidRPr="006B7E73">
        <w:rPr>
          <w:rFonts w:cs="Arial"/>
        </w:rPr>
        <w:t>3</w:t>
      </w:r>
      <w:r w:rsidR="00DA40D0" w:rsidRPr="006B7E73">
        <w:rPr>
          <w:rFonts w:cs="Arial"/>
        </w:rPr>
        <w:t>2</w:t>
      </w:r>
      <w:r w:rsidRPr="006B7E73">
        <w:rPr>
          <w:rFonts w:cs="Arial"/>
        </w:rPr>
        <w:t xml:space="preserve"> </w:t>
      </w:r>
      <w:r w:rsidRPr="006B7E73">
        <w:rPr>
          <w:rFonts w:cs="Arial"/>
        </w:rPr>
        <w:tab/>
      </w:r>
      <w:r w:rsidR="00AF6EAC" w:rsidRPr="006B7E73">
        <w:rPr>
          <w:rFonts w:cs="Arial"/>
        </w:rPr>
        <w:t>Deaths in institutions – retention of records of dead person Section 100</w:t>
      </w:r>
      <w:r w:rsidR="001855CA" w:rsidRPr="006B7E73">
        <w:rPr>
          <w:rFonts w:cs="Arial"/>
        </w:rPr>
        <w:t xml:space="preserve"> </w:t>
      </w:r>
      <w:r w:rsidR="00AF6EAC" w:rsidRPr="006B7E73">
        <w:rPr>
          <w:rFonts w:cs="Arial"/>
        </w:rPr>
        <w:t>(2)</w:t>
      </w:r>
    </w:p>
    <w:p w14:paraId="7CF117D4" w14:textId="590A1B80" w:rsidR="00AF6EAC" w:rsidRPr="006B7E73" w:rsidRDefault="00AF6EAC" w:rsidP="00AF6EAC">
      <w:pPr>
        <w:rPr>
          <w:rFonts w:ascii="Arial" w:hAnsi="Arial" w:cs="Arial"/>
        </w:rPr>
      </w:pPr>
      <w:r w:rsidRPr="006B7E73">
        <w:rPr>
          <w:rFonts w:ascii="Arial" w:hAnsi="Arial" w:cs="Arial"/>
        </w:rPr>
        <w:t xml:space="preserve">This is a </w:t>
      </w:r>
      <w:r w:rsidR="001855CA" w:rsidRPr="006B7E73">
        <w:rPr>
          <w:rFonts w:ascii="Arial" w:hAnsi="Arial" w:cs="Arial"/>
        </w:rPr>
        <w:t xml:space="preserve">consequential amendment </w:t>
      </w:r>
      <w:r w:rsidRPr="006B7E73">
        <w:rPr>
          <w:rFonts w:ascii="Arial" w:hAnsi="Arial" w:cs="Arial"/>
        </w:rPr>
        <w:t>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r w:rsidRPr="006B7E73">
        <w:rPr>
          <w:rFonts w:ascii="Arial" w:hAnsi="Arial" w:cs="Arial"/>
        </w:rPr>
        <w:t xml:space="preserve"> </w:t>
      </w:r>
    </w:p>
    <w:p w14:paraId="2418832F" w14:textId="042F534A" w:rsidR="00DA40D0" w:rsidRPr="006B7E73" w:rsidRDefault="00DA40D0" w:rsidP="00DA40D0">
      <w:pPr>
        <w:pStyle w:val="Heading3"/>
        <w:ind w:left="1440" w:hanging="1440"/>
        <w:rPr>
          <w:rFonts w:cs="Arial"/>
        </w:rPr>
      </w:pPr>
      <w:r w:rsidRPr="006B7E73">
        <w:rPr>
          <w:rFonts w:cs="Arial"/>
        </w:rPr>
        <w:t xml:space="preserve">Clause 33 </w:t>
      </w:r>
      <w:r w:rsidRPr="006B7E73">
        <w:rPr>
          <w:rFonts w:cs="Arial"/>
        </w:rPr>
        <w:tab/>
        <w:t>Section 100 (4)</w:t>
      </w:r>
    </w:p>
    <w:p w14:paraId="5B6D78FD" w14:textId="22A11689" w:rsidR="00DA40D0" w:rsidRPr="006B7E73" w:rsidRDefault="009C60E5" w:rsidP="00DA40D0">
      <w:pPr>
        <w:rPr>
          <w:rFonts w:ascii="Arial" w:hAnsi="Arial" w:cs="Arial"/>
        </w:rPr>
      </w:pPr>
      <w:r w:rsidRPr="006B7E73">
        <w:rPr>
          <w:rFonts w:ascii="Arial" w:hAnsi="Arial" w:cs="Arial"/>
        </w:rPr>
        <w:t>This is a consequential amendment 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p>
    <w:p w14:paraId="6782922C" w14:textId="2E4DA090" w:rsidR="005C5FA5" w:rsidRPr="006B7E73" w:rsidRDefault="00AF6EAC" w:rsidP="00AF6EAC">
      <w:pPr>
        <w:pStyle w:val="Heading3"/>
        <w:rPr>
          <w:rFonts w:cs="Arial"/>
        </w:rPr>
      </w:pPr>
      <w:r w:rsidRPr="006B7E73">
        <w:rPr>
          <w:rFonts w:cs="Arial"/>
        </w:rPr>
        <w:t>Clause 3</w:t>
      </w:r>
      <w:r w:rsidR="001855CA" w:rsidRPr="006B7E73">
        <w:rPr>
          <w:rFonts w:cs="Arial"/>
        </w:rPr>
        <w:t>4</w:t>
      </w:r>
      <w:r w:rsidRPr="006B7E73">
        <w:rPr>
          <w:rFonts w:cs="Arial"/>
        </w:rPr>
        <w:tab/>
      </w:r>
      <w:r w:rsidR="005C5FA5" w:rsidRPr="006B7E73">
        <w:rPr>
          <w:rFonts w:cs="Arial"/>
        </w:rPr>
        <w:t xml:space="preserve">New section 100A </w:t>
      </w:r>
    </w:p>
    <w:p w14:paraId="0F014A0F" w14:textId="6004B589" w:rsidR="00B35943" w:rsidRPr="006B7E73" w:rsidRDefault="00B35943" w:rsidP="00B35943">
      <w:pPr>
        <w:rPr>
          <w:rFonts w:ascii="Arial" w:hAnsi="Arial" w:cs="Arial"/>
        </w:rPr>
      </w:pPr>
      <w:r w:rsidRPr="006B7E73">
        <w:rPr>
          <w:rFonts w:ascii="Arial" w:hAnsi="Arial" w:cs="Arial"/>
        </w:rPr>
        <w:t>This clause introduce</w:t>
      </w:r>
      <w:r w:rsidR="00873B82" w:rsidRPr="006B7E73">
        <w:rPr>
          <w:rFonts w:ascii="Arial" w:hAnsi="Arial" w:cs="Arial"/>
        </w:rPr>
        <w:t>s</w:t>
      </w:r>
      <w:r w:rsidRPr="006B7E73">
        <w:rPr>
          <w:rFonts w:ascii="Arial" w:hAnsi="Arial" w:cs="Arial"/>
        </w:rPr>
        <w:t xml:space="preserve"> a </w:t>
      </w:r>
      <w:r w:rsidR="008E0814">
        <w:rPr>
          <w:rFonts w:ascii="Arial" w:hAnsi="Arial" w:cs="Arial"/>
        </w:rPr>
        <w:t>m</w:t>
      </w:r>
      <w:r w:rsidRPr="006B7E73">
        <w:rPr>
          <w:rFonts w:ascii="Arial" w:hAnsi="Arial" w:cs="Arial"/>
        </w:rPr>
        <w:t>inisterial power</w:t>
      </w:r>
      <w:r w:rsidR="002C6CCC" w:rsidRPr="006B7E73">
        <w:rPr>
          <w:rFonts w:ascii="Arial" w:hAnsi="Arial" w:cs="Arial"/>
        </w:rPr>
        <w:t xml:space="preserve"> to make guidelines in relation to responses</w:t>
      </w:r>
      <w:r w:rsidRPr="006B7E73">
        <w:rPr>
          <w:rFonts w:ascii="Arial" w:hAnsi="Arial" w:cs="Arial"/>
        </w:rPr>
        <w:t xml:space="preserve"> </w:t>
      </w:r>
      <w:r w:rsidR="002C6CCC" w:rsidRPr="006B7E73">
        <w:rPr>
          <w:rFonts w:ascii="Arial" w:hAnsi="Arial" w:cs="Arial"/>
        </w:rPr>
        <w:t>made under</w:t>
      </w:r>
      <w:r w:rsidRPr="006B7E73">
        <w:rPr>
          <w:rFonts w:ascii="Arial" w:hAnsi="Arial" w:cs="Arial"/>
        </w:rPr>
        <w:t xml:space="preserve"> section 57</w:t>
      </w:r>
      <w:r w:rsidR="002C6CCC" w:rsidRPr="006B7E73">
        <w:rPr>
          <w:rFonts w:ascii="Arial" w:hAnsi="Arial" w:cs="Arial"/>
        </w:rPr>
        <w:t xml:space="preserve"> (4) (b) and section 74 of the Act</w:t>
      </w:r>
      <w:r w:rsidRPr="006B7E73">
        <w:rPr>
          <w:rFonts w:ascii="Arial" w:hAnsi="Arial" w:cs="Arial"/>
        </w:rPr>
        <w:t xml:space="preserve">. The purpose of this provision </w:t>
      </w:r>
      <w:r w:rsidR="00873B82" w:rsidRPr="006B7E73">
        <w:rPr>
          <w:rFonts w:ascii="Arial" w:hAnsi="Arial" w:cs="Arial"/>
        </w:rPr>
        <w:t>is to</w:t>
      </w:r>
      <w:r w:rsidRPr="006B7E73">
        <w:rPr>
          <w:rFonts w:ascii="Arial" w:hAnsi="Arial" w:cs="Arial"/>
        </w:rPr>
        <w:t xml:space="preserve"> enable the Attorney</w:t>
      </w:r>
      <w:r w:rsidR="002C6CCC" w:rsidRPr="006B7E73">
        <w:rPr>
          <w:rFonts w:ascii="Arial" w:hAnsi="Arial" w:cs="Arial"/>
        </w:rPr>
        <w:noBreakHyphen/>
      </w:r>
      <w:r w:rsidRPr="006B7E73">
        <w:rPr>
          <w:rFonts w:ascii="Arial" w:hAnsi="Arial" w:cs="Arial"/>
        </w:rPr>
        <w:t xml:space="preserve">General to issue guidelines </w:t>
      </w:r>
      <w:r w:rsidR="002C6CCC" w:rsidRPr="006B7E73">
        <w:rPr>
          <w:rFonts w:ascii="Arial" w:hAnsi="Arial" w:cs="Arial"/>
        </w:rPr>
        <w:t xml:space="preserve">to assist in the preparation of government responses to coronial findings and to </w:t>
      </w:r>
      <w:r w:rsidR="008E0814">
        <w:rPr>
          <w:rFonts w:ascii="Arial" w:hAnsi="Arial" w:cs="Arial"/>
        </w:rPr>
        <w:t>prescribe</w:t>
      </w:r>
      <w:r w:rsidRPr="006B7E73">
        <w:rPr>
          <w:rFonts w:ascii="Arial" w:hAnsi="Arial" w:cs="Arial"/>
        </w:rPr>
        <w:t xml:space="preserve"> the kind of information which </w:t>
      </w:r>
      <w:r w:rsidR="008E0814">
        <w:rPr>
          <w:rFonts w:ascii="Arial" w:hAnsi="Arial" w:cs="Arial"/>
        </w:rPr>
        <w:t>must be included</w:t>
      </w:r>
      <w:r w:rsidRPr="006B7E73">
        <w:rPr>
          <w:rFonts w:ascii="Arial" w:hAnsi="Arial" w:cs="Arial"/>
        </w:rPr>
        <w:t xml:space="preserve"> in </w:t>
      </w:r>
      <w:r w:rsidR="002C6CCC" w:rsidRPr="006B7E73">
        <w:rPr>
          <w:rFonts w:ascii="Arial" w:hAnsi="Arial" w:cs="Arial"/>
        </w:rPr>
        <w:t>these</w:t>
      </w:r>
      <w:r w:rsidRPr="006B7E73">
        <w:rPr>
          <w:rFonts w:ascii="Arial" w:hAnsi="Arial" w:cs="Arial"/>
        </w:rPr>
        <w:t xml:space="preserve"> response</w:t>
      </w:r>
      <w:r w:rsidR="002C6CCC" w:rsidRPr="006B7E73">
        <w:rPr>
          <w:rFonts w:ascii="Arial" w:hAnsi="Arial" w:cs="Arial"/>
        </w:rPr>
        <w:t>s</w:t>
      </w:r>
      <w:r w:rsidRPr="006B7E73">
        <w:rPr>
          <w:rFonts w:ascii="Arial" w:hAnsi="Arial" w:cs="Arial"/>
        </w:rPr>
        <w:t xml:space="preserve">. </w:t>
      </w:r>
    </w:p>
    <w:p w14:paraId="3A389F65" w14:textId="72AA2F8C" w:rsidR="00DA40D0" w:rsidRPr="006B7E73" w:rsidRDefault="00DA40D0" w:rsidP="00DA40D0">
      <w:pPr>
        <w:pStyle w:val="Heading3"/>
        <w:spacing w:after="0"/>
        <w:ind w:left="1440" w:hanging="1440"/>
        <w:rPr>
          <w:rFonts w:cs="Arial"/>
        </w:rPr>
      </w:pPr>
      <w:r w:rsidRPr="006B7E73">
        <w:rPr>
          <w:rFonts w:cs="Arial"/>
        </w:rPr>
        <w:t xml:space="preserve">Clause 35 </w:t>
      </w:r>
      <w:r w:rsidRPr="006B7E73">
        <w:rPr>
          <w:rFonts w:cs="Arial"/>
        </w:rPr>
        <w:tab/>
        <w:t>Annual report of court</w:t>
      </w:r>
    </w:p>
    <w:p w14:paraId="05EEF2B7" w14:textId="79DFD0AE" w:rsidR="00DA40D0" w:rsidRPr="006B7E73" w:rsidRDefault="00DA40D0" w:rsidP="00DA40D0">
      <w:pPr>
        <w:pStyle w:val="Heading3"/>
        <w:spacing w:before="0"/>
        <w:ind w:left="1440" w:hanging="1440"/>
        <w:rPr>
          <w:rFonts w:cs="Arial"/>
        </w:rPr>
      </w:pPr>
      <w:r w:rsidRPr="006B7E73">
        <w:rPr>
          <w:rFonts w:cs="Arial"/>
        </w:rPr>
        <w:tab/>
        <w:t>Section 102 (2) (a)</w:t>
      </w:r>
    </w:p>
    <w:p w14:paraId="2947AC94" w14:textId="2CBDF576" w:rsidR="00DA40D0" w:rsidRPr="006B7E73" w:rsidRDefault="00DA40D0" w:rsidP="00DA40D0">
      <w:pPr>
        <w:rPr>
          <w:rFonts w:ascii="Arial" w:hAnsi="Arial" w:cs="Arial"/>
        </w:rPr>
      </w:pPr>
      <w:r w:rsidRPr="006B7E73">
        <w:rPr>
          <w:rFonts w:ascii="Arial" w:hAnsi="Arial" w:cs="Arial"/>
        </w:rPr>
        <w:t xml:space="preserve">This </w:t>
      </w:r>
      <w:r w:rsidR="000E4327" w:rsidRPr="006B7E73">
        <w:rPr>
          <w:rFonts w:ascii="Arial" w:hAnsi="Arial" w:cs="Arial"/>
        </w:rPr>
        <w:t>is a consequential amendment 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p>
    <w:p w14:paraId="034A1247" w14:textId="7A2A9675" w:rsidR="005C5FA5" w:rsidRPr="006B7E73" w:rsidRDefault="00B35943" w:rsidP="00B35943">
      <w:pPr>
        <w:pStyle w:val="Heading3"/>
        <w:ind w:left="1440" w:hanging="1440"/>
        <w:rPr>
          <w:rFonts w:cs="Arial"/>
        </w:rPr>
      </w:pPr>
      <w:r w:rsidRPr="006B7E73">
        <w:rPr>
          <w:rFonts w:cs="Arial"/>
        </w:rPr>
        <w:t>Clause 3</w:t>
      </w:r>
      <w:r w:rsidR="00DA40D0" w:rsidRPr="006B7E73">
        <w:rPr>
          <w:rFonts w:cs="Arial"/>
        </w:rPr>
        <w:t>6</w:t>
      </w:r>
      <w:r w:rsidRPr="006B7E73">
        <w:rPr>
          <w:rFonts w:cs="Arial"/>
        </w:rPr>
        <w:t xml:space="preserve"> </w:t>
      </w:r>
      <w:r w:rsidRPr="006B7E73">
        <w:rPr>
          <w:rFonts w:cs="Arial"/>
        </w:rPr>
        <w:tab/>
        <w:t xml:space="preserve">Dictionary, new definition of </w:t>
      </w:r>
      <w:r w:rsidRPr="006B7E73">
        <w:rPr>
          <w:rFonts w:cs="Arial"/>
          <w:i/>
          <w:iCs/>
        </w:rPr>
        <w:t>death in care</w:t>
      </w:r>
    </w:p>
    <w:p w14:paraId="61C0A5BC" w14:textId="0F7C977D" w:rsidR="00B35943" w:rsidRPr="006B7E73" w:rsidRDefault="00C42136" w:rsidP="00B35943">
      <w:pPr>
        <w:rPr>
          <w:rFonts w:ascii="Arial" w:hAnsi="Arial" w:cs="Arial"/>
        </w:rPr>
      </w:pPr>
      <w:r w:rsidRPr="006B7E73">
        <w:rPr>
          <w:rFonts w:ascii="Arial" w:hAnsi="Arial" w:cs="Arial"/>
        </w:rPr>
        <w:t xml:space="preserve">This is a </w:t>
      </w:r>
      <w:r w:rsidR="00BF3E02" w:rsidRPr="006B7E73">
        <w:rPr>
          <w:rFonts w:ascii="Arial" w:hAnsi="Arial" w:cs="Arial"/>
        </w:rPr>
        <w:t>consequential amendment</w:t>
      </w:r>
      <w:r w:rsidRPr="006B7E73">
        <w:rPr>
          <w:rFonts w:ascii="Arial" w:hAnsi="Arial" w:cs="Arial"/>
        </w:rPr>
        <w:t xml:space="preserve"> that ensures the same powers, obligations and investigative requirements apply to a ‘death in care’ as a ‘death in custody</w:t>
      </w:r>
      <w:r w:rsidR="007571E7">
        <w:rPr>
          <w:rFonts w:ascii="Arial" w:hAnsi="Arial" w:cs="Arial"/>
        </w:rPr>
        <w:t>.</w:t>
      </w:r>
      <w:r w:rsidR="007571E7" w:rsidRPr="006B7E73">
        <w:rPr>
          <w:rFonts w:ascii="Arial" w:hAnsi="Arial" w:cs="Arial"/>
        </w:rPr>
        <w:t>’</w:t>
      </w:r>
      <w:r w:rsidRPr="006B7E73">
        <w:rPr>
          <w:rFonts w:ascii="Arial" w:hAnsi="Arial" w:cs="Arial"/>
        </w:rPr>
        <w:t xml:space="preserve"> </w:t>
      </w:r>
    </w:p>
    <w:p w14:paraId="7A5AB7B9" w14:textId="580B1225" w:rsidR="00B35943" w:rsidRPr="006B7E73" w:rsidRDefault="00B35943" w:rsidP="00C42136">
      <w:pPr>
        <w:pStyle w:val="Heading3"/>
        <w:ind w:left="1440" w:hanging="1440"/>
        <w:rPr>
          <w:rFonts w:cs="Arial"/>
        </w:rPr>
      </w:pPr>
      <w:r w:rsidRPr="006B7E73">
        <w:rPr>
          <w:rFonts w:cs="Arial"/>
        </w:rPr>
        <w:lastRenderedPageBreak/>
        <w:t>Clause 3</w:t>
      </w:r>
      <w:r w:rsidR="008E0814">
        <w:rPr>
          <w:rFonts w:cs="Arial"/>
        </w:rPr>
        <w:t>7</w:t>
      </w:r>
      <w:r w:rsidRPr="006B7E73">
        <w:rPr>
          <w:rFonts w:cs="Arial"/>
        </w:rPr>
        <w:t xml:space="preserve"> </w:t>
      </w:r>
      <w:r w:rsidRPr="006B7E73">
        <w:rPr>
          <w:rFonts w:cs="Arial"/>
        </w:rPr>
        <w:tab/>
        <w:t xml:space="preserve">Dictionary, definition of </w:t>
      </w:r>
      <w:r w:rsidRPr="006B7E73">
        <w:rPr>
          <w:rFonts w:cs="Arial"/>
          <w:i/>
          <w:iCs/>
        </w:rPr>
        <w:t>member of the immediate family</w:t>
      </w:r>
      <w:r w:rsidR="00BF3E02" w:rsidRPr="006B7E73">
        <w:rPr>
          <w:rFonts w:cs="Arial"/>
        </w:rPr>
        <w:t xml:space="preserve">, </w:t>
      </w:r>
      <w:r w:rsidR="00DA40D0" w:rsidRPr="006B7E73">
        <w:rPr>
          <w:rFonts w:cs="Arial"/>
        </w:rPr>
        <w:t>except note</w:t>
      </w:r>
    </w:p>
    <w:p w14:paraId="3C27A749" w14:textId="70AD1276" w:rsidR="00C42136" w:rsidRPr="006B7E73" w:rsidRDefault="00C42136" w:rsidP="00C42136">
      <w:pPr>
        <w:rPr>
          <w:rFonts w:ascii="Arial" w:hAnsi="Arial" w:cs="Arial"/>
        </w:rPr>
      </w:pPr>
      <w:r w:rsidRPr="006B7E73">
        <w:rPr>
          <w:rFonts w:ascii="Arial" w:hAnsi="Arial" w:cs="Arial"/>
        </w:rPr>
        <w:t xml:space="preserve">This clause amends the definition of </w:t>
      </w:r>
      <w:r w:rsidRPr="006B7E73">
        <w:rPr>
          <w:rFonts w:ascii="Arial" w:hAnsi="Arial" w:cs="Arial"/>
          <w:i/>
          <w:iCs/>
        </w:rPr>
        <w:t xml:space="preserve">member of immediate family </w:t>
      </w:r>
      <w:r w:rsidRPr="006B7E73">
        <w:rPr>
          <w:rFonts w:ascii="Arial" w:hAnsi="Arial" w:cs="Arial"/>
        </w:rPr>
        <w:t xml:space="preserve">within the dictionary to include a </w:t>
      </w:r>
      <w:r w:rsidR="00BF3E02" w:rsidRPr="006B7E73">
        <w:rPr>
          <w:rFonts w:ascii="Arial" w:hAnsi="Arial" w:cs="Arial"/>
        </w:rPr>
        <w:t>step-parent</w:t>
      </w:r>
      <w:r w:rsidRPr="006B7E73">
        <w:rPr>
          <w:rFonts w:ascii="Arial" w:hAnsi="Arial" w:cs="Arial"/>
        </w:rPr>
        <w:t>. This inclusion removes any ambiguity about whether a step</w:t>
      </w:r>
      <w:r w:rsidR="00BF3E02" w:rsidRPr="006B7E73">
        <w:rPr>
          <w:rFonts w:ascii="Arial" w:hAnsi="Arial" w:cs="Arial"/>
        </w:rPr>
        <w:t>-</w:t>
      </w:r>
      <w:r w:rsidRPr="006B7E73">
        <w:rPr>
          <w:rFonts w:ascii="Arial" w:hAnsi="Arial" w:cs="Arial"/>
        </w:rPr>
        <w:t>parent can engage in an inquest</w:t>
      </w:r>
      <w:r w:rsidR="00FF6BFF" w:rsidRPr="006B7E73">
        <w:rPr>
          <w:rFonts w:ascii="Arial" w:hAnsi="Arial" w:cs="Arial"/>
        </w:rPr>
        <w:t xml:space="preserve"> into the death of a step-child</w:t>
      </w:r>
      <w:r w:rsidRPr="006B7E73">
        <w:rPr>
          <w:rFonts w:ascii="Arial" w:hAnsi="Arial" w:cs="Arial"/>
        </w:rPr>
        <w:t xml:space="preserve">. </w:t>
      </w:r>
    </w:p>
    <w:p w14:paraId="2CA23BD6" w14:textId="0CB51621" w:rsidR="00861BCF" w:rsidRPr="006B7E73" w:rsidRDefault="00861BCF" w:rsidP="00861BCF">
      <w:pPr>
        <w:rPr>
          <w:rFonts w:ascii="Arial" w:hAnsi="Arial" w:cs="Arial"/>
        </w:rPr>
      </w:pPr>
    </w:p>
    <w:p w14:paraId="297BD0F4" w14:textId="77777777" w:rsidR="005C5FA5" w:rsidRPr="006B7E73" w:rsidRDefault="005C5FA5" w:rsidP="00981F00">
      <w:pPr>
        <w:rPr>
          <w:rFonts w:ascii="Arial" w:hAnsi="Arial" w:cs="Arial"/>
        </w:rPr>
      </w:pPr>
    </w:p>
    <w:p w14:paraId="0BB7DF5C" w14:textId="77777777" w:rsidR="00981F00" w:rsidRPr="006B7E73" w:rsidRDefault="00981F00" w:rsidP="00D3034B">
      <w:pPr>
        <w:rPr>
          <w:rFonts w:ascii="Arial" w:hAnsi="Arial" w:cs="Arial"/>
          <w:sz w:val="24"/>
          <w:szCs w:val="24"/>
        </w:rPr>
      </w:pPr>
    </w:p>
    <w:sectPr w:rsidR="00981F00" w:rsidRPr="006B7E73"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6C2C3" w14:textId="77777777" w:rsidR="00745473" w:rsidRDefault="00745473">
      <w:pPr>
        <w:spacing w:after="0" w:line="240" w:lineRule="auto"/>
      </w:pPr>
      <w:r>
        <w:separator/>
      </w:r>
    </w:p>
  </w:endnote>
  <w:endnote w:type="continuationSeparator" w:id="0">
    <w:p w14:paraId="49CB8705" w14:textId="77777777" w:rsidR="00745473" w:rsidRDefault="00745473">
      <w:pPr>
        <w:spacing w:after="0" w:line="240" w:lineRule="auto"/>
      </w:pPr>
      <w:r>
        <w:continuationSeparator/>
      </w:r>
    </w:p>
  </w:endnote>
  <w:endnote w:type="continuationNotice" w:id="1">
    <w:p w14:paraId="6086AFBA" w14:textId="77777777" w:rsidR="00745473" w:rsidRDefault="00745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9ABD" w14:textId="77777777" w:rsidR="00043EF2" w:rsidRDefault="00043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BDD3" w14:textId="3036041B" w:rsidR="00043EF2" w:rsidRPr="00043EF2" w:rsidRDefault="00043EF2" w:rsidP="00043EF2">
    <w:pPr>
      <w:pStyle w:val="Footer"/>
      <w:jc w:val="center"/>
      <w:rPr>
        <w:rFonts w:cs="Arial"/>
        <w:sz w:val="14"/>
      </w:rPr>
    </w:pPr>
    <w:r w:rsidRPr="00043EF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2A19E1AD"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3DF373BA" w14:textId="3FAB8428" w:rsidR="00043EF2" w:rsidRPr="00043EF2" w:rsidRDefault="00043EF2" w:rsidP="00043EF2">
    <w:pPr>
      <w:pStyle w:val="Footer"/>
      <w:spacing w:before="60" w:line="240" w:lineRule="auto"/>
      <w:jc w:val="center"/>
      <w:rPr>
        <w:rFonts w:cs="Arial"/>
        <w:sz w:val="14"/>
      </w:rPr>
    </w:pPr>
    <w:r w:rsidRPr="00043EF2">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7777777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302D565C" w14:textId="23485CB9" w:rsidR="003E44AC" w:rsidRPr="00043EF2" w:rsidRDefault="00043EF2" w:rsidP="00043EF2">
    <w:pPr>
      <w:pStyle w:val="Footer"/>
      <w:jc w:val="center"/>
      <w:rPr>
        <w:rFonts w:cs="Arial"/>
        <w:noProof/>
        <w:sz w:val="14"/>
      </w:rPr>
    </w:pPr>
    <w:r w:rsidRPr="00043EF2">
      <w:rPr>
        <w:rFonts w:cs="Arial"/>
        <w:noProof/>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DFCD1" w14:textId="77777777" w:rsidR="00745473" w:rsidRDefault="00745473">
      <w:pPr>
        <w:spacing w:after="0" w:line="240" w:lineRule="auto"/>
      </w:pPr>
      <w:r>
        <w:separator/>
      </w:r>
    </w:p>
  </w:footnote>
  <w:footnote w:type="continuationSeparator" w:id="0">
    <w:p w14:paraId="2EF1E0F1" w14:textId="77777777" w:rsidR="00745473" w:rsidRDefault="00745473">
      <w:pPr>
        <w:spacing w:after="0" w:line="240" w:lineRule="auto"/>
      </w:pPr>
      <w:r>
        <w:continuationSeparator/>
      </w:r>
    </w:p>
  </w:footnote>
  <w:footnote w:type="continuationNotice" w:id="1">
    <w:p w14:paraId="4E14F1CB" w14:textId="77777777" w:rsidR="00745473" w:rsidRDefault="00745473">
      <w:pPr>
        <w:spacing w:after="0" w:line="240" w:lineRule="auto"/>
      </w:pPr>
    </w:p>
  </w:footnote>
  <w:footnote w:id="2">
    <w:p w14:paraId="5E9A74A7" w14:textId="77777777" w:rsidR="00325664" w:rsidRPr="00413CEE" w:rsidRDefault="00325664" w:rsidP="00325664">
      <w:pPr>
        <w:pStyle w:val="FootnoteText"/>
        <w:spacing w:after="120"/>
        <w:rPr>
          <w:rFonts w:ascii="Arial" w:hAnsi="Arial" w:cs="Arial"/>
        </w:rPr>
      </w:pPr>
      <w:r w:rsidRPr="00413CEE">
        <w:rPr>
          <w:rStyle w:val="FootnoteReference"/>
          <w:rFonts w:ascii="Arial" w:hAnsi="Arial" w:cs="Arial"/>
        </w:rPr>
        <w:footnoteRef/>
      </w:r>
      <w:r w:rsidRPr="00413CEE">
        <w:rPr>
          <w:rFonts w:ascii="Arial" w:hAnsi="Arial" w:cs="Arial"/>
        </w:rPr>
        <w:t xml:space="preserve">  See, for example,</w:t>
      </w:r>
      <w:r>
        <w:rPr>
          <w:rFonts w:ascii="Arial" w:hAnsi="Arial" w:cs="Arial"/>
        </w:rPr>
        <w:t xml:space="preserve"> United Nations Human Rights Committee, </w:t>
      </w:r>
      <w:r w:rsidRPr="00413CEE">
        <w:rPr>
          <w:rFonts w:ascii="Arial" w:hAnsi="Arial" w:cs="Arial"/>
          <w:i/>
          <w:iCs/>
        </w:rPr>
        <w:t>General comment No. 36 (2018) on article 6 of the International Covenant on Civil and Political Rights</w:t>
      </w:r>
      <w:r w:rsidRPr="00B123A5">
        <w:rPr>
          <w:rFonts w:ascii="Arial" w:hAnsi="Arial" w:cs="Arial"/>
        </w:rPr>
        <w:t xml:space="preserve">, </w:t>
      </w:r>
      <w:r w:rsidRPr="00413CEE">
        <w:rPr>
          <w:rFonts w:ascii="Arial" w:hAnsi="Arial" w:cs="Arial"/>
          <w:i/>
          <w:iCs/>
        </w:rPr>
        <w:t>on the right to life</w:t>
      </w:r>
      <w:r>
        <w:rPr>
          <w:rFonts w:ascii="Arial" w:hAnsi="Arial" w:cs="Arial"/>
        </w:rPr>
        <w:t>,</w:t>
      </w:r>
      <w:r w:rsidRPr="00B123A5">
        <w:t xml:space="preserve"> </w:t>
      </w:r>
      <w:r w:rsidRPr="00B123A5">
        <w:rPr>
          <w:rFonts w:ascii="Arial" w:hAnsi="Arial" w:cs="Arial"/>
        </w:rPr>
        <w:t>CCPR/C/GC/36</w:t>
      </w:r>
      <w:r>
        <w:rPr>
          <w:rFonts w:ascii="Arial" w:hAnsi="Arial" w:cs="Arial"/>
        </w:rPr>
        <w:t xml:space="preserve"> (</w:t>
      </w:r>
      <w:r w:rsidRPr="00B123A5">
        <w:rPr>
          <w:rFonts w:ascii="Arial" w:hAnsi="Arial" w:cs="Arial"/>
        </w:rPr>
        <w:t>30 October 2018</w:t>
      </w:r>
      <w:r>
        <w:rPr>
          <w:rFonts w:ascii="Arial" w:hAnsi="Arial" w:cs="Arial"/>
        </w:rPr>
        <w:t>)</w:t>
      </w:r>
      <w:r w:rsidRPr="00B123A5">
        <w:rPr>
          <w:rFonts w:ascii="Arial" w:hAnsi="Arial" w:cs="Arial"/>
        </w:rPr>
        <w:t xml:space="preserve"> </w:t>
      </w:r>
      <w:r w:rsidRPr="00413CEE">
        <w:rPr>
          <w:rFonts w:ascii="Arial" w:hAnsi="Arial" w:cs="Arial"/>
          <w:i/>
          <w:iCs/>
        </w:rPr>
        <w:t xml:space="preserve">McCann v United Kingdom </w:t>
      </w:r>
      <w:r w:rsidRPr="00413CEE">
        <w:rPr>
          <w:rFonts w:ascii="Arial" w:hAnsi="Arial" w:cs="Arial"/>
        </w:rPr>
        <w:t xml:space="preserve">(1996) 21 EHRR 97, [3], [188]; </w:t>
      </w:r>
      <w:r w:rsidRPr="00413CEE">
        <w:rPr>
          <w:rFonts w:ascii="Arial" w:hAnsi="Arial" w:cs="Arial"/>
          <w:i/>
          <w:iCs/>
        </w:rPr>
        <w:t xml:space="preserve">R (Middleton) v West Somerset Coroner </w:t>
      </w:r>
      <w:r w:rsidRPr="00413CEE">
        <w:rPr>
          <w:rFonts w:ascii="Arial" w:hAnsi="Arial" w:cs="Arial"/>
        </w:rPr>
        <w:t xml:space="preserve">[2004] 2 AC 182; </w:t>
      </w:r>
      <w:r w:rsidRPr="00413CEE">
        <w:rPr>
          <w:rFonts w:ascii="Arial" w:hAnsi="Arial" w:cs="Arial"/>
          <w:i/>
          <w:iCs/>
        </w:rPr>
        <w:t xml:space="preserve">R (Amin) v Secretary of State for the Home Department </w:t>
      </w:r>
      <w:r w:rsidRPr="00413CEE">
        <w:rPr>
          <w:rFonts w:ascii="Arial" w:hAnsi="Arial" w:cs="Arial"/>
        </w:rPr>
        <w:t xml:space="preserve">[2004] 1 AC, 653, [19] to [20]; </w:t>
      </w:r>
      <w:r w:rsidRPr="00413CEE">
        <w:rPr>
          <w:rFonts w:ascii="Arial" w:hAnsi="Arial" w:cs="Arial"/>
          <w:i/>
          <w:iCs/>
        </w:rPr>
        <w:t>Osman v United</w:t>
      </w:r>
      <w:r w:rsidRPr="00413CEE">
        <w:rPr>
          <w:rFonts w:ascii="Arial" w:hAnsi="Arial" w:cs="Arial"/>
        </w:rPr>
        <w:t xml:space="preserve"> </w:t>
      </w:r>
      <w:r w:rsidRPr="00413CEE">
        <w:rPr>
          <w:rFonts w:ascii="Arial" w:hAnsi="Arial" w:cs="Arial"/>
          <w:i/>
          <w:iCs/>
        </w:rPr>
        <w:t xml:space="preserve">Kingdom </w:t>
      </w:r>
      <w:r w:rsidRPr="00413CEE">
        <w:rPr>
          <w:rFonts w:ascii="Arial" w:hAnsi="Arial" w:cs="Arial"/>
        </w:rPr>
        <w:t>(1998) 29 EHHR 245, [115]. See, also, Concluding Observations of the Human Rights Committee, 9 November 1995, Hong Kong, para 11; Concluding Observations of the Human Rights Committee, 9 August 2005, Syrian Arab Republic, para 9; Concluding Observations of the Human Rights Committee, 1 December 2005, Brazil, para 13; the United Nations Basic Principles of the Use of Force and Firearms by Law Enforcement Officials (UN Force and Firearms Principles); and the United Nations Principles on the Effective Prevention and Investigation of Extra-Legal Executions.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6CE9" w14:textId="77777777" w:rsidR="00043EF2" w:rsidRDefault="00043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3D39" w14:textId="77777777" w:rsidR="00043EF2" w:rsidRDefault="00043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531C" w14:textId="77777777" w:rsidR="00043EF2" w:rsidRDefault="00043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8E505A"/>
    <w:multiLevelType w:val="hybridMultilevel"/>
    <w:tmpl w:val="A6E40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1463D3"/>
    <w:multiLevelType w:val="hybridMultilevel"/>
    <w:tmpl w:val="69AED1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320FB2"/>
    <w:multiLevelType w:val="hybridMultilevel"/>
    <w:tmpl w:val="95BA9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C930427"/>
    <w:multiLevelType w:val="hybridMultilevel"/>
    <w:tmpl w:val="E86C0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72528B"/>
    <w:multiLevelType w:val="hybridMultilevel"/>
    <w:tmpl w:val="159A3210"/>
    <w:lvl w:ilvl="0" w:tplc="5CCC6EC0">
      <w:start w:val="9"/>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95728D"/>
    <w:multiLevelType w:val="multilevel"/>
    <w:tmpl w:val="54549D3A"/>
    <w:lvl w:ilvl="0">
      <w:start w:val="1"/>
      <w:numFmt w:val="decimal"/>
      <w:lvlText w:val="%1)"/>
      <w:lvlJc w:val="left"/>
      <w:pPr>
        <w:tabs>
          <w:tab w:val="num" w:pos="785"/>
        </w:tabs>
        <w:ind w:left="785"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7D574E57"/>
    <w:multiLevelType w:val="hybridMultilevel"/>
    <w:tmpl w:val="52E69E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3"/>
  </w:num>
  <w:num w:numId="6">
    <w:abstractNumId w:val="9"/>
  </w:num>
  <w:num w:numId="7">
    <w:abstractNumId w:val="5"/>
  </w:num>
  <w:num w:numId="8">
    <w:abstractNumId w:val="2"/>
  </w:num>
  <w:num w:numId="9">
    <w:abstractNumId w:val="1"/>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3EF2"/>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937"/>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029"/>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6E4B"/>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4DA"/>
    <w:rsid w:val="000E0B99"/>
    <w:rsid w:val="000E0C67"/>
    <w:rsid w:val="000E15C9"/>
    <w:rsid w:val="000E1A96"/>
    <w:rsid w:val="000E1D21"/>
    <w:rsid w:val="000E29A4"/>
    <w:rsid w:val="000E2A5B"/>
    <w:rsid w:val="000E368C"/>
    <w:rsid w:val="000E380F"/>
    <w:rsid w:val="000E3C40"/>
    <w:rsid w:val="000E4327"/>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1A8E"/>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5CA"/>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729"/>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6F04"/>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6EB6"/>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27"/>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593"/>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499"/>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399D"/>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6CCC"/>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0D45"/>
    <w:rsid w:val="002E126F"/>
    <w:rsid w:val="002E12C7"/>
    <w:rsid w:val="002E1A7E"/>
    <w:rsid w:val="002E2C82"/>
    <w:rsid w:val="002E3E7D"/>
    <w:rsid w:val="002E4BF9"/>
    <w:rsid w:val="002E5391"/>
    <w:rsid w:val="002E5579"/>
    <w:rsid w:val="002E67B5"/>
    <w:rsid w:val="002E70D2"/>
    <w:rsid w:val="002F0708"/>
    <w:rsid w:val="002F0E84"/>
    <w:rsid w:val="002F1433"/>
    <w:rsid w:val="002F14AF"/>
    <w:rsid w:val="002F167D"/>
    <w:rsid w:val="002F1FD8"/>
    <w:rsid w:val="002F222A"/>
    <w:rsid w:val="002F24AA"/>
    <w:rsid w:val="002F25A6"/>
    <w:rsid w:val="002F29D1"/>
    <w:rsid w:val="002F2BC9"/>
    <w:rsid w:val="002F327A"/>
    <w:rsid w:val="002F3E0E"/>
    <w:rsid w:val="002F4750"/>
    <w:rsid w:val="002F5715"/>
    <w:rsid w:val="002F5A5C"/>
    <w:rsid w:val="002F60D1"/>
    <w:rsid w:val="002F61F0"/>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5664"/>
    <w:rsid w:val="0032636F"/>
    <w:rsid w:val="003263C6"/>
    <w:rsid w:val="00326971"/>
    <w:rsid w:val="00326CA7"/>
    <w:rsid w:val="00327702"/>
    <w:rsid w:val="00327BA9"/>
    <w:rsid w:val="00327BEA"/>
    <w:rsid w:val="00330B66"/>
    <w:rsid w:val="00330CAD"/>
    <w:rsid w:val="00330CE7"/>
    <w:rsid w:val="0033106C"/>
    <w:rsid w:val="00331CCD"/>
    <w:rsid w:val="003323FA"/>
    <w:rsid w:val="00332F41"/>
    <w:rsid w:val="00333679"/>
    <w:rsid w:val="00333966"/>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6D33"/>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6AB0"/>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626"/>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025C"/>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3C2"/>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4B9"/>
    <w:rsid w:val="003E69CE"/>
    <w:rsid w:val="003E6FB5"/>
    <w:rsid w:val="003F0E3D"/>
    <w:rsid w:val="003F0F38"/>
    <w:rsid w:val="003F23D6"/>
    <w:rsid w:val="003F2643"/>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7E4"/>
    <w:rsid w:val="004179C5"/>
    <w:rsid w:val="00417E0B"/>
    <w:rsid w:val="00420D14"/>
    <w:rsid w:val="00420E78"/>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6F26"/>
    <w:rsid w:val="00437EB3"/>
    <w:rsid w:val="004407F0"/>
    <w:rsid w:val="00440F58"/>
    <w:rsid w:val="0044116A"/>
    <w:rsid w:val="0044169C"/>
    <w:rsid w:val="0044213E"/>
    <w:rsid w:val="00442421"/>
    <w:rsid w:val="004434D0"/>
    <w:rsid w:val="00443EA3"/>
    <w:rsid w:val="00443EFE"/>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322"/>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6EB"/>
    <w:rsid w:val="00476852"/>
    <w:rsid w:val="00476EF9"/>
    <w:rsid w:val="0048014F"/>
    <w:rsid w:val="00480D6F"/>
    <w:rsid w:val="00480EFF"/>
    <w:rsid w:val="00481171"/>
    <w:rsid w:val="00481172"/>
    <w:rsid w:val="00481293"/>
    <w:rsid w:val="00481649"/>
    <w:rsid w:val="00481880"/>
    <w:rsid w:val="00481C17"/>
    <w:rsid w:val="004831AE"/>
    <w:rsid w:val="004835B5"/>
    <w:rsid w:val="00484F56"/>
    <w:rsid w:val="00485097"/>
    <w:rsid w:val="004851EE"/>
    <w:rsid w:val="00485A1F"/>
    <w:rsid w:val="00485BC5"/>
    <w:rsid w:val="00486475"/>
    <w:rsid w:val="004867FE"/>
    <w:rsid w:val="004871E8"/>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36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BF4"/>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0796"/>
    <w:rsid w:val="004F1280"/>
    <w:rsid w:val="004F1F84"/>
    <w:rsid w:val="004F262F"/>
    <w:rsid w:val="004F26DC"/>
    <w:rsid w:val="004F27A6"/>
    <w:rsid w:val="004F383E"/>
    <w:rsid w:val="004F39DD"/>
    <w:rsid w:val="004F40C4"/>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55F"/>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1839"/>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1E0"/>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5EA5"/>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5913"/>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5FA5"/>
    <w:rsid w:val="005C67DC"/>
    <w:rsid w:val="005C6966"/>
    <w:rsid w:val="005C6B99"/>
    <w:rsid w:val="005C723B"/>
    <w:rsid w:val="005C775D"/>
    <w:rsid w:val="005C7924"/>
    <w:rsid w:val="005C7B6E"/>
    <w:rsid w:val="005D0332"/>
    <w:rsid w:val="005D058B"/>
    <w:rsid w:val="005D05DB"/>
    <w:rsid w:val="005D06FB"/>
    <w:rsid w:val="005D0A41"/>
    <w:rsid w:val="005D0EDD"/>
    <w:rsid w:val="005D121D"/>
    <w:rsid w:val="005D1616"/>
    <w:rsid w:val="005D1754"/>
    <w:rsid w:val="005D1BA5"/>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60C"/>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75"/>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452A"/>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2E4E"/>
    <w:rsid w:val="0065316E"/>
    <w:rsid w:val="006538F5"/>
    <w:rsid w:val="0065404B"/>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44C"/>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1F51"/>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B7E73"/>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B68"/>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2270"/>
    <w:rsid w:val="007128EC"/>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7AD"/>
    <w:rsid w:val="007429CF"/>
    <w:rsid w:val="00742BD8"/>
    <w:rsid w:val="00742F48"/>
    <w:rsid w:val="00743742"/>
    <w:rsid w:val="00743D60"/>
    <w:rsid w:val="00743F9E"/>
    <w:rsid w:val="00744732"/>
    <w:rsid w:val="0074529F"/>
    <w:rsid w:val="0074546A"/>
    <w:rsid w:val="00745473"/>
    <w:rsid w:val="00745BA5"/>
    <w:rsid w:val="00745D47"/>
    <w:rsid w:val="00745D7C"/>
    <w:rsid w:val="007468E1"/>
    <w:rsid w:val="007476AD"/>
    <w:rsid w:val="007502DA"/>
    <w:rsid w:val="00750D67"/>
    <w:rsid w:val="00750F0E"/>
    <w:rsid w:val="00751210"/>
    <w:rsid w:val="007518C6"/>
    <w:rsid w:val="00752C3A"/>
    <w:rsid w:val="007532DA"/>
    <w:rsid w:val="00753B7B"/>
    <w:rsid w:val="007541BC"/>
    <w:rsid w:val="00754626"/>
    <w:rsid w:val="007549AC"/>
    <w:rsid w:val="00756878"/>
    <w:rsid w:val="00756B9A"/>
    <w:rsid w:val="00756BBA"/>
    <w:rsid w:val="007571CB"/>
    <w:rsid w:val="007571E7"/>
    <w:rsid w:val="007572AD"/>
    <w:rsid w:val="00760DC9"/>
    <w:rsid w:val="00761A84"/>
    <w:rsid w:val="00761C1A"/>
    <w:rsid w:val="00761E8C"/>
    <w:rsid w:val="00762389"/>
    <w:rsid w:val="00762535"/>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1B9"/>
    <w:rsid w:val="00773ABF"/>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7E5"/>
    <w:rsid w:val="00790FE4"/>
    <w:rsid w:val="00791901"/>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293"/>
    <w:rsid w:val="007A2B14"/>
    <w:rsid w:val="007A2C59"/>
    <w:rsid w:val="007A2E8D"/>
    <w:rsid w:val="007A2F11"/>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4EB8"/>
    <w:rsid w:val="008253D9"/>
    <w:rsid w:val="00825420"/>
    <w:rsid w:val="00826C37"/>
    <w:rsid w:val="008279CF"/>
    <w:rsid w:val="00827C08"/>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BC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3B82"/>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3BC"/>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5B6F"/>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814"/>
    <w:rsid w:val="008E0EB5"/>
    <w:rsid w:val="008E1307"/>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0E7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2A2C"/>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AF8"/>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9F6"/>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922"/>
    <w:rsid w:val="00980EC1"/>
    <w:rsid w:val="00981170"/>
    <w:rsid w:val="0098148D"/>
    <w:rsid w:val="00981BE7"/>
    <w:rsid w:val="00981F00"/>
    <w:rsid w:val="00982113"/>
    <w:rsid w:val="0098294F"/>
    <w:rsid w:val="00982D2C"/>
    <w:rsid w:val="0098417E"/>
    <w:rsid w:val="00984361"/>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3755"/>
    <w:rsid w:val="009A3897"/>
    <w:rsid w:val="009A5CA6"/>
    <w:rsid w:val="009A636F"/>
    <w:rsid w:val="009A67A6"/>
    <w:rsid w:val="009A67CC"/>
    <w:rsid w:val="009A77D2"/>
    <w:rsid w:val="009A7E90"/>
    <w:rsid w:val="009A7F73"/>
    <w:rsid w:val="009B0255"/>
    <w:rsid w:val="009B06E5"/>
    <w:rsid w:val="009B0BA7"/>
    <w:rsid w:val="009B0CC2"/>
    <w:rsid w:val="009B1CF6"/>
    <w:rsid w:val="009B1EF5"/>
    <w:rsid w:val="009B2A3C"/>
    <w:rsid w:val="009B2AED"/>
    <w:rsid w:val="009B2D89"/>
    <w:rsid w:val="009B34F8"/>
    <w:rsid w:val="009B3BF8"/>
    <w:rsid w:val="009B4E89"/>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0E5"/>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5E67"/>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0F1C"/>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39F"/>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02D"/>
    <w:rsid w:val="00AB040C"/>
    <w:rsid w:val="00AB0A0E"/>
    <w:rsid w:val="00AB25F3"/>
    <w:rsid w:val="00AB44CF"/>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643"/>
    <w:rsid w:val="00AE180A"/>
    <w:rsid w:val="00AE1DB7"/>
    <w:rsid w:val="00AE2050"/>
    <w:rsid w:val="00AE4728"/>
    <w:rsid w:val="00AE5542"/>
    <w:rsid w:val="00AE57B4"/>
    <w:rsid w:val="00AE6CA7"/>
    <w:rsid w:val="00AF031C"/>
    <w:rsid w:val="00AF045B"/>
    <w:rsid w:val="00AF05AA"/>
    <w:rsid w:val="00AF06C7"/>
    <w:rsid w:val="00AF1041"/>
    <w:rsid w:val="00AF137B"/>
    <w:rsid w:val="00AF149D"/>
    <w:rsid w:val="00AF1543"/>
    <w:rsid w:val="00AF1C18"/>
    <w:rsid w:val="00AF211E"/>
    <w:rsid w:val="00AF2AA9"/>
    <w:rsid w:val="00AF2D52"/>
    <w:rsid w:val="00AF34F6"/>
    <w:rsid w:val="00AF3625"/>
    <w:rsid w:val="00AF5538"/>
    <w:rsid w:val="00AF56C4"/>
    <w:rsid w:val="00AF66F9"/>
    <w:rsid w:val="00AF6745"/>
    <w:rsid w:val="00AF6C23"/>
    <w:rsid w:val="00AF6EAC"/>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93"/>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46E0"/>
    <w:rsid w:val="00B25570"/>
    <w:rsid w:val="00B25A3E"/>
    <w:rsid w:val="00B26973"/>
    <w:rsid w:val="00B26AF2"/>
    <w:rsid w:val="00B27390"/>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943"/>
    <w:rsid w:val="00B35CCE"/>
    <w:rsid w:val="00B35D33"/>
    <w:rsid w:val="00B35F67"/>
    <w:rsid w:val="00B36222"/>
    <w:rsid w:val="00B36B3A"/>
    <w:rsid w:val="00B37786"/>
    <w:rsid w:val="00B37D62"/>
    <w:rsid w:val="00B37FB4"/>
    <w:rsid w:val="00B40111"/>
    <w:rsid w:val="00B40149"/>
    <w:rsid w:val="00B407F1"/>
    <w:rsid w:val="00B409DA"/>
    <w:rsid w:val="00B4147F"/>
    <w:rsid w:val="00B41991"/>
    <w:rsid w:val="00B41B37"/>
    <w:rsid w:val="00B41FA8"/>
    <w:rsid w:val="00B424FB"/>
    <w:rsid w:val="00B455BD"/>
    <w:rsid w:val="00B45F5C"/>
    <w:rsid w:val="00B46A89"/>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442"/>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6C5"/>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5E10"/>
    <w:rsid w:val="00BD6056"/>
    <w:rsid w:val="00BD6079"/>
    <w:rsid w:val="00BD6722"/>
    <w:rsid w:val="00BD752F"/>
    <w:rsid w:val="00BD756B"/>
    <w:rsid w:val="00BD7EA6"/>
    <w:rsid w:val="00BE0294"/>
    <w:rsid w:val="00BE0B5A"/>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02"/>
    <w:rsid w:val="00BF3E82"/>
    <w:rsid w:val="00BF3F4C"/>
    <w:rsid w:val="00BF4F87"/>
    <w:rsid w:val="00BF51B6"/>
    <w:rsid w:val="00BF5F4B"/>
    <w:rsid w:val="00BF685D"/>
    <w:rsid w:val="00BF72F9"/>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136"/>
    <w:rsid w:val="00C423D6"/>
    <w:rsid w:val="00C42BF1"/>
    <w:rsid w:val="00C430ED"/>
    <w:rsid w:val="00C4350D"/>
    <w:rsid w:val="00C43686"/>
    <w:rsid w:val="00C43991"/>
    <w:rsid w:val="00C4413F"/>
    <w:rsid w:val="00C455F2"/>
    <w:rsid w:val="00C45E55"/>
    <w:rsid w:val="00C461B5"/>
    <w:rsid w:val="00C46300"/>
    <w:rsid w:val="00C4666C"/>
    <w:rsid w:val="00C47A90"/>
    <w:rsid w:val="00C47D96"/>
    <w:rsid w:val="00C5013A"/>
    <w:rsid w:val="00C507C8"/>
    <w:rsid w:val="00C5087A"/>
    <w:rsid w:val="00C51986"/>
    <w:rsid w:val="00C51BDF"/>
    <w:rsid w:val="00C51DCC"/>
    <w:rsid w:val="00C524C2"/>
    <w:rsid w:val="00C52ED5"/>
    <w:rsid w:val="00C533EA"/>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6B76"/>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5CF"/>
    <w:rsid w:val="00CB2B5B"/>
    <w:rsid w:val="00CB2BC0"/>
    <w:rsid w:val="00CB4045"/>
    <w:rsid w:val="00CB44BA"/>
    <w:rsid w:val="00CB46CF"/>
    <w:rsid w:val="00CB479D"/>
    <w:rsid w:val="00CB47E9"/>
    <w:rsid w:val="00CB4D1D"/>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2A01"/>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004"/>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1E16"/>
    <w:rsid w:val="00D12480"/>
    <w:rsid w:val="00D1274C"/>
    <w:rsid w:val="00D12C08"/>
    <w:rsid w:val="00D12D4C"/>
    <w:rsid w:val="00D13185"/>
    <w:rsid w:val="00D158F8"/>
    <w:rsid w:val="00D15B74"/>
    <w:rsid w:val="00D161C0"/>
    <w:rsid w:val="00D173D2"/>
    <w:rsid w:val="00D17767"/>
    <w:rsid w:val="00D17ABD"/>
    <w:rsid w:val="00D17B78"/>
    <w:rsid w:val="00D202C1"/>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BB2"/>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3FAA"/>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2C6A"/>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0D0"/>
    <w:rsid w:val="00DA4556"/>
    <w:rsid w:val="00DA4678"/>
    <w:rsid w:val="00DA4CA7"/>
    <w:rsid w:val="00DA5593"/>
    <w:rsid w:val="00DA56CD"/>
    <w:rsid w:val="00DA5C03"/>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674B"/>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82C"/>
    <w:rsid w:val="00E51C8C"/>
    <w:rsid w:val="00E52448"/>
    <w:rsid w:val="00E54B25"/>
    <w:rsid w:val="00E54E03"/>
    <w:rsid w:val="00E54F4F"/>
    <w:rsid w:val="00E54F90"/>
    <w:rsid w:val="00E5526F"/>
    <w:rsid w:val="00E555A5"/>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82F"/>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4A9"/>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33EA"/>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4F9B"/>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650"/>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0FA4"/>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19E2"/>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405"/>
    <w:rsid w:val="00FF17FD"/>
    <w:rsid w:val="00FF251E"/>
    <w:rsid w:val="00FF28E1"/>
    <w:rsid w:val="00FF2991"/>
    <w:rsid w:val="00FF2BE2"/>
    <w:rsid w:val="00FF3545"/>
    <w:rsid w:val="00FF3F99"/>
    <w:rsid w:val="00FF43DF"/>
    <w:rsid w:val="00FF54DB"/>
    <w:rsid w:val="00FF6833"/>
    <w:rsid w:val="00FF6BFF"/>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rsid w:val="008609A8"/>
    <w:rPr>
      <w:b/>
      <w:bCs/>
    </w:rPr>
  </w:style>
  <w:style w:type="character" w:customStyle="1" w:styleId="CommentSubjectChar">
    <w:name w:val="Comment Subject Char"/>
    <w:basedOn w:val="CommentTextChar"/>
    <w:link w:val="CommentSubject"/>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DF873-B55E-48ED-99DB-FF961075E9FF}">
  <ds:schemaRefs>
    <ds:schemaRef ds:uri="http://schemas.openxmlformats.org/officeDocument/2006/bibliography"/>
  </ds:schemaRefs>
</ds:datastoreItem>
</file>

<file path=customXml/itemProps2.xml><?xml version="1.0" encoding="utf-8"?>
<ds:datastoreItem xmlns:ds="http://schemas.openxmlformats.org/officeDocument/2006/customXml" ds:itemID="{B69BBD94-DF7C-4953-8E36-A504CDF9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2978</Words>
  <Characters>15099</Characters>
  <Application>Microsoft Office Word</Application>
  <DocSecurity>0</DocSecurity>
  <Lines>333</Lines>
  <Paragraphs>147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2020-02-05T04:14:00Z</cp:lastPrinted>
  <dcterms:created xsi:type="dcterms:W3CDTF">2020-02-12T03:20:00Z</dcterms:created>
  <dcterms:modified xsi:type="dcterms:W3CDTF">2020-02-12T03:20:00Z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1149000</vt:lpwstr>
  </property>
  <property fmtid="{D5CDD505-2E9C-101B-9397-08002B2CF9AE}" pid="3" name="CHECKEDOUTFROMJMS">
    <vt:lpwstr/>
  </property>
  <property fmtid="{D5CDD505-2E9C-101B-9397-08002B2CF9AE}" pid="4" name="JMSREQUIREDCHECKIN">
    <vt:lpwstr/>
  </property>
</Properties>
</file>