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9DD45" w14:textId="77777777" w:rsidR="0070791E" w:rsidRPr="008C3B92" w:rsidRDefault="0070791E" w:rsidP="0070791E">
      <w:pPr>
        <w:spacing w:after="0"/>
        <w:rPr>
          <w:rFonts w:ascii="Arial" w:hAnsi="Arial" w:cs="Arial"/>
          <w:b/>
          <w:bCs/>
          <w:sz w:val="24"/>
          <w:szCs w:val="24"/>
        </w:rPr>
      </w:pPr>
      <w:bookmarkStart w:id="0" w:name="_GoBack"/>
      <w:bookmarkEnd w:id="0"/>
    </w:p>
    <w:p w14:paraId="2C6A6AC5" w14:textId="77777777" w:rsidR="0070791E" w:rsidRPr="008C3B92" w:rsidRDefault="0070791E" w:rsidP="0070791E">
      <w:pPr>
        <w:spacing w:after="0"/>
        <w:rPr>
          <w:rFonts w:ascii="Arial" w:hAnsi="Arial" w:cs="Arial"/>
          <w:b/>
          <w:bCs/>
          <w:sz w:val="24"/>
          <w:szCs w:val="24"/>
        </w:rPr>
      </w:pPr>
    </w:p>
    <w:p w14:paraId="098EE515" w14:textId="77777777" w:rsidR="0070791E" w:rsidRPr="00B446D8" w:rsidRDefault="0070791E" w:rsidP="0070791E">
      <w:pPr>
        <w:spacing w:after="0"/>
        <w:jc w:val="center"/>
        <w:rPr>
          <w:rFonts w:ascii="Arial" w:hAnsi="Arial" w:cs="Arial"/>
          <w:b/>
          <w:bCs/>
          <w:sz w:val="24"/>
          <w:szCs w:val="24"/>
        </w:rPr>
      </w:pPr>
      <w:r w:rsidRPr="00B446D8">
        <w:rPr>
          <w:rFonts w:ascii="Arial" w:hAnsi="Arial" w:cs="Arial"/>
          <w:b/>
          <w:bCs/>
          <w:sz w:val="24"/>
          <w:szCs w:val="24"/>
        </w:rPr>
        <w:t>2020</w:t>
      </w:r>
    </w:p>
    <w:p w14:paraId="49F6FE1E" w14:textId="77777777" w:rsidR="0070791E" w:rsidRPr="00B446D8" w:rsidRDefault="0070791E" w:rsidP="0070791E">
      <w:pPr>
        <w:spacing w:after="0"/>
        <w:jc w:val="center"/>
        <w:rPr>
          <w:rFonts w:ascii="Arial" w:hAnsi="Arial" w:cs="Arial"/>
          <w:b/>
          <w:sz w:val="24"/>
          <w:szCs w:val="24"/>
        </w:rPr>
      </w:pPr>
    </w:p>
    <w:p w14:paraId="237F942D" w14:textId="77777777" w:rsidR="0070791E" w:rsidRPr="00B446D8" w:rsidRDefault="0070791E" w:rsidP="0070791E">
      <w:pPr>
        <w:spacing w:after="0"/>
        <w:jc w:val="center"/>
        <w:rPr>
          <w:rFonts w:ascii="Arial" w:hAnsi="Arial" w:cs="Arial"/>
          <w:b/>
          <w:sz w:val="24"/>
          <w:szCs w:val="24"/>
        </w:rPr>
      </w:pPr>
    </w:p>
    <w:p w14:paraId="70643C90" w14:textId="77777777" w:rsidR="0070791E" w:rsidRPr="00B446D8" w:rsidRDefault="0070791E" w:rsidP="0070791E">
      <w:pPr>
        <w:spacing w:after="0"/>
        <w:jc w:val="center"/>
        <w:rPr>
          <w:rFonts w:ascii="Arial" w:hAnsi="Arial" w:cs="Arial"/>
          <w:b/>
          <w:sz w:val="24"/>
          <w:szCs w:val="24"/>
        </w:rPr>
      </w:pPr>
    </w:p>
    <w:p w14:paraId="507465AF" w14:textId="77777777" w:rsidR="0070791E" w:rsidRPr="00B446D8" w:rsidRDefault="0070791E" w:rsidP="0070791E">
      <w:pPr>
        <w:spacing w:after="0"/>
        <w:jc w:val="center"/>
        <w:rPr>
          <w:rFonts w:ascii="Arial" w:hAnsi="Arial" w:cs="Arial"/>
          <w:b/>
          <w:sz w:val="24"/>
          <w:szCs w:val="24"/>
        </w:rPr>
      </w:pPr>
    </w:p>
    <w:p w14:paraId="1C6DD0B4" w14:textId="77777777" w:rsidR="0070791E" w:rsidRPr="00B446D8" w:rsidRDefault="0070791E" w:rsidP="0070791E">
      <w:pPr>
        <w:spacing w:after="0"/>
        <w:jc w:val="center"/>
        <w:rPr>
          <w:rFonts w:ascii="Arial" w:hAnsi="Arial" w:cs="Arial"/>
          <w:b/>
          <w:bCs/>
          <w:sz w:val="24"/>
          <w:szCs w:val="24"/>
        </w:rPr>
      </w:pPr>
    </w:p>
    <w:p w14:paraId="3BEC52F9" w14:textId="77777777" w:rsidR="0070791E" w:rsidRPr="00B446D8" w:rsidRDefault="0070791E" w:rsidP="0070791E">
      <w:pPr>
        <w:spacing w:after="0"/>
        <w:jc w:val="center"/>
        <w:rPr>
          <w:rFonts w:ascii="Arial" w:hAnsi="Arial" w:cs="Arial"/>
          <w:b/>
          <w:bCs/>
          <w:sz w:val="24"/>
          <w:szCs w:val="24"/>
        </w:rPr>
      </w:pPr>
    </w:p>
    <w:p w14:paraId="7437DC2B" w14:textId="77777777" w:rsidR="0070791E" w:rsidRPr="00B446D8" w:rsidRDefault="0070791E" w:rsidP="0070791E">
      <w:pPr>
        <w:spacing w:after="0"/>
        <w:jc w:val="center"/>
        <w:rPr>
          <w:rFonts w:ascii="Arial" w:hAnsi="Arial" w:cs="Arial"/>
          <w:b/>
          <w:bCs/>
          <w:sz w:val="24"/>
          <w:szCs w:val="24"/>
        </w:rPr>
      </w:pPr>
      <w:r w:rsidRPr="00B446D8">
        <w:rPr>
          <w:rFonts w:ascii="Arial" w:hAnsi="Arial" w:cs="Arial"/>
          <w:b/>
          <w:bCs/>
          <w:sz w:val="24"/>
          <w:szCs w:val="24"/>
        </w:rPr>
        <w:t>THE LEGISLATIVE ASSEMBLY FOR THE</w:t>
      </w:r>
    </w:p>
    <w:p w14:paraId="1E0642ED" w14:textId="77777777" w:rsidR="0070791E" w:rsidRPr="00B446D8" w:rsidRDefault="0070791E" w:rsidP="0070791E">
      <w:pPr>
        <w:spacing w:after="0"/>
        <w:jc w:val="center"/>
        <w:rPr>
          <w:rFonts w:ascii="Arial" w:hAnsi="Arial" w:cs="Arial"/>
          <w:b/>
          <w:sz w:val="24"/>
          <w:szCs w:val="24"/>
        </w:rPr>
      </w:pPr>
      <w:r w:rsidRPr="00B446D8">
        <w:rPr>
          <w:rFonts w:ascii="Arial" w:hAnsi="Arial" w:cs="Arial"/>
          <w:b/>
          <w:bCs/>
          <w:sz w:val="24"/>
          <w:szCs w:val="24"/>
        </w:rPr>
        <w:t>AUSTRALIAN CAPITAL TERRITORY</w:t>
      </w:r>
    </w:p>
    <w:p w14:paraId="714247C0" w14:textId="77777777" w:rsidR="0070791E" w:rsidRPr="00B446D8" w:rsidRDefault="0070791E" w:rsidP="0070791E">
      <w:pPr>
        <w:spacing w:after="0"/>
        <w:jc w:val="center"/>
        <w:rPr>
          <w:rFonts w:ascii="Arial" w:hAnsi="Arial" w:cs="Arial"/>
          <w:b/>
          <w:sz w:val="24"/>
          <w:szCs w:val="24"/>
        </w:rPr>
      </w:pPr>
    </w:p>
    <w:p w14:paraId="16C77FCC" w14:textId="77777777" w:rsidR="0070791E" w:rsidRPr="00B446D8" w:rsidRDefault="0070791E" w:rsidP="0070791E">
      <w:pPr>
        <w:spacing w:after="0"/>
        <w:jc w:val="center"/>
        <w:rPr>
          <w:rFonts w:ascii="Arial" w:hAnsi="Arial" w:cs="Arial"/>
          <w:b/>
          <w:sz w:val="24"/>
          <w:szCs w:val="24"/>
        </w:rPr>
      </w:pPr>
    </w:p>
    <w:p w14:paraId="7E7E7013" w14:textId="77777777" w:rsidR="0070791E" w:rsidRPr="00B446D8" w:rsidRDefault="0070791E" w:rsidP="0070791E">
      <w:pPr>
        <w:spacing w:after="0"/>
        <w:jc w:val="center"/>
        <w:rPr>
          <w:rFonts w:ascii="Arial" w:hAnsi="Arial" w:cs="Arial"/>
          <w:b/>
          <w:sz w:val="24"/>
          <w:szCs w:val="24"/>
        </w:rPr>
      </w:pPr>
    </w:p>
    <w:p w14:paraId="539E873B" w14:textId="77777777" w:rsidR="0070791E" w:rsidRPr="00B446D8" w:rsidRDefault="0070791E" w:rsidP="0070791E">
      <w:pPr>
        <w:spacing w:after="0"/>
        <w:jc w:val="center"/>
        <w:rPr>
          <w:rFonts w:ascii="Arial" w:hAnsi="Arial" w:cs="Arial"/>
          <w:b/>
          <w:sz w:val="24"/>
          <w:szCs w:val="24"/>
        </w:rPr>
      </w:pPr>
    </w:p>
    <w:p w14:paraId="03B6C5DE" w14:textId="77777777" w:rsidR="0070791E" w:rsidRPr="00B446D8" w:rsidRDefault="0070791E" w:rsidP="0070791E">
      <w:pPr>
        <w:spacing w:after="0"/>
        <w:jc w:val="center"/>
        <w:rPr>
          <w:rFonts w:ascii="Arial" w:hAnsi="Arial" w:cs="Arial"/>
          <w:b/>
          <w:sz w:val="24"/>
          <w:szCs w:val="24"/>
        </w:rPr>
      </w:pPr>
    </w:p>
    <w:p w14:paraId="15D18A8D" w14:textId="77777777" w:rsidR="0070791E" w:rsidRPr="00B446D8" w:rsidRDefault="0070791E" w:rsidP="0070791E">
      <w:pPr>
        <w:spacing w:after="0"/>
        <w:jc w:val="center"/>
        <w:rPr>
          <w:rFonts w:ascii="Arial" w:hAnsi="Arial" w:cs="Arial"/>
          <w:b/>
          <w:sz w:val="24"/>
          <w:szCs w:val="24"/>
        </w:rPr>
      </w:pPr>
    </w:p>
    <w:p w14:paraId="22BCFFD7" w14:textId="77777777" w:rsidR="0070791E" w:rsidRPr="00B446D8" w:rsidRDefault="0070791E" w:rsidP="0070791E">
      <w:pPr>
        <w:spacing w:after="0"/>
        <w:jc w:val="center"/>
        <w:rPr>
          <w:rFonts w:ascii="Arial" w:hAnsi="Arial" w:cs="Arial"/>
          <w:b/>
          <w:sz w:val="24"/>
          <w:szCs w:val="24"/>
        </w:rPr>
      </w:pPr>
    </w:p>
    <w:p w14:paraId="47AFB2EC" w14:textId="77777777" w:rsidR="0070791E" w:rsidRPr="00B446D8" w:rsidRDefault="0070791E" w:rsidP="0070791E">
      <w:pPr>
        <w:spacing w:after="0"/>
        <w:jc w:val="center"/>
        <w:rPr>
          <w:rFonts w:ascii="Arial" w:hAnsi="Arial" w:cs="Arial"/>
          <w:b/>
          <w:sz w:val="24"/>
          <w:szCs w:val="24"/>
        </w:rPr>
      </w:pPr>
    </w:p>
    <w:p w14:paraId="3A6FDD14" w14:textId="77777777" w:rsidR="0070791E" w:rsidRPr="00B446D8" w:rsidRDefault="0070791E" w:rsidP="0070791E">
      <w:pPr>
        <w:spacing w:after="0"/>
        <w:jc w:val="center"/>
        <w:rPr>
          <w:rFonts w:ascii="Arial" w:hAnsi="Arial" w:cs="Arial"/>
          <w:b/>
          <w:sz w:val="24"/>
          <w:szCs w:val="24"/>
        </w:rPr>
      </w:pPr>
    </w:p>
    <w:p w14:paraId="70811DD5" w14:textId="77777777" w:rsidR="0070791E" w:rsidRPr="00B446D8" w:rsidRDefault="0070791E" w:rsidP="0070791E">
      <w:pPr>
        <w:spacing w:after="0"/>
        <w:jc w:val="center"/>
        <w:rPr>
          <w:rFonts w:ascii="Arial" w:hAnsi="Arial" w:cs="Arial"/>
          <w:b/>
          <w:sz w:val="24"/>
          <w:szCs w:val="24"/>
        </w:rPr>
      </w:pPr>
    </w:p>
    <w:p w14:paraId="24625EDB" w14:textId="77777777" w:rsidR="0070791E" w:rsidRPr="00B446D8" w:rsidRDefault="0070791E" w:rsidP="0070791E">
      <w:pPr>
        <w:spacing w:after="0"/>
        <w:jc w:val="center"/>
        <w:rPr>
          <w:rFonts w:ascii="Arial" w:hAnsi="Arial" w:cs="Arial"/>
          <w:b/>
          <w:bCs/>
          <w:sz w:val="24"/>
          <w:szCs w:val="24"/>
        </w:rPr>
      </w:pPr>
      <w:r w:rsidRPr="00B446D8">
        <w:rPr>
          <w:rFonts w:ascii="Arial" w:hAnsi="Arial" w:cs="Arial"/>
          <w:b/>
          <w:bCs/>
          <w:sz w:val="24"/>
          <w:szCs w:val="24"/>
        </w:rPr>
        <w:t xml:space="preserve"> RESIDENTIAL TENANCIES AMENDMENT BILL 2020</w:t>
      </w:r>
    </w:p>
    <w:p w14:paraId="6CDDAF61" w14:textId="77777777" w:rsidR="0070791E" w:rsidRPr="00B446D8" w:rsidRDefault="0070791E" w:rsidP="0070791E">
      <w:pPr>
        <w:spacing w:after="0"/>
        <w:jc w:val="center"/>
        <w:rPr>
          <w:rFonts w:ascii="Arial" w:hAnsi="Arial" w:cs="Arial"/>
          <w:b/>
          <w:bCs/>
          <w:sz w:val="24"/>
          <w:szCs w:val="24"/>
        </w:rPr>
      </w:pPr>
    </w:p>
    <w:p w14:paraId="0F9E0272" w14:textId="77777777" w:rsidR="0070791E" w:rsidRPr="00B446D8" w:rsidRDefault="0070791E" w:rsidP="0070791E">
      <w:pPr>
        <w:spacing w:after="0"/>
        <w:jc w:val="center"/>
        <w:rPr>
          <w:rFonts w:ascii="Arial" w:hAnsi="Arial" w:cs="Arial"/>
          <w:b/>
          <w:sz w:val="24"/>
          <w:szCs w:val="24"/>
        </w:rPr>
      </w:pPr>
    </w:p>
    <w:p w14:paraId="3BD07999" w14:textId="77777777" w:rsidR="0070791E" w:rsidRPr="00B446D8" w:rsidRDefault="0070791E" w:rsidP="0070791E">
      <w:pPr>
        <w:spacing w:after="0"/>
        <w:jc w:val="center"/>
        <w:rPr>
          <w:rFonts w:ascii="Arial" w:hAnsi="Arial" w:cs="Arial"/>
          <w:b/>
          <w:bCs/>
          <w:sz w:val="24"/>
          <w:szCs w:val="24"/>
        </w:rPr>
      </w:pPr>
    </w:p>
    <w:p w14:paraId="47D5C689" w14:textId="4C8EBB70" w:rsidR="0070791E" w:rsidRDefault="0070791E" w:rsidP="0070791E">
      <w:pPr>
        <w:spacing w:after="0"/>
        <w:jc w:val="center"/>
        <w:rPr>
          <w:rFonts w:ascii="Arial" w:hAnsi="Arial" w:cs="Arial"/>
          <w:b/>
          <w:bCs/>
          <w:sz w:val="24"/>
          <w:szCs w:val="24"/>
        </w:rPr>
      </w:pPr>
      <w:r>
        <w:rPr>
          <w:rFonts w:ascii="Arial" w:hAnsi="Arial" w:cs="Arial"/>
          <w:b/>
          <w:bCs/>
          <w:sz w:val="24"/>
          <w:szCs w:val="24"/>
        </w:rPr>
        <w:t xml:space="preserve">SUPPLEMENTARY </w:t>
      </w:r>
      <w:r w:rsidRPr="00B446D8">
        <w:rPr>
          <w:rFonts w:ascii="Arial" w:hAnsi="Arial" w:cs="Arial"/>
          <w:b/>
          <w:bCs/>
          <w:sz w:val="24"/>
          <w:szCs w:val="24"/>
        </w:rPr>
        <w:t>EXPLANATORY STATEMENT</w:t>
      </w:r>
    </w:p>
    <w:p w14:paraId="50C90A16" w14:textId="77777777" w:rsidR="0020257C" w:rsidRPr="0020257C" w:rsidRDefault="0020257C" w:rsidP="0020257C">
      <w:pPr>
        <w:spacing w:after="0"/>
        <w:jc w:val="center"/>
        <w:rPr>
          <w:rFonts w:ascii="Arial" w:hAnsi="Arial" w:cs="Arial"/>
          <w:b/>
          <w:sz w:val="24"/>
          <w:szCs w:val="24"/>
        </w:rPr>
      </w:pPr>
    </w:p>
    <w:p w14:paraId="0C85863F" w14:textId="53E1F1BF" w:rsidR="0020257C" w:rsidRPr="00B446D8" w:rsidRDefault="003D41CC" w:rsidP="0020257C">
      <w:pPr>
        <w:spacing w:after="0"/>
        <w:jc w:val="center"/>
        <w:rPr>
          <w:rFonts w:ascii="Arial" w:hAnsi="Arial" w:cs="Arial"/>
          <w:b/>
          <w:sz w:val="24"/>
          <w:szCs w:val="24"/>
        </w:rPr>
      </w:pPr>
      <w:r>
        <w:rPr>
          <w:rFonts w:ascii="Arial" w:hAnsi="Arial" w:cs="Arial"/>
          <w:b/>
          <w:sz w:val="24"/>
          <w:szCs w:val="24"/>
        </w:rPr>
        <w:t xml:space="preserve">SET B - </w:t>
      </w:r>
      <w:r w:rsidR="0020257C">
        <w:rPr>
          <w:rFonts w:ascii="Arial" w:hAnsi="Arial" w:cs="Arial"/>
          <w:b/>
          <w:sz w:val="24"/>
          <w:szCs w:val="24"/>
        </w:rPr>
        <w:t>Relating to sheet</w:t>
      </w:r>
      <w:r w:rsidR="0020257C" w:rsidRPr="0020257C">
        <w:rPr>
          <w:rFonts w:ascii="Arial" w:hAnsi="Arial" w:cs="Arial"/>
          <w:b/>
          <w:sz w:val="24"/>
          <w:szCs w:val="24"/>
        </w:rPr>
        <w:t xml:space="preserve"> J2020-1063 D07</w:t>
      </w:r>
    </w:p>
    <w:p w14:paraId="6F2E5B72" w14:textId="77777777" w:rsidR="0070791E" w:rsidRPr="00B446D8" w:rsidRDefault="0070791E" w:rsidP="0070791E">
      <w:pPr>
        <w:spacing w:after="0"/>
        <w:jc w:val="center"/>
        <w:rPr>
          <w:rFonts w:ascii="Arial" w:hAnsi="Arial" w:cs="Arial"/>
          <w:b/>
          <w:sz w:val="24"/>
          <w:szCs w:val="24"/>
        </w:rPr>
      </w:pPr>
    </w:p>
    <w:p w14:paraId="607710E9" w14:textId="77777777" w:rsidR="0070791E" w:rsidRPr="00B446D8" w:rsidRDefault="0070791E" w:rsidP="0070791E">
      <w:pPr>
        <w:spacing w:after="0"/>
        <w:jc w:val="center"/>
        <w:rPr>
          <w:rFonts w:ascii="Arial" w:hAnsi="Arial" w:cs="Arial"/>
          <w:b/>
          <w:sz w:val="24"/>
          <w:szCs w:val="24"/>
        </w:rPr>
      </w:pPr>
    </w:p>
    <w:p w14:paraId="52D09515" w14:textId="77777777" w:rsidR="0070791E" w:rsidRPr="00B446D8" w:rsidRDefault="0070791E" w:rsidP="0070791E">
      <w:pPr>
        <w:spacing w:after="0"/>
        <w:jc w:val="center"/>
        <w:rPr>
          <w:rFonts w:ascii="Arial" w:hAnsi="Arial" w:cs="Arial"/>
          <w:b/>
          <w:sz w:val="24"/>
          <w:szCs w:val="24"/>
        </w:rPr>
      </w:pPr>
    </w:p>
    <w:p w14:paraId="26F429B0" w14:textId="77777777" w:rsidR="0070791E" w:rsidRPr="00B446D8" w:rsidRDefault="0070791E" w:rsidP="0070791E">
      <w:pPr>
        <w:spacing w:after="0"/>
        <w:jc w:val="center"/>
        <w:rPr>
          <w:rFonts w:ascii="Arial" w:hAnsi="Arial" w:cs="Arial"/>
          <w:b/>
          <w:sz w:val="24"/>
          <w:szCs w:val="24"/>
        </w:rPr>
      </w:pPr>
    </w:p>
    <w:p w14:paraId="7FEFFD5B" w14:textId="07A4EB2A" w:rsidR="0070791E" w:rsidRPr="00B446D8" w:rsidRDefault="0070791E" w:rsidP="0070791E">
      <w:pPr>
        <w:keepNext/>
        <w:widowControl w:val="0"/>
        <w:spacing w:after="0"/>
        <w:jc w:val="center"/>
        <w:outlineLvl w:val="7"/>
        <w:rPr>
          <w:rFonts w:ascii="Arial" w:hAnsi="Arial" w:cs="Arial"/>
          <w:b/>
          <w:bCs/>
          <w:sz w:val="24"/>
          <w:szCs w:val="24"/>
        </w:rPr>
      </w:pPr>
    </w:p>
    <w:p w14:paraId="34D783A5" w14:textId="77777777" w:rsidR="0070791E" w:rsidRPr="00B446D8" w:rsidRDefault="0070791E" w:rsidP="0070791E">
      <w:pPr>
        <w:keepNext/>
        <w:widowControl w:val="0"/>
        <w:spacing w:after="0"/>
        <w:jc w:val="center"/>
        <w:outlineLvl w:val="7"/>
        <w:rPr>
          <w:rFonts w:ascii="Arial" w:hAnsi="Arial" w:cs="Arial"/>
          <w:b/>
          <w:bCs/>
          <w:sz w:val="24"/>
          <w:szCs w:val="24"/>
        </w:rPr>
      </w:pPr>
    </w:p>
    <w:p w14:paraId="4AE226E2" w14:textId="77777777" w:rsidR="0070791E" w:rsidRPr="00B446D8" w:rsidRDefault="0070791E" w:rsidP="0070791E">
      <w:pPr>
        <w:keepNext/>
        <w:widowControl w:val="0"/>
        <w:spacing w:after="0"/>
        <w:jc w:val="center"/>
        <w:outlineLvl w:val="7"/>
        <w:rPr>
          <w:rFonts w:ascii="Arial" w:hAnsi="Arial" w:cs="Arial"/>
          <w:b/>
          <w:bCs/>
          <w:sz w:val="24"/>
          <w:szCs w:val="24"/>
        </w:rPr>
      </w:pPr>
    </w:p>
    <w:p w14:paraId="60FA930D" w14:textId="77777777" w:rsidR="0070791E" w:rsidRPr="00B446D8" w:rsidRDefault="0070791E" w:rsidP="0070791E">
      <w:pPr>
        <w:keepNext/>
        <w:widowControl w:val="0"/>
        <w:spacing w:after="0"/>
        <w:jc w:val="center"/>
        <w:outlineLvl w:val="7"/>
        <w:rPr>
          <w:rFonts w:ascii="Arial" w:hAnsi="Arial" w:cs="Arial"/>
          <w:b/>
          <w:bCs/>
          <w:sz w:val="24"/>
          <w:szCs w:val="24"/>
        </w:rPr>
      </w:pPr>
    </w:p>
    <w:p w14:paraId="07E84998" w14:textId="77777777" w:rsidR="0070791E" w:rsidRPr="00B446D8" w:rsidRDefault="0070791E" w:rsidP="0070791E">
      <w:pPr>
        <w:keepNext/>
        <w:widowControl w:val="0"/>
        <w:spacing w:after="0"/>
        <w:jc w:val="center"/>
        <w:outlineLvl w:val="7"/>
        <w:rPr>
          <w:rFonts w:ascii="Arial" w:hAnsi="Arial" w:cs="Arial"/>
          <w:b/>
          <w:bCs/>
          <w:sz w:val="24"/>
          <w:szCs w:val="24"/>
        </w:rPr>
      </w:pPr>
    </w:p>
    <w:p w14:paraId="755C06F6" w14:textId="77777777" w:rsidR="0070791E" w:rsidRPr="00B446D8" w:rsidRDefault="0070791E" w:rsidP="0070791E">
      <w:pPr>
        <w:keepNext/>
        <w:widowControl w:val="0"/>
        <w:spacing w:after="0"/>
        <w:jc w:val="center"/>
        <w:outlineLvl w:val="7"/>
        <w:rPr>
          <w:rFonts w:ascii="Arial" w:hAnsi="Arial" w:cs="Arial"/>
          <w:b/>
          <w:bCs/>
          <w:sz w:val="24"/>
          <w:szCs w:val="24"/>
        </w:rPr>
      </w:pPr>
    </w:p>
    <w:p w14:paraId="6683F4CA" w14:textId="77777777" w:rsidR="0070791E" w:rsidRPr="00B446D8" w:rsidRDefault="0070791E" w:rsidP="0070791E">
      <w:pPr>
        <w:keepNext/>
        <w:widowControl w:val="0"/>
        <w:spacing w:after="0"/>
        <w:ind w:right="686"/>
        <w:jc w:val="right"/>
        <w:outlineLvl w:val="7"/>
        <w:rPr>
          <w:rFonts w:ascii="Arial" w:hAnsi="Arial" w:cs="Arial"/>
          <w:b/>
          <w:bCs/>
          <w:sz w:val="24"/>
          <w:szCs w:val="24"/>
        </w:rPr>
      </w:pPr>
      <w:r w:rsidRPr="00B446D8">
        <w:rPr>
          <w:rFonts w:ascii="Arial" w:hAnsi="Arial" w:cs="Arial"/>
          <w:b/>
          <w:bCs/>
          <w:sz w:val="24"/>
          <w:szCs w:val="24"/>
        </w:rPr>
        <w:t>Presented by</w:t>
      </w:r>
    </w:p>
    <w:p w14:paraId="6F52D919" w14:textId="77777777" w:rsidR="0070791E" w:rsidRPr="00B446D8" w:rsidRDefault="0070791E" w:rsidP="0070791E">
      <w:pPr>
        <w:spacing w:after="0"/>
        <w:ind w:right="686"/>
        <w:jc w:val="right"/>
        <w:rPr>
          <w:rFonts w:ascii="Arial" w:hAnsi="Arial" w:cs="Arial"/>
          <w:b/>
          <w:bCs/>
          <w:sz w:val="24"/>
          <w:szCs w:val="24"/>
        </w:rPr>
      </w:pPr>
      <w:r w:rsidRPr="00B446D8">
        <w:rPr>
          <w:rFonts w:ascii="Arial" w:hAnsi="Arial" w:cs="Arial"/>
          <w:b/>
          <w:bCs/>
          <w:sz w:val="24"/>
          <w:szCs w:val="24"/>
        </w:rPr>
        <w:t>Gordon Ramsay MLA</w:t>
      </w:r>
    </w:p>
    <w:p w14:paraId="585F8D9D" w14:textId="77777777" w:rsidR="0070791E" w:rsidRPr="00B446D8" w:rsidRDefault="0070791E" w:rsidP="0070791E">
      <w:pPr>
        <w:spacing w:after="0"/>
        <w:ind w:right="686"/>
        <w:jc w:val="right"/>
        <w:rPr>
          <w:rFonts w:ascii="Arial" w:hAnsi="Arial" w:cs="Arial"/>
          <w:b/>
          <w:bCs/>
          <w:sz w:val="24"/>
          <w:szCs w:val="24"/>
        </w:rPr>
      </w:pPr>
      <w:r w:rsidRPr="00B446D8">
        <w:rPr>
          <w:rFonts w:ascii="Arial" w:hAnsi="Arial" w:cs="Arial"/>
          <w:b/>
          <w:bCs/>
          <w:sz w:val="24"/>
          <w:szCs w:val="24"/>
        </w:rPr>
        <w:t>Attorney-General</w:t>
      </w:r>
    </w:p>
    <w:p w14:paraId="64C8B1D9" w14:textId="77777777" w:rsidR="0070791E" w:rsidRPr="00B446D8" w:rsidRDefault="0070791E" w:rsidP="0070791E">
      <w:pPr>
        <w:spacing w:after="0" w:line="240" w:lineRule="auto"/>
        <w:rPr>
          <w:rFonts w:ascii="Arial" w:hAnsi="Arial" w:cs="Arial"/>
          <w:b/>
          <w:bCs/>
          <w:sz w:val="24"/>
          <w:szCs w:val="24"/>
          <w:u w:val="single"/>
        </w:rPr>
        <w:sectPr w:rsidR="0070791E" w:rsidRPr="00B446D8" w:rsidSect="00057B64">
          <w:headerReference w:type="even" r:id="rId7"/>
          <w:headerReference w:type="default" r:id="rId8"/>
          <w:footerReference w:type="even" r:id="rId9"/>
          <w:footerReference w:type="default" r:id="rId10"/>
          <w:headerReference w:type="first" r:id="rId11"/>
          <w:footerReference w:type="first" r:id="rId12"/>
          <w:pgSz w:w="11906" w:h="16838"/>
          <w:pgMar w:top="1276" w:right="1440" w:bottom="1440" w:left="1440" w:header="709" w:footer="675" w:gutter="0"/>
          <w:pgNumType w:start="1"/>
          <w:cols w:space="708"/>
          <w:docGrid w:linePitch="360"/>
        </w:sectPr>
      </w:pPr>
      <w:r w:rsidRPr="00B446D8">
        <w:rPr>
          <w:rFonts w:ascii="Arial" w:hAnsi="Arial" w:cs="Arial"/>
          <w:b/>
          <w:bCs/>
          <w:sz w:val="24"/>
          <w:szCs w:val="24"/>
          <w:u w:val="single"/>
        </w:rPr>
        <w:br w:type="page"/>
      </w:r>
    </w:p>
    <w:p w14:paraId="025BCEAB" w14:textId="77777777" w:rsidR="0070791E" w:rsidRPr="00B446D8" w:rsidRDefault="0070791E" w:rsidP="0070791E">
      <w:pPr>
        <w:pStyle w:val="Heading1"/>
        <w:jc w:val="center"/>
      </w:pPr>
      <w:r w:rsidRPr="00B446D8">
        <w:lastRenderedPageBreak/>
        <w:t>RESIDENTIAL TENANCIES AMENDMENT BILL 2020</w:t>
      </w:r>
    </w:p>
    <w:p w14:paraId="17141AC4" w14:textId="77777777" w:rsidR="0070791E" w:rsidRPr="00B446D8" w:rsidRDefault="0070791E" w:rsidP="0070791E">
      <w:pPr>
        <w:spacing w:after="0"/>
        <w:contextualSpacing/>
        <w:rPr>
          <w:rFonts w:ascii="Arial" w:hAnsi="Arial" w:cs="Arial"/>
          <w:b/>
          <w:sz w:val="24"/>
          <w:szCs w:val="24"/>
        </w:rPr>
      </w:pPr>
    </w:p>
    <w:p w14:paraId="79537DDC" w14:textId="77777777" w:rsidR="0070791E" w:rsidRPr="00B446D8" w:rsidRDefault="0070791E" w:rsidP="0070791E">
      <w:pPr>
        <w:spacing w:after="0"/>
        <w:contextualSpacing/>
        <w:rPr>
          <w:rFonts w:ascii="Arial" w:hAnsi="Arial" w:cs="Arial"/>
          <w:b/>
          <w:sz w:val="24"/>
          <w:szCs w:val="24"/>
        </w:rPr>
      </w:pPr>
      <w:r w:rsidRPr="00B446D8">
        <w:rPr>
          <w:rFonts w:ascii="Arial" w:hAnsi="Arial" w:cs="Arial"/>
          <w:b/>
          <w:sz w:val="24"/>
          <w:szCs w:val="24"/>
        </w:rPr>
        <w:t>This Bill is a significant bill.</w:t>
      </w:r>
    </w:p>
    <w:p w14:paraId="13105BA8" w14:textId="77777777" w:rsidR="0070791E" w:rsidRPr="00B446D8" w:rsidRDefault="0070791E" w:rsidP="0070791E">
      <w:pPr>
        <w:spacing w:after="0"/>
        <w:rPr>
          <w:rFonts w:ascii="Arial" w:hAnsi="Arial" w:cs="Arial"/>
          <w:sz w:val="24"/>
          <w:szCs w:val="24"/>
        </w:rPr>
      </w:pPr>
    </w:p>
    <w:p w14:paraId="759903E2" w14:textId="146AC112" w:rsidR="0070791E" w:rsidRPr="00B446D8" w:rsidRDefault="0070791E" w:rsidP="0070791E">
      <w:pPr>
        <w:autoSpaceDE w:val="0"/>
        <w:autoSpaceDN w:val="0"/>
        <w:adjustRightInd w:val="0"/>
        <w:spacing w:after="240" w:line="240" w:lineRule="auto"/>
        <w:rPr>
          <w:rFonts w:ascii="Arial" w:hAnsi="Arial" w:cs="Arial"/>
          <w:sz w:val="24"/>
          <w:szCs w:val="24"/>
          <w:lang w:eastAsia="en-AU"/>
        </w:rPr>
      </w:pPr>
      <w:r w:rsidRPr="00B446D8">
        <w:rPr>
          <w:rFonts w:ascii="Arial" w:hAnsi="Arial" w:cs="Arial"/>
          <w:sz w:val="24"/>
          <w:szCs w:val="24"/>
          <w:lang w:eastAsia="en-AU"/>
        </w:rPr>
        <w:t xml:space="preserve">This </w:t>
      </w:r>
      <w:r w:rsidR="00881731">
        <w:rPr>
          <w:rFonts w:ascii="Arial" w:hAnsi="Arial" w:cs="Arial"/>
          <w:sz w:val="24"/>
          <w:szCs w:val="24"/>
          <w:lang w:eastAsia="en-AU"/>
        </w:rPr>
        <w:t xml:space="preserve">additional </w:t>
      </w:r>
      <w:r>
        <w:rPr>
          <w:rFonts w:ascii="Arial" w:hAnsi="Arial" w:cs="Arial"/>
          <w:sz w:val="24"/>
          <w:szCs w:val="24"/>
          <w:lang w:eastAsia="en-AU"/>
        </w:rPr>
        <w:t xml:space="preserve">supplementary </w:t>
      </w:r>
      <w:r w:rsidRPr="00B446D8">
        <w:rPr>
          <w:rFonts w:ascii="Arial" w:hAnsi="Arial" w:cs="Arial"/>
          <w:sz w:val="24"/>
          <w:szCs w:val="24"/>
          <w:lang w:eastAsia="en-AU"/>
        </w:rPr>
        <w:t xml:space="preserve">explanatory statement relates to the </w:t>
      </w:r>
      <w:r>
        <w:rPr>
          <w:rFonts w:ascii="Arial" w:hAnsi="Arial" w:cs="Arial"/>
          <w:sz w:val="24"/>
          <w:szCs w:val="24"/>
          <w:lang w:eastAsia="en-AU"/>
        </w:rPr>
        <w:t xml:space="preserve">Government amendment to the </w:t>
      </w:r>
      <w:r w:rsidRPr="00B446D8">
        <w:rPr>
          <w:rFonts w:ascii="Arial" w:hAnsi="Arial" w:cs="Arial"/>
          <w:sz w:val="24"/>
          <w:szCs w:val="24"/>
          <w:lang w:eastAsia="en-AU"/>
        </w:rPr>
        <w:t xml:space="preserve">Residential Tenancies Amendment Bill 2020 </w:t>
      </w:r>
      <w:r w:rsidR="00156816">
        <w:rPr>
          <w:rFonts w:ascii="Arial" w:hAnsi="Arial" w:cs="Arial"/>
          <w:sz w:val="24"/>
          <w:szCs w:val="24"/>
          <w:lang w:eastAsia="en-AU"/>
        </w:rPr>
        <w:t xml:space="preserve">(the Bill) </w:t>
      </w:r>
      <w:r w:rsidRPr="00B446D8">
        <w:rPr>
          <w:rFonts w:ascii="Arial" w:hAnsi="Arial" w:cs="Arial"/>
          <w:sz w:val="24"/>
          <w:szCs w:val="24"/>
          <w:lang w:eastAsia="en-AU"/>
        </w:rPr>
        <w:t>as presented to the Legislative Assembly. It has been prepared in order to assist the reader of the Bill and to help inform debate on it. It does not form part of the Bill and has not been endorsed by the Assembly.</w:t>
      </w:r>
    </w:p>
    <w:p w14:paraId="0A36FCBA" w14:textId="77777777" w:rsidR="0070791E" w:rsidRPr="00B446D8" w:rsidRDefault="0070791E" w:rsidP="0070791E">
      <w:pPr>
        <w:autoSpaceDE w:val="0"/>
        <w:autoSpaceDN w:val="0"/>
        <w:adjustRightInd w:val="0"/>
        <w:spacing w:after="240" w:line="240" w:lineRule="auto"/>
        <w:rPr>
          <w:rFonts w:ascii="Arial" w:hAnsi="Arial" w:cs="Arial"/>
          <w:sz w:val="24"/>
          <w:szCs w:val="24"/>
          <w:lang w:eastAsia="en-AU"/>
        </w:rPr>
      </w:pPr>
      <w:r w:rsidRPr="00B446D8">
        <w:rPr>
          <w:rFonts w:ascii="Arial" w:hAnsi="Arial" w:cs="Arial"/>
          <w:sz w:val="24"/>
          <w:szCs w:val="24"/>
          <w:lang w:eastAsia="en-AU"/>
        </w:rPr>
        <w:t>The statement is to be read in conjunction with the Bill</w:t>
      </w:r>
      <w:r>
        <w:rPr>
          <w:rFonts w:ascii="Arial" w:hAnsi="Arial" w:cs="Arial"/>
          <w:sz w:val="24"/>
          <w:szCs w:val="24"/>
          <w:lang w:eastAsia="en-AU"/>
        </w:rPr>
        <w:t xml:space="preserve"> and Government amendments</w:t>
      </w:r>
      <w:r w:rsidRPr="00B446D8">
        <w:rPr>
          <w:rFonts w:ascii="Arial" w:hAnsi="Arial" w:cs="Arial"/>
          <w:sz w:val="24"/>
          <w:szCs w:val="24"/>
          <w:lang w:eastAsia="en-AU"/>
        </w:rPr>
        <w:t>. It is not, and is not meant to be, a comprehensive description of the Bill</w:t>
      </w:r>
      <w:r>
        <w:rPr>
          <w:rFonts w:ascii="Arial" w:hAnsi="Arial" w:cs="Arial"/>
          <w:sz w:val="24"/>
          <w:szCs w:val="24"/>
          <w:lang w:eastAsia="en-AU"/>
        </w:rPr>
        <w:t xml:space="preserve"> or Government amendments</w:t>
      </w:r>
      <w:r w:rsidRPr="00B446D8">
        <w:rPr>
          <w:rFonts w:ascii="Arial" w:hAnsi="Arial" w:cs="Arial"/>
          <w:sz w:val="24"/>
          <w:szCs w:val="24"/>
          <w:lang w:eastAsia="en-AU"/>
        </w:rPr>
        <w:t xml:space="preserve">. </w:t>
      </w:r>
    </w:p>
    <w:p w14:paraId="7A8A165A" w14:textId="77777777" w:rsidR="0070791E" w:rsidRPr="00B446D8" w:rsidRDefault="0070791E" w:rsidP="0070791E">
      <w:pPr>
        <w:pStyle w:val="Heading2"/>
      </w:pPr>
      <w:r w:rsidRPr="00B446D8">
        <w:t xml:space="preserve">OVERVIEW OF THE </w:t>
      </w:r>
      <w:r>
        <w:t>GOVERMENT AMENDMENTS</w:t>
      </w:r>
    </w:p>
    <w:p w14:paraId="1E887009" w14:textId="5ADEB777" w:rsidR="0070791E" w:rsidRPr="00256BDC" w:rsidRDefault="0070791E" w:rsidP="0070791E">
      <w:pPr>
        <w:pStyle w:val="NoSpacing"/>
        <w:spacing w:after="240"/>
        <w:rPr>
          <w:rFonts w:ascii="Arial" w:hAnsi="Arial" w:cs="Arial"/>
          <w:sz w:val="24"/>
          <w:szCs w:val="24"/>
        </w:rPr>
      </w:pPr>
      <w:r w:rsidRPr="00B446D8">
        <w:rPr>
          <w:rFonts w:ascii="Arial" w:hAnsi="Arial" w:cs="Arial"/>
          <w:sz w:val="24"/>
          <w:szCs w:val="24"/>
        </w:rPr>
        <w:t>Th</w:t>
      </w:r>
      <w:r w:rsidR="00256BDC">
        <w:rPr>
          <w:rFonts w:ascii="Arial" w:hAnsi="Arial" w:cs="Arial"/>
          <w:sz w:val="24"/>
          <w:szCs w:val="24"/>
        </w:rPr>
        <w:t>is</w:t>
      </w:r>
      <w:r w:rsidRPr="00B446D8">
        <w:rPr>
          <w:rFonts w:ascii="Arial" w:hAnsi="Arial" w:cs="Arial"/>
          <w:sz w:val="24"/>
          <w:szCs w:val="24"/>
        </w:rPr>
        <w:t xml:space="preserve"> </w:t>
      </w:r>
      <w:r>
        <w:rPr>
          <w:rFonts w:ascii="Arial" w:hAnsi="Arial" w:cs="Arial"/>
          <w:sz w:val="24"/>
          <w:szCs w:val="24"/>
        </w:rPr>
        <w:t xml:space="preserve">Government amendment </w:t>
      </w:r>
      <w:r w:rsidRPr="00B446D8">
        <w:rPr>
          <w:rFonts w:ascii="Arial" w:hAnsi="Arial" w:cs="Arial"/>
          <w:sz w:val="24"/>
          <w:szCs w:val="24"/>
        </w:rPr>
        <w:t xml:space="preserve">will amend the </w:t>
      </w:r>
      <w:r w:rsidRPr="00B446D8">
        <w:rPr>
          <w:rFonts w:ascii="Arial" w:hAnsi="Arial" w:cs="Arial"/>
          <w:i/>
          <w:sz w:val="24"/>
          <w:szCs w:val="24"/>
        </w:rPr>
        <w:t>Residential Tenancies Act 1997</w:t>
      </w:r>
      <w:bookmarkStart w:id="1" w:name="_Hlk12955579"/>
      <w:r w:rsidR="00237B42">
        <w:rPr>
          <w:rFonts w:ascii="Arial" w:hAnsi="Arial" w:cs="Arial"/>
          <w:i/>
          <w:sz w:val="24"/>
          <w:szCs w:val="24"/>
        </w:rPr>
        <w:t xml:space="preserve"> </w:t>
      </w:r>
      <w:r w:rsidR="00237B42">
        <w:rPr>
          <w:rFonts w:ascii="Arial" w:hAnsi="Arial" w:cs="Arial"/>
          <w:iCs/>
          <w:sz w:val="24"/>
          <w:szCs w:val="24"/>
        </w:rPr>
        <w:t>(RTA)</w:t>
      </w:r>
      <w:r>
        <w:rPr>
          <w:rFonts w:ascii="Arial" w:hAnsi="Arial" w:cs="Arial"/>
          <w:i/>
          <w:sz w:val="24"/>
          <w:szCs w:val="24"/>
        </w:rPr>
        <w:t>.</w:t>
      </w:r>
      <w:r w:rsidRPr="00B446D8">
        <w:rPr>
          <w:rFonts w:ascii="Arial" w:hAnsi="Arial" w:cs="Arial"/>
          <w:i/>
          <w:sz w:val="24"/>
          <w:szCs w:val="24"/>
        </w:rPr>
        <w:t xml:space="preserve"> </w:t>
      </w:r>
      <w:bookmarkEnd w:id="1"/>
      <w:r>
        <w:rPr>
          <w:rFonts w:ascii="Arial" w:hAnsi="Arial" w:cs="Arial"/>
          <w:sz w:val="24"/>
          <w:szCs w:val="24"/>
        </w:rPr>
        <w:t xml:space="preserve">The amendment </w:t>
      </w:r>
      <w:r w:rsidR="00256BDC">
        <w:rPr>
          <w:rFonts w:ascii="Arial" w:hAnsi="Arial" w:cs="Arial"/>
          <w:sz w:val="24"/>
          <w:szCs w:val="24"/>
        </w:rPr>
        <w:t xml:space="preserve">is a minor and technical amendment to clarify the intended operation of payment orders after they were amended by the </w:t>
      </w:r>
      <w:r w:rsidR="00256BDC" w:rsidRPr="00256BDC">
        <w:rPr>
          <w:rFonts w:ascii="Arial" w:hAnsi="Arial" w:cs="Arial"/>
          <w:i/>
          <w:iCs/>
          <w:sz w:val="24"/>
          <w:szCs w:val="24"/>
        </w:rPr>
        <w:t>Residential Tenancies Amendment Act 2020</w:t>
      </w:r>
      <w:r w:rsidR="00D96CC6">
        <w:rPr>
          <w:rFonts w:ascii="Arial" w:hAnsi="Arial" w:cs="Arial"/>
          <w:i/>
          <w:iCs/>
          <w:sz w:val="24"/>
          <w:szCs w:val="24"/>
        </w:rPr>
        <w:t xml:space="preserve"> </w:t>
      </w:r>
      <w:r w:rsidR="00D96CC6" w:rsidRPr="00D96CC6">
        <w:rPr>
          <w:rFonts w:ascii="Arial" w:hAnsi="Arial" w:cs="Arial"/>
          <w:sz w:val="24"/>
          <w:szCs w:val="24"/>
        </w:rPr>
        <w:t>(the Amendment Act)</w:t>
      </w:r>
      <w:r w:rsidR="00256BDC">
        <w:rPr>
          <w:rFonts w:ascii="Arial" w:hAnsi="Arial" w:cs="Arial"/>
          <w:sz w:val="24"/>
          <w:szCs w:val="24"/>
        </w:rPr>
        <w:t xml:space="preserve">.  </w:t>
      </w:r>
    </w:p>
    <w:p w14:paraId="37D5D60C" w14:textId="77777777" w:rsidR="0070791E" w:rsidRPr="00B446D8" w:rsidRDefault="0070791E" w:rsidP="0070791E">
      <w:pPr>
        <w:rPr>
          <w:rFonts w:ascii="Arial" w:hAnsi="Arial" w:cs="Arial"/>
          <w:b/>
          <w:sz w:val="24"/>
          <w:szCs w:val="24"/>
        </w:rPr>
      </w:pPr>
      <w:r w:rsidRPr="00B446D8">
        <w:rPr>
          <w:rFonts w:ascii="Arial" w:hAnsi="Arial" w:cs="Arial"/>
          <w:b/>
          <w:sz w:val="24"/>
          <w:szCs w:val="24"/>
        </w:rPr>
        <w:t>CONSULTATION ON THE PROPOSED APPROACH</w:t>
      </w:r>
    </w:p>
    <w:p w14:paraId="218161F4" w14:textId="3CA028DD" w:rsidR="0070791E" w:rsidRDefault="0070791E" w:rsidP="0070791E">
      <w:pPr>
        <w:spacing w:line="240" w:lineRule="auto"/>
        <w:rPr>
          <w:rFonts w:ascii="Arial" w:hAnsi="Arial" w:cs="Arial"/>
          <w:sz w:val="24"/>
          <w:szCs w:val="24"/>
        </w:rPr>
      </w:pPr>
      <w:r w:rsidRPr="00F14C71">
        <w:rPr>
          <w:rFonts w:ascii="Arial" w:hAnsi="Arial" w:cs="Arial"/>
          <w:sz w:val="24"/>
          <w:szCs w:val="24"/>
          <w:shd w:val="clear" w:color="auto" w:fill="FFFFFF" w:themeFill="background1"/>
        </w:rPr>
        <w:t xml:space="preserve">In preparing the proposed approach to these Government amendments, </w:t>
      </w:r>
      <w:r w:rsidR="00F14C71" w:rsidRPr="00F14C71">
        <w:rPr>
          <w:rFonts w:ascii="Arial" w:hAnsi="Arial" w:cs="Arial"/>
          <w:sz w:val="24"/>
          <w:szCs w:val="24"/>
          <w:shd w:val="clear" w:color="auto" w:fill="FFFFFF" w:themeFill="background1"/>
        </w:rPr>
        <w:t xml:space="preserve">the ACT Civil and Administrative Tribunal </w:t>
      </w:r>
      <w:r w:rsidR="00143C79">
        <w:rPr>
          <w:rFonts w:ascii="Arial" w:hAnsi="Arial" w:cs="Arial"/>
          <w:sz w:val="24"/>
          <w:szCs w:val="24"/>
          <w:shd w:val="clear" w:color="auto" w:fill="FFFFFF" w:themeFill="background1"/>
        </w:rPr>
        <w:t xml:space="preserve">(ACAT) </w:t>
      </w:r>
      <w:r w:rsidR="00F14C71" w:rsidRPr="00F14C71">
        <w:rPr>
          <w:rFonts w:ascii="Arial" w:hAnsi="Arial" w:cs="Arial"/>
          <w:sz w:val="24"/>
          <w:szCs w:val="24"/>
          <w:shd w:val="clear" w:color="auto" w:fill="FFFFFF" w:themeFill="background1"/>
        </w:rPr>
        <w:t>were consulted</w:t>
      </w:r>
      <w:r w:rsidRPr="00F14C71">
        <w:rPr>
          <w:rFonts w:ascii="Arial" w:hAnsi="Arial" w:cs="Arial"/>
          <w:sz w:val="24"/>
          <w:szCs w:val="24"/>
          <w:shd w:val="clear" w:color="auto" w:fill="FFFFFF" w:themeFill="background1"/>
        </w:rPr>
        <w:t>.</w:t>
      </w:r>
      <w:r>
        <w:rPr>
          <w:rFonts w:ascii="Arial" w:hAnsi="Arial" w:cs="Arial"/>
          <w:sz w:val="24"/>
          <w:szCs w:val="24"/>
        </w:rPr>
        <w:t xml:space="preserve"> This consultation was in addition to the consultation process that occurred in relation to development of the </w:t>
      </w:r>
      <w:r w:rsidR="00F14C71" w:rsidRPr="00256BDC">
        <w:rPr>
          <w:rFonts w:ascii="Arial" w:hAnsi="Arial" w:cs="Arial"/>
          <w:i/>
          <w:iCs/>
          <w:sz w:val="24"/>
          <w:szCs w:val="24"/>
        </w:rPr>
        <w:t>Residential Tenancies Amendment Act 2020</w:t>
      </w:r>
      <w:r w:rsidR="00F14C71">
        <w:rPr>
          <w:rFonts w:ascii="Arial" w:hAnsi="Arial" w:cs="Arial"/>
          <w:sz w:val="24"/>
          <w:szCs w:val="24"/>
        </w:rPr>
        <w:t xml:space="preserve"> which introduced the provision which is now being further amended by this </w:t>
      </w:r>
      <w:r w:rsidR="00256BDC">
        <w:rPr>
          <w:rFonts w:ascii="Arial" w:hAnsi="Arial" w:cs="Arial"/>
          <w:sz w:val="24"/>
          <w:szCs w:val="24"/>
        </w:rPr>
        <w:t>Government</w:t>
      </w:r>
      <w:r w:rsidR="00F14C71">
        <w:rPr>
          <w:rFonts w:ascii="Arial" w:hAnsi="Arial" w:cs="Arial"/>
          <w:sz w:val="24"/>
          <w:szCs w:val="24"/>
        </w:rPr>
        <w:t xml:space="preserve"> </w:t>
      </w:r>
      <w:r w:rsidR="00256BDC">
        <w:rPr>
          <w:rFonts w:ascii="Arial" w:hAnsi="Arial" w:cs="Arial"/>
          <w:sz w:val="24"/>
          <w:szCs w:val="24"/>
        </w:rPr>
        <w:t>amendment to</w:t>
      </w:r>
      <w:r w:rsidR="00F14C71">
        <w:rPr>
          <w:rFonts w:ascii="Arial" w:hAnsi="Arial" w:cs="Arial"/>
          <w:sz w:val="24"/>
          <w:szCs w:val="24"/>
        </w:rPr>
        <w:t xml:space="preserve"> the </w:t>
      </w:r>
      <w:r w:rsidR="00256BDC" w:rsidRPr="006E2766">
        <w:rPr>
          <w:rFonts w:ascii="Arial" w:hAnsi="Arial" w:cs="Arial"/>
          <w:i/>
          <w:iCs/>
          <w:sz w:val="24"/>
          <w:szCs w:val="24"/>
        </w:rPr>
        <w:t>Residential</w:t>
      </w:r>
      <w:r w:rsidR="00F14C71" w:rsidRPr="006E2766">
        <w:rPr>
          <w:rFonts w:ascii="Arial" w:hAnsi="Arial" w:cs="Arial"/>
          <w:i/>
          <w:iCs/>
          <w:sz w:val="24"/>
          <w:szCs w:val="24"/>
        </w:rPr>
        <w:t xml:space="preserve"> Tenancies </w:t>
      </w:r>
      <w:r w:rsidR="00256BDC" w:rsidRPr="006E2766">
        <w:rPr>
          <w:rFonts w:ascii="Arial" w:hAnsi="Arial" w:cs="Arial"/>
          <w:i/>
          <w:iCs/>
          <w:sz w:val="24"/>
          <w:szCs w:val="24"/>
        </w:rPr>
        <w:t xml:space="preserve">Amendment </w:t>
      </w:r>
      <w:r w:rsidR="00F14C71" w:rsidRPr="006E2766">
        <w:rPr>
          <w:rFonts w:ascii="Arial" w:hAnsi="Arial" w:cs="Arial"/>
          <w:i/>
          <w:iCs/>
          <w:sz w:val="24"/>
          <w:szCs w:val="24"/>
        </w:rPr>
        <w:t>Bill 2020</w:t>
      </w:r>
      <w:r>
        <w:rPr>
          <w:rFonts w:ascii="Arial" w:hAnsi="Arial" w:cs="Arial"/>
          <w:sz w:val="24"/>
          <w:szCs w:val="24"/>
        </w:rPr>
        <w:t xml:space="preserve">. </w:t>
      </w:r>
    </w:p>
    <w:p w14:paraId="7B978E13" w14:textId="7CAC5C71" w:rsidR="0070791E" w:rsidRDefault="0070791E" w:rsidP="0070791E">
      <w:pPr>
        <w:pStyle w:val="Heading2"/>
      </w:pPr>
      <w:r w:rsidRPr="00B446D8">
        <w:t>CONSISTENCY WITH HUMAN RIGHTS</w:t>
      </w:r>
    </w:p>
    <w:p w14:paraId="2EB072C7" w14:textId="703ECDB9" w:rsidR="00C87D23" w:rsidRPr="00B446D8" w:rsidRDefault="00C87D23" w:rsidP="00C87D23">
      <w:pPr>
        <w:pStyle w:val="NoSpacing"/>
        <w:spacing w:after="240"/>
        <w:rPr>
          <w:rFonts w:ascii="Arial" w:hAnsi="Arial" w:cs="Arial"/>
          <w:b/>
          <w:bCs/>
          <w:i/>
          <w:sz w:val="24"/>
          <w:szCs w:val="24"/>
        </w:rPr>
      </w:pPr>
      <w:r w:rsidRPr="00B446D8">
        <w:rPr>
          <w:rFonts w:ascii="Arial" w:hAnsi="Arial" w:cs="Arial"/>
          <w:b/>
          <w:bCs/>
          <w:i/>
          <w:sz w:val="24"/>
          <w:szCs w:val="24"/>
        </w:rPr>
        <w:t xml:space="preserve">Compatibility of the </w:t>
      </w:r>
      <w:r>
        <w:rPr>
          <w:rFonts w:ascii="Arial" w:hAnsi="Arial" w:cs="Arial"/>
          <w:b/>
          <w:bCs/>
          <w:i/>
          <w:sz w:val="24"/>
          <w:szCs w:val="24"/>
        </w:rPr>
        <w:t>amendment</w:t>
      </w:r>
      <w:r w:rsidRPr="00B446D8">
        <w:rPr>
          <w:rFonts w:ascii="Arial" w:hAnsi="Arial" w:cs="Arial"/>
          <w:b/>
          <w:bCs/>
          <w:i/>
          <w:sz w:val="24"/>
          <w:szCs w:val="24"/>
        </w:rPr>
        <w:t xml:space="preserve"> with the right to privacy, family and home</w:t>
      </w:r>
    </w:p>
    <w:p w14:paraId="60FF4502" w14:textId="77D4816B" w:rsidR="008B677E" w:rsidRPr="00B446D8" w:rsidRDefault="008B677E" w:rsidP="00EF42B6">
      <w:pPr>
        <w:spacing w:line="240" w:lineRule="auto"/>
        <w:rPr>
          <w:rFonts w:ascii="Arial" w:hAnsi="Arial" w:cs="Arial"/>
          <w:sz w:val="24"/>
          <w:szCs w:val="24"/>
        </w:rPr>
      </w:pPr>
      <w:r w:rsidRPr="00B446D8">
        <w:rPr>
          <w:rFonts w:ascii="Arial" w:hAnsi="Arial" w:cs="Arial"/>
          <w:sz w:val="24"/>
          <w:szCs w:val="24"/>
        </w:rPr>
        <w:t xml:space="preserve">Section 12 of the </w:t>
      </w:r>
      <w:r w:rsidR="00D2368E" w:rsidRPr="003F346B">
        <w:rPr>
          <w:rFonts w:ascii="Arial" w:hAnsi="Arial" w:cs="Arial"/>
          <w:i/>
          <w:iCs/>
          <w:sz w:val="24"/>
          <w:szCs w:val="24"/>
        </w:rPr>
        <w:t>Human Rights Act 2004</w:t>
      </w:r>
      <w:r w:rsidR="00D2368E">
        <w:rPr>
          <w:rFonts w:ascii="Arial" w:hAnsi="Arial" w:cs="Arial"/>
          <w:sz w:val="24"/>
          <w:szCs w:val="24"/>
        </w:rPr>
        <w:t xml:space="preserve"> (</w:t>
      </w:r>
      <w:r w:rsidRPr="00B446D8">
        <w:rPr>
          <w:rFonts w:ascii="Arial" w:hAnsi="Arial" w:cs="Arial"/>
          <w:sz w:val="24"/>
          <w:szCs w:val="24"/>
        </w:rPr>
        <w:t>HRA</w:t>
      </w:r>
      <w:r w:rsidR="00D2368E">
        <w:rPr>
          <w:rFonts w:ascii="Arial" w:hAnsi="Arial" w:cs="Arial"/>
          <w:sz w:val="24"/>
          <w:szCs w:val="24"/>
        </w:rPr>
        <w:t>)</w:t>
      </w:r>
      <w:r w:rsidRPr="00B446D8">
        <w:rPr>
          <w:rFonts w:ascii="Arial" w:hAnsi="Arial" w:cs="Arial"/>
          <w:sz w:val="24"/>
          <w:szCs w:val="24"/>
        </w:rPr>
        <w:t xml:space="preserve"> protects the right to privacy, family, home or correspondence</w:t>
      </w:r>
      <w:r w:rsidR="00237B42">
        <w:rPr>
          <w:rFonts w:ascii="Arial" w:hAnsi="Arial" w:cs="Arial"/>
          <w:sz w:val="24"/>
          <w:szCs w:val="24"/>
        </w:rPr>
        <w:t xml:space="preserve"> from arbitrary or unlawful interreference</w:t>
      </w:r>
      <w:r w:rsidRPr="00B446D8">
        <w:rPr>
          <w:rFonts w:ascii="Arial" w:hAnsi="Arial" w:cs="Arial"/>
          <w:sz w:val="24"/>
          <w:szCs w:val="24"/>
        </w:rPr>
        <w:t xml:space="preserve">. Having access to accommodation provides a space for individual tenants to develop their identity and to have personal security and mental stability. </w:t>
      </w:r>
      <w:r w:rsidR="00881731">
        <w:rPr>
          <w:rFonts w:ascii="Arial" w:hAnsi="Arial" w:cs="Arial"/>
          <w:sz w:val="24"/>
          <w:szCs w:val="24"/>
        </w:rPr>
        <w:t xml:space="preserve">Section </w:t>
      </w:r>
      <w:r w:rsidR="00237B42">
        <w:rPr>
          <w:rFonts w:ascii="Arial" w:hAnsi="Arial" w:cs="Arial"/>
          <w:sz w:val="24"/>
          <w:szCs w:val="24"/>
        </w:rPr>
        <w:t xml:space="preserve">49A </w:t>
      </w:r>
      <w:r w:rsidR="00881731">
        <w:rPr>
          <w:rFonts w:ascii="Arial" w:hAnsi="Arial" w:cs="Arial"/>
          <w:sz w:val="24"/>
          <w:szCs w:val="24"/>
        </w:rPr>
        <w:t xml:space="preserve">of the RTA which provides for </w:t>
      </w:r>
      <w:r w:rsidR="00237B42">
        <w:rPr>
          <w:rFonts w:ascii="Arial" w:hAnsi="Arial" w:cs="Arial"/>
          <w:sz w:val="24"/>
          <w:szCs w:val="24"/>
        </w:rPr>
        <w:t>payment orders is intended to promote the right to privacy</w:t>
      </w:r>
      <w:r w:rsidR="00881731">
        <w:rPr>
          <w:rFonts w:ascii="Arial" w:hAnsi="Arial" w:cs="Arial"/>
          <w:sz w:val="24"/>
          <w:szCs w:val="24"/>
        </w:rPr>
        <w:t xml:space="preserve"> and home</w:t>
      </w:r>
      <w:r w:rsidR="00237B42">
        <w:rPr>
          <w:rFonts w:ascii="Arial" w:hAnsi="Arial" w:cs="Arial"/>
          <w:sz w:val="24"/>
          <w:szCs w:val="24"/>
        </w:rPr>
        <w:t xml:space="preserve"> by providing ACAT with an alternative option to terminating a tenancy agreement in circumstances where the tenant has failed to comply with their obligation to pay rent under the agreement.  Payment orders allow ACAT to keep a tenancy on foot and make orders that the tenant pay rent owing and future rent as it falls payable.</w:t>
      </w:r>
      <w:r w:rsidR="00C87D23">
        <w:rPr>
          <w:rFonts w:ascii="Arial" w:hAnsi="Arial" w:cs="Arial"/>
          <w:sz w:val="24"/>
          <w:szCs w:val="24"/>
        </w:rPr>
        <w:t xml:space="preserve"> However, it is also noted that breach of a payment order provides grounds for termination of a tenancy agreement which may also engage and limit the right to privacy</w:t>
      </w:r>
      <w:r w:rsidR="00201A8D">
        <w:rPr>
          <w:rFonts w:ascii="Arial" w:hAnsi="Arial" w:cs="Arial"/>
          <w:sz w:val="24"/>
          <w:szCs w:val="24"/>
        </w:rPr>
        <w:t xml:space="preserve"> and home</w:t>
      </w:r>
      <w:r w:rsidR="00C87D23">
        <w:rPr>
          <w:rFonts w:ascii="Arial" w:hAnsi="Arial" w:cs="Arial"/>
          <w:sz w:val="24"/>
          <w:szCs w:val="24"/>
        </w:rPr>
        <w:t>.</w:t>
      </w:r>
      <w:r w:rsidR="006E0EC3">
        <w:rPr>
          <w:rFonts w:ascii="Arial" w:hAnsi="Arial" w:cs="Arial"/>
          <w:sz w:val="24"/>
          <w:szCs w:val="24"/>
        </w:rPr>
        <w:t xml:space="preserve"> </w:t>
      </w:r>
    </w:p>
    <w:p w14:paraId="600C59CF" w14:textId="54CB0860" w:rsidR="00E63572" w:rsidRDefault="00540101" w:rsidP="00E63572">
      <w:pPr>
        <w:pStyle w:val="NoSpacing"/>
        <w:spacing w:after="240"/>
        <w:rPr>
          <w:rFonts w:ascii="Arial" w:hAnsi="Arial" w:cs="Arial"/>
          <w:sz w:val="24"/>
          <w:szCs w:val="24"/>
        </w:rPr>
      </w:pPr>
      <w:r>
        <w:rPr>
          <w:rFonts w:ascii="Arial" w:hAnsi="Arial" w:cs="Arial"/>
          <w:sz w:val="24"/>
          <w:szCs w:val="24"/>
        </w:rPr>
        <w:t>In amending section 49A</w:t>
      </w:r>
      <w:r w:rsidR="00881731">
        <w:rPr>
          <w:rFonts w:ascii="Arial" w:hAnsi="Arial" w:cs="Arial"/>
          <w:sz w:val="24"/>
          <w:szCs w:val="24"/>
        </w:rPr>
        <w:t xml:space="preserve"> of the RTA</w:t>
      </w:r>
      <w:r>
        <w:rPr>
          <w:rFonts w:ascii="Arial" w:hAnsi="Arial" w:cs="Arial"/>
          <w:sz w:val="24"/>
          <w:szCs w:val="24"/>
        </w:rPr>
        <w:t xml:space="preserve"> the</w:t>
      </w:r>
      <w:r w:rsidR="00D96CC6">
        <w:rPr>
          <w:rFonts w:ascii="Arial" w:hAnsi="Arial" w:cs="Arial"/>
          <w:sz w:val="24"/>
          <w:szCs w:val="24"/>
        </w:rPr>
        <w:t xml:space="preserve"> Amendment Act</w:t>
      </w:r>
      <w:r w:rsidR="00FF41CE">
        <w:rPr>
          <w:rFonts w:ascii="Arial" w:hAnsi="Arial" w:cs="Arial"/>
          <w:sz w:val="24"/>
          <w:szCs w:val="24"/>
        </w:rPr>
        <w:t xml:space="preserve"> sought to increase the circumstances in which a payment order may be made</w:t>
      </w:r>
      <w:r w:rsidR="00C87D23">
        <w:rPr>
          <w:rFonts w:ascii="Arial" w:hAnsi="Arial" w:cs="Arial"/>
          <w:sz w:val="24"/>
          <w:szCs w:val="24"/>
        </w:rPr>
        <w:t>.  It did this</w:t>
      </w:r>
      <w:r w:rsidR="00FF41CE">
        <w:rPr>
          <w:rFonts w:ascii="Arial" w:hAnsi="Arial" w:cs="Arial"/>
          <w:sz w:val="24"/>
          <w:szCs w:val="24"/>
        </w:rPr>
        <w:t xml:space="preserve"> by allowing ACAT to make an order in relation to the payment of future rent even in circumstances where there is no rent owing at the time that the order is made</w:t>
      </w:r>
      <w:r>
        <w:rPr>
          <w:rFonts w:ascii="Arial" w:hAnsi="Arial" w:cs="Arial"/>
          <w:sz w:val="24"/>
          <w:szCs w:val="24"/>
        </w:rPr>
        <w:t xml:space="preserve"> (subject to certain conditions)</w:t>
      </w:r>
      <w:r w:rsidR="00FF41CE">
        <w:rPr>
          <w:rFonts w:ascii="Arial" w:hAnsi="Arial" w:cs="Arial"/>
          <w:sz w:val="24"/>
          <w:szCs w:val="24"/>
        </w:rPr>
        <w:t xml:space="preserve">.  </w:t>
      </w:r>
    </w:p>
    <w:p w14:paraId="3D266BA6" w14:textId="6DE78123" w:rsidR="00EF42B6" w:rsidRDefault="00EF42B6" w:rsidP="00E63572">
      <w:pPr>
        <w:pStyle w:val="NoSpacing"/>
        <w:spacing w:after="240"/>
        <w:rPr>
          <w:rFonts w:ascii="Arial" w:hAnsi="Arial" w:cs="Arial"/>
          <w:sz w:val="24"/>
          <w:szCs w:val="24"/>
        </w:rPr>
      </w:pPr>
      <w:r>
        <w:rPr>
          <w:rFonts w:ascii="Arial" w:hAnsi="Arial" w:cs="Arial"/>
          <w:sz w:val="24"/>
          <w:szCs w:val="24"/>
        </w:rPr>
        <w:lastRenderedPageBreak/>
        <w:t xml:space="preserve">The current amendment seeks to clarify that the requirement that a lessor must have made </w:t>
      </w:r>
      <w:r w:rsidR="0075585B">
        <w:rPr>
          <w:rFonts w:ascii="Arial" w:hAnsi="Arial" w:cs="Arial"/>
          <w:sz w:val="24"/>
          <w:szCs w:val="24"/>
        </w:rPr>
        <w:t xml:space="preserve">2 previous </w:t>
      </w:r>
      <w:r>
        <w:rPr>
          <w:rFonts w:ascii="Arial" w:hAnsi="Arial" w:cs="Arial"/>
          <w:sz w:val="24"/>
          <w:szCs w:val="24"/>
        </w:rPr>
        <w:t>applications for a termination and possession order in the previous 12-month period, only applies in circumstances where an order is being made</w:t>
      </w:r>
      <w:r w:rsidR="00881731">
        <w:rPr>
          <w:rFonts w:ascii="Arial" w:hAnsi="Arial" w:cs="Arial"/>
          <w:sz w:val="24"/>
          <w:szCs w:val="24"/>
        </w:rPr>
        <w:t xml:space="preserve"> solely</w:t>
      </w:r>
      <w:r>
        <w:rPr>
          <w:rFonts w:ascii="Arial" w:hAnsi="Arial" w:cs="Arial"/>
          <w:sz w:val="24"/>
          <w:szCs w:val="24"/>
        </w:rPr>
        <w:t xml:space="preserve"> in relation to future rent when there are no rent arrears owing. That is, the requirement does not apply in relation to </w:t>
      </w:r>
      <w:r w:rsidR="00D2368E">
        <w:rPr>
          <w:rFonts w:ascii="Arial" w:hAnsi="Arial" w:cs="Arial"/>
          <w:sz w:val="24"/>
          <w:szCs w:val="24"/>
        </w:rPr>
        <w:t xml:space="preserve">an </w:t>
      </w:r>
      <w:r>
        <w:rPr>
          <w:rFonts w:ascii="Arial" w:hAnsi="Arial" w:cs="Arial"/>
          <w:sz w:val="24"/>
          <w:szCs w:val="24"/>
        </w:rPr>
        <w:t xml:space="preserve">order that is made for both future rent and rent already payable. </w:t>
      </w:r>
      <w:r w:rsidR="00156816">
        <w:rPr>
          <w:rFonts w:ascii="Arial" w:hAnsi="Arial" w:cs="Arial"/>
          <w:sz w:val="24"/>
          <w:szCs w:val="24"/>
        </w:rPr>
        <w:t xml:space="preserve">The amendment also reduces the number of previous applications required </w:t>
      </w:r>
      <w:r w:rsidR="00881731">
        <w:rPr>
          <w:rFonts w:ascii="Arial" w:hAnsi="Arial" w:cs="Arial"/>
          <w:sz w:val="24"/>
          <w:szCs w:val="24"/>
        </w:rPr>
        <w:t xml:space="preserve">for an order to be made solely in relation to future rent </w:t>
      </w:r>
      <w:r w:rsidR="00156816">
        <w:rPr>
          <w:rFonts w:ascii="Arial" w:hAnsi="Arial" w:cs="Arial"/>
          <w:sz w:val="24"/>
          <w:szCs w:val="24"/>
        </w:rPr>
        <w:t>from ‘more than 3’ to ‘more than 2’.  This amendment is to ensure that the provision is more workable in practice as it may be difficult for a lessor to make 4 termination and possession order applications in a 12-month period.</w:t>
      </w:r>
    </w:p>
    <w:p w14:paraId="4BB8AD6C" w14:textId="65520549" w:rsidR="00F513F2" w:rsidRDefault="00201A8D" w:rsidP="00E63572">
      <w:pPr>
        <w:pStyle w:val="NoSpacing"/>
        <w:spacing w:after="240"/>
        <w:rPr>
          <w:rFonts w:ascii="Arial" w:hAnsi="Arial" w:cs="Arial"/>
          <w:sz w:val="24"/>
          <w:szCs w:val="24"/>
        </w:rPr>
      </w:pPr>
      <w:r>
        <w:rPr>
          <w:rFonts w:ascii="Arial" w:hAnsi="Arial" w:cs="Arial"/>
          <w:sz w:val="24"/>
          <w:szCs w:val="24"/>
        </w:rPr>
        <w:t xml:space="preserve">These technical amendments do not adversely affect the compatibility of the underlying payment order provisions with the right to privacy and home and are compatible with this right. </w:t>
      </w:r>
    </w:p>
    <w:p w14:paraId="0F9C2348" w14:textId="77777777" w:rsidR="0070791E" w:rsidRDefault="0070791E" w:rsidP="0070791E">
      <w:pPr>
        <w:keepNext/>
        <w:spacing w:after="240" w:line="240" w:lineRule="auto"/>
        <w:rPr>
          <w:rFonts w:ascii="Arial" w:hAnsi="Arial" w:cs="Arial"/>
          <w:b/>
          <w:sz w:val="24"/>
          <w:szCs w:val="24"/>
        </w:rPr>
      </w:pPr>
      <w:r>
        <w:rPr>
          <w:rFonts w:ascii="Arial" w:hAnsi="Arial" w:cs="Arial"/>
          <w:b/>
          <w:sz w:val="24"/>
          <w:szCs w:val="24"/>
        </w:rPr>
        <w:t>GOVERNMENT AMENDMENTS</w:t>
      </w:r>
    </w:p>
    <w:p w14:paraId="7402402B" w14:textId="77777777" w:rsidR="0070791E" w:rsidRPr="00B446D8" w:rsidRDefault="0070791E" w:rsidP="0070791E">
      <w:pPr>
        <w:keepNext/>
        <w:spacing w:after="240" w:line="240" w:lineRule="auto"/>
        <w:rPr>
          <w:rFonts w:ascii="Arial" w:hAnsi="Arial" w:cs="Arial"/>
          <w:b/>
          <w:sz w:val="24"/>
          <w:szCs w:val="24"/>
        </w:rPr>
      </w:pPr>
      <w:r w:rsidRPr="00B446D8">
        <w:rPr>
          <w:rFonts w:ascii="Arial" w:hAnsi="Arial" w:cs="Arial"/>
          <w:b/>
          <w:sz w:val="24"/>
          <w:szCs w:val="24"/>
        </w:rPr>
        <w:t>CLAUSE NOTES</w:t>
      </w:r>
    </w:p>
    <w:p w14:paraId="0C59FDE0" w14:textId="63063A16" w:rsidR="005A6BE8" w:rsidRDefault="005A6BE8" w:rsidP="00CD2EFA">
      <w:pPr>
        <w:keepNext/>
        <w:spacing w:after="240" w:line="240" w:lineRule="auto"/>
        <w:rPr>
          <w:rFonts w:ascii="Arial" w:hAnsi="Arial" w:cs="Arial"/>
          <w:b/>
          <w:bCs/>
          <w:sz w:val="24"/>
          <w:szCs w:val="24"/>
        </w:rPr>
      </w:pPr>
      <w:r>
        <w:rPr>
          <w:rFonts w:ascii="Arial" w:hAnsi="Arial" w:cs="Arial"/>
          <w:b/>
          <w:bCs/>
          <w:sz w:val="24"/>
          <w:szCs w:val="24"/>
        </w:rPr>
        <w:t>Amendment 1</w:t>
      </w:r>
    </w:p>
    <w:p w14:paraId="00EF5CB3" w14:textId="24F17BD2" w:rsidR="005A6BE8" w:rsidRDefault="005A6BE8">
      <w:pPr>
        <w:keepNext/>
        <w:spacing w:after="240" w:line="240" w:lineRule="auto"/>
        <w:rPr>
          <w:rFonts w:ascii="Arial" w:hAnsi="Arial" w:cs="Arial"/>
          <w:b/>
          <w:bCs/>
          <w:sz w:val="24"/>
          <w:szCs w:val="24"/>
        </w:rPr>
      </w:pPr>
      <w:r>
        <w:rPr>
          <w:rFonts w:ascii="Arial" w:hAnsi="Arial" w:cs="Arial"/>
          <w:b/>
          <w:bCs/>
          <w:sz w:val="24"/>
          <w:szCs w:val="24"/>
        </w:rPr>
        <w:t>Clause 2</w:t>
      </w:r>
    </w:p>
    <w:p w14:paraId="3DC9A141" w14:textId="4B4573AC" w:rsidR="003F346B" w:rsidRDefault="005A6BE8" w:rsidP="003F346B">
      <w:pPr>
        <w:keepNext/>
        <w:spacing w:after="0" w:line="240" w:lineRule="auto"/>
        <w:rPr>
          <w:rFonts w:ascii="Arial" w:hAnsi="Arial" w:cs="Arial"/>
          <w:sz w:val="24"/>
          <w:szCs w:val="24"/>
        </w:rPr>
      </w:pPr>
      <w:r>
        <w:rPr>
          <w:rFonts w:ascii="Arial" w:hAnsi="Arial" w:cs="Arial"/>
          <w:b/>
          <w:bCs/>
          <w:sz w:val="24"/>
          <w:szCs w:val="24"/>
        </w:rPr>
        <w:t xml:space="preserve">Page 2, line 4 – </w:t>
      </w:r>
    </w:p>
    <w:p w14:paraId="42737C9A" w14:textId="77777777" w:rsidR="003F346B" w:rsidRDefault="003F346B" w:rsidP="003F346B">
      <w:pPr>
        <w:keepNext/>
        <w:spacing w:after="0" w:line="240" w:lineRule="auto"/>
        <w:rPr>
          <w:rFonts w:ascii="Arial" w:hAnsi="Arial" w:cs="Arial"/>
          <w:sz w:val="24"/>
          <w:szCs w:val="24"/>
        </w:rPr>
      </w:pPr>
    </w:p>
    <w:p w14:paraId="6AA733F8" w14:textId="70C12C33" w:rsidR="00C03355" w:rsidRDefault="00C03355" w:rsidP="00143C79">
      <w:pPr>
        <w:keepNext/>
        <w:spacing w:after="240" w:line="240" w:lineRule="auto"/>
        <w:rPr>
          <w:rFonts w:ascii="Arial" w:hAnsi="Arial" w:cs="Arial"/>
          <w:sz w:val="24"/>
          <w:szCs w:val="24"/>
        </w:rPr>
      </w:pPr>
      <w:r w:rsidRPr="00C03355">
        <w:rPr>
          <w:rFonts w:ascii="Arial" w:hAnsi="Arial" w:cs="Arial"/>
          <w:sz w:val="24"/>
          <w:szCs w:val="24"/>
        </w:rPr>
        <w:t xml:space="preserve">This is an amendment consequential to the introduction of new clause 17A.  </w:t>
      </w:r>
    </w:p>
    <w:p w14:paraId="1978338D" w14:textId="1CDD237D" w:rsidR="005A6BE8" w:rsidRDefault="005A6BE8" w:rsidP="00143C79">
      <w:pPr>
        <w:keepNext/>
        <w:spacing w:after="240" w:line="240" w:lineRule="auto"/>
        <w:rPr>
          <w:rFonts w:ascii="Arial" w:hAnsi="Arial" w:cs="Arial"/>
          <w:sz w:val="24"/>
          <w:szCs w:val="24"/>
        </w:rPr>
      </w:pPr>
      <w:r>
        <w:rPr>
          <w:rFonts w:ascii="Arial" w:hAnsi="Arial" w:cs="Arial"/>
          <w:sz w:val="24"/>
          <w:szCs w:val="24"/>
        </w:rPr>
        <w:t xml:space="preserve">This amendment provides that all other provisions of the </w:t>
      </w:r>
      <w:r w:rsidRPr="00B446D8">
        <w:rPr>
          <w:rFonts w:ascii="Arial" w:hAnsi="Arial" w:cs="Arial"/>
          <w:sz w:val="24"/>
          <w:szCs w:val="24"/>
          <w:lang w:eastAsia="en-AU"/>
        </w:rPr>
        <w:t xml:space="preserve">Residential Tenancies Amendment Bill 2020 </w:t>
      </w:r>
      <w:r>
        <w:rPr>
          <w:rFonts w:ascii="Arial" w:hAnsi="Arial" w:cs="Arial"/>
          <w:sz w:val="24"/>
          <w:szCs w:val="24"/>
          <w:lang w:eastAsia="en-AU"/>
        </w:rPr>
        <w:t>will commence on a day fixed by the Minister by written notice, except for</w:t>
      </w:r>
      <w:r>
        <w:rPr>
          <w:rFonts w:ascii="Arial" w:hAnsi="Arial" w:cs="Arial"/>
          <w:sz w:val="24"/>
          <w:szCs w:val="24"/>
        </w:rPr>
        <w:t xml:space="preserve"> </w:t>
      </w:r>
      <w:r w:rsidR="006E1B35">
        <w:rPr>
          <w:rFonts w:ascii="Arial" w:hAnsi="Arial" w:cs="Arial"/>
          <w:sz w:val="24"/>
          <w:szCs w:val="24"/>
        </w:rPr>
        <w:t>clause</w:t>
      </w:r>
      <w:r w:rsidRPr="005A6BE8">
        <w:rPr>
          <w:rFonts w:ascii="Arial" w:hAnsi="Arial" w:cs="Arial"/>
          <w:sz w:val="24"/>
          <w:szCs w:val="24"/>
        </w:rPr>
        <w:t xml:space="preserve"> 17A</w:t>
      </w:r>
      <w:r w:rsidR="00D60DBA">
        <w:rPr>
          <w:rFonts w:ascii="Arial" w:hAnsi="Arial" w:cs="Arial"/>
          <w:sz w:val="24"/>
          <w:szCs w:val="24"/>
        </w:rPr>
        <w:t xml:space="preserve"> and schedule 2</w:t>
      </w:r>
      <w:r>
        <w:rPr>
          <w:rFonts w:ascii="Arial" w:hAnsi="Arial" w:cs="Arial"/>
          <w:sz w:val="24"/>
          <w:szCs w:val="24"/>
        </w:rPr>
        <w:t xml:space="preserve">. </w:t>
      </w:r>
    </w:p>
    <w:p w14:paraId="40A13D8E" w14:textId="5083CA4E" w:rsidR="005A6BE8" w:rsidRDefault="005A6BE8" w:rsidP="00143C79">
      <w:pPr>
        <w:keepNext/>
        <w:spacing w:after="240" w:line="240" w:lineRule="auto"/>
        <w:rPr>
          <w:rFonts w:ascii="Arial" w:hAnsi="Arial" w:cs="Arial"/>
          <w:sz w:val="24"/>
          <w:szCs w:val="24"/>
        </w:rPr>
      </w:pPr>
      <w:r>
        <w:rPr>
          <w:rFonts w:ascii="Arial" w:hAnsi="Arial" w:cs="Arial"/>
          <w:sz w:val="24"/>
          <w:szCs w:val="24"/>
        </w:rPr>
        <w:t xml:space="preserve">This amendment </w:t>
      </w:r>
      <w:r w:rsidR="00F513F2">
        <w:rPr>
          <w:rFonts w:ascii="Arial" w:hAnsi="Arial" w:cs="Arial"/>
          <w:sz w:val="24"/>
          <w:szCs w:val="24"/>
        </w:rPr>
        <w:t>provides</w:t>
      </w:r>
      <w:r w:rsidR="00B543B3">
        <w:rPr>
          <w:rFonts w:ascii="Arial" w:hAnsi="Arial" w:cs="Arial"/>
          <w:sz w:val="24"/>
          <w:szCs w:val="24"/>
        </w:rPr>
        <w:t xml:space="preserve"> </w:t>
      </w:r>
      <w:r>
        <w:rPr>
          <w:rFonts w:ascii="Arial" w:hAnsi="Arial" w:cs="Arial"/>
          <w:sz w:val="24"/>
          <w:szCs w:val="24"/>
        </w:rPr>
        <w:t xml:space="preserve">that </w:t>
      </w:r>
      <w:r w:rsidR="006E1B35">
        <w:rPr>
          <w:rFonts w:ascii="Arial" w:hAnsi="Arial" w:cs="Arial"/>
          <w:sz w:val="24"/>
          <w:szCs w:val="24"/>
        </w:rPr>
        <w:t>clause</w:t>
      </w:r>
      <w:r>
        <w:rPr>
          <w:rFonts w:ascii="Arial" w:hAnsi="Arial" w:cs="Arial"/>
          <w:sz w:val="24"/>
          <w:szCs w:val="24"/>
        </w:rPr>
        <w:t xml:space="preserve"> 17A</w:t>
      </w:r>
      <w:r w:rsidRPr="005A6BE8">
        <w:rPr>
          <w:rFonts w:ascii="Arial" w:hAnsi="Arial" w:cs="Arial"/>
          <w:sz w:val="24"/>
          <w:szCs w:val="24"/>
        </w:rPr>
        <w:t xml:space="preserve"> commences immediately after the commencement of the Residential Tenancies Amendment Act 2020, section 10.</w:t>
      </w:r>
      <w:r w:rsidR="001C1268">
        <w:rPr>
          <w:rFonts w:ascii="Arial" w:hAnsi="Arial" w:cs="Arial"/>
          <w:sz w:val="24"/>
          <w:szCs w:val="24"/>
        </w:rPr>
        <w:t xml:space="preserve"> </w:t>
      </w:r>
      <w:r w:rsidR="00F513F2">
        <w:rPr>
          <w:rFonts w:ascii="Arial" w:hAnsi="Arial" w:cs="Arial"/>
          <w:sz w:val="24"/>
          <w:szCs w:val="24"/>
        </w:rPr>
        <w:t xml:space="preserve"> </w:t>
      </w:r>
    </w:p>
    <w:p w14:paraId="682A9FC5" w14:textId="77777777" w:rsidR="003F346B" w:rsidRDefault="00D60DBA">
      <w:pPr>
        <w:keepNext/>
        <w:spacing w:after="240" w:line="240" w:lineRule="auto"/>
        <w:rPr>
          <w:rFonts w:ascii="Arial" w:hAnsi="Arial" w:cs="Arial"/>
          <w:sz w:val="24"/>
          <w:szCs w:val="24"/>
        </w:rPr>
      </w:pPr>
      <w:r>
        <w:rPr>
          <w:rFonts w:ascii="Arial" w:hAnsi="Arial" w:cs="Arial"/>
          <w:sz w:val="24"/>
          <w:szCs w:val="24"/>
        </w:rPr>
        <w:t xml:space="preserve">It </w:t>
      </w:r>
      <w:r w:rsidR="0075585B">
        <w:rPr>
          <w:rFonts w:ascii="Arial" w:hAnsi="Arial" w:cs="Arial"/>
          <w:sz w:val="24"/>
          <w:szCs w:val="24"/>
        </w:rPr>
        <w:t>also</w:t>
      </w:r>
      <w:r>
        <w:rPr>
          <w:rFonts w:ascii="Arial" w:hAnsi="Arial" w:cs="Arial"/>
          <w:sz w:val="24"/>
          <w:szCs w:val="24"/>
        </w:rPr>
        <w:t xml:space="preserve"> </w:t>
      </w:r>
      <w:r w:rsidR="00CD2EFA">
        <w:rPr>
          <w:rFonts w:ascii="Arial" w:hAnsi="Arial" w:cs="Arial"/>
          <w:sz w:val="24"/>
          <w:szCs w:val="24"/>
        </w:rPr>
        <w:t>continues to provide consistently with other amendments</w:t>
      </w:r>
      <w:r>
        <w:rPr>
          <w:rFonts w:ascii="Arial" w:hAnsi="Arial" w:cs="Arial"/>
          <w:sz w:val="24"/>
          <w:szCs w:val="24"/>
        </w:rPr>
        <w:t xml:space="preserve"> that Schedule 2 will commence on 30 January 2022.</w:t>
      </w:r>
    </w:p>
    <w:p w14:paraId="4DD802F5" w14:textId="50D07523" w:rsidR="00F14C71" w:rsidRDefault="0070791E">
      <w:pPr>
        <w:keepNext/>
        <w:spacing w:after="240" w:line="240" w:lineRule="auto"/>
        <w:rPr>
          <w:rFonts w:ascii="Arial" w:hAnsi="Arial" w:cs="Arial"/>
          <w:b/>
          <w:bCs/>
          <w:sz w:val="24"/>
          <w:szCs w:val="24"/>
        </w:rPr>
      </w:pPr>
      <w:r w:rsidRPr="00812705">
        <w:rPr>
          <w:rFonts w:ascii="Arial" w:hAnsi="Arial" w:cs="Arial"/>
          <w:b/>
          <w:bCs/>
          <w:sz w:val="24"/>
          <w:szCs w:val="24"/>
        </w:rPr>
        <w:t xml:space="preserve">Amendment </w:t>
      </w:r>
      <w:r w:rsidR="005A6BE8">
        <w:rPr>
          <w:rFonts w:ascii="Arial" w:hAnsi="Arial" w:cs="Arial"/>
          <w:b/>
          <w:bCs/>
          <w:sz w:val="24"/>
          <w:szCs w:val="24"/>
        </w:rPr>
        <w:t>2</w:t>
      </w:r>
    </w:p>
    <w:p w14:paraId="7B65F7EA" w14:textId="251F52CA" w:rsidR="005A6BE8" w:rsidRDefault="005A6BE8">
      <w:pPr>
        <w:keepNext/>
        <w:spacing w:after="240" w:line="240" w:lineRule="auto"/>
        <w:rPr>
          <w:rFonts w:ascii="Arial" w:hAnsi="Arial" w:cs="Arial"/>
          <w:b/>
          <w:bCs/>
          <w:sz w:val="24"/>
          <w:szCs w:val="24"/>
        </w:rPr>
      </w:pPr>
      <w:r>
        <w:rPr>
          <w:rFonts w:ascii="Arial" w:hAnsi="Arial" w:cs="Arial"/>
          <w:b/>
          <w:bCs/>
          <w:sz w:val="24"/>
          <w:szCs w:val="24"/>
        </w:rPr>
        <w:t>Proposed new clause 17A</w:t>
      </w:r>
    </w:p>
    <w:p w14:paraId="1F61A9EF" w14:textId="68262ACD" w:rsidR="00CD2EFA" w:rsidRDefault="005A6BE8" w:rsidP="00075DFE">
      <w:pPr>
        <w:rPr>
          <w:rFonts w:ascii="Arial" w:hAnsi="Arial" w:cs="Arial"/>
          <w:b/>
          <w:bCs/>
          <w:sz w:val="24"/>
          <w:szCs w:val="24"/>
        </w:rPr>
      </w:pPr>
      <w:r>
        <w:rPr>
          <w:rFonts w:ascii="Arial" w:hAnsi="Arial" w:cs="Arial"/>
          <w:b/>
          <w:bCs/>
          <w:sz w:val="24"/>
          <w:szCs w:val="24"/>
        </w:rPr>
        <w:t>Page 17, line 3 –</w:t>
      </w:r>
    </w:p>
    <w:p w14:paraId="46444CD4" w14:textId="3CB5A402" w:rsidR="005C37E3" w:rsidRPr="003F346B" w:rsidRDefault="005C37E3" w:rsidP="00075DFE">
      <w:pPr>
        <w:rPr>
          <w:rFonts w:ascii="Arial" w:hAnsi="Arial" w:cs="Arial"/>
          <w:sz w:val="24"/>
          <w:szCs w:val="24"/>
        </w:rPr>
      </w:pPr>
      <w:r w:rsidRPr="003F346B">
        <w:rPr>
          <w:rFonts w:ascii="Arial" w:hAnsi="Arial" w:cs="Arial"/>
          <w:sz w:val="24"/>
          <w:szCs w:val="24"/>
        </w:rPr>
        <w:t>This amendment inserts a</w:t>
      </w:r>
      <w:r>
        <w:rPr>
          <w:rFonts w:ascii="Arial" w:hAnsi="Arial" w:cs="Arial"/>
          <w:sz w:val="24"/>
          <w:szCs w:val="24"/>
        </w:rPr>
        <w:t>n</w:t>
      </w:r>
      <w:r w:rsidRPr="003F346B">
        <w:rPr>
          <w:rFonts w:ascii="Arial" w:hAnsi="Arial" w:cs="Arial"/>
          <w:sz w:val="24"/>
          <w:szCs w:val="24"/>
        </w:rPr>
        <w:t xml:space="preserve"> amendment to section 49A</w:t>
      </w:r>
      <w:r w:rsidR="006E1B35">
        <w:rPr>
          <w:rFonts w:ascii="Arial" w:hAnsi="Arial" w:cs="Arial"/>
          <w:sz w:val="24"/>
          <w:szCs w:val="24"/>
        </w:rPr>
        <w:t>(3)(b)</w:t>
      </w:r>
      <w:r w:rsidRPr="003F346B">
        <w:rPr>
          <w:rFonts w:ascii="Arial" w:hAnsi="Arial" w:cs="Arial"/>
          <w:sz w:val="24"/>
          <w:szCs w:val="24"/>
        </w:rPr>
        <w:t xml:space="preserve"> of the </w:t>
      </w:r>
      <w:r w:rsidRPr="003F346B">
        <w:rPr>
          <w:rFonts w:ascii="Arial" w:hAnsi="Arial" w:cs="Arial"/>
          <w:i/>
          <w:iCs/>
          <w:sz w:val="24"/>
          <w:szCs w:val="24"/>
        </w:rPr>
        <w:t>Residential Tenancies Act 1997</w:t>
      </w:r>
      <w:r w:rsidRPr="003F346B">
        <w:rPr>
          <w:rFonts w:ascii="Arial" w:hAnsi="Arial" w:cs="Arial"/>
          <w:sz w:val="24"/>
          <w:szCs w:val="24"/>
        </w:rPr>
        <w:t xml:space="preserve"> (RTA).</w:t>
      </w:r>
    </w:p>
    <w:p w14:paraId="1A0577C0" w14:textId="16A48D4F" w:rsidR="00143C79" w:rsidRPr="00075DFE" w:rsidRDefault="00143C79" w:rsidP="00075DFE">
      <w:pPr>
        <w:rPr>
          <w:rFonts w:ascii="Arial" w:hAnsi="Arial" w:cs="Arial"/>
          <w:sz w:val="24"/>
          <w:szCs w:val="24"/>
        </w:rPr>
      </w:pPr>
      <w:r w:rsidRPr="00075DFE">
        <w:rPr>
          <w:rFonts w:ascii="Arial" w:hAnsi="Arial" w:cs="Arial"/>
          <w:sz w:val="24"/>
          <w:szCs w:val="24"/>
        </w:rPr>
        <w:t xml:space="preserve">Payment orders </w:t>
      </w:r>
      <w:r w:rsidR="005C37E3">
        <w:rPr>
          <w:rFonts w:ascii="Arial" w:hAnsi="Arial" w:cs="Arial"/>
          <w:sz w:val="24"/>
          <w:szCs w:val="24"/>
        </w:rPr>
        <w:t xml:space="preserve">under section 49A of the RTA </w:t>
      </w:r>
      <w:r w:rsidRPr="00075DFE">
        <w:rPr>
          <w:rFonts w:ascii="Arial" w:hAnsi="Arial" w:cs="Arial"/>
          <w:sz w:val="24"/>
          <w:szCs w:val="24"/>
        </w:rPr>
        <w:t xml:space="preserve">are an order that the ACT Civil and Administrative Tribunal (ACAT) can make instead of a </w:t>
      </w:r>
      <w:r w:rsidR="00881731">
        <w:rPr>
          <w:rFonts w:ascii="Arial" w:hAnsi="Arial" w:cs="Arial"/>
          <w:sz w:val="24"/>
          <w:szCs w:val="24"/>
        </w:rPr>
        <w:t>t</w:t>
      </w:r>
      <w:r w:rsidRPr="00075DFE">
        <w:rPr>
          <w:rFonts w:ascii="Arial" w:hAnsi="Arial" w:cs="Arial"/>
          <w:sz w:val="24"/>
          <w:szCs w:val="24"/>
        </w:rPr>
        <w:t xml:space="preserve">ermination and </w:t>
      </w:r>
      <w:r w:rsidR="00881731">
        <w:rPr>
          <w:rFonts w:ascii="Arial" w:hAnsi="Arial" w:cs="Arial"/>
          <w:sz w:val="24"/>
          <w:szCs w:val="24"/>
        </w:rPr>
        <w:t>p</w:t>
      </w:r>
      <w:r w:rsidRPr="00075DFE">
        <w:rPr>
          <w:rFonts w:ascii="Arial" w:hAnsi="Arial" w:cs="Arial"/>
          <w:sz w:val="24"/>
          <w:szCs w:val="24"/>
        </w:rPr>
        <w:t>ossession order when a tenant has fallen into rent arrears.</w:t>
      </w:r>
      <w:r w:rsidR="006E1B35">
        <w:rPr>
          <w:rFonts w:ascii="Arial" w:hAnsi="Arial" w:cs="Arial"/>
          <w:sz w:val="24"/>
          <w:szCs w:val="24"/>
        </w:rPr>
        <w:t xml:space="preserve"> </w:t>
      </w:r>
      <w:r w:rsidRPr="00075DFE">
        <w:rPr>
          <w:rFonts w:ascii="Arial" w:hAnsi="Arial" w:cs="Arial"/>
          <w:sz w:val="24"/>
          <w:szCs w:val="24"/>
        </w:rPr>
        <w:t xml:space="preserve">Payment orders allow ACAT to keep the tenancy in place but to instead make orders that the tenant pay a specified amount towards any rent arrears as well as future rent as it becomes payable. </w:t>
      </w:r>
    </w:p>
    <w:p w14:paraId="03B5AF99" w14:textId="57673B8C" w:rsidR="003E2899" w:rsidRPr="00075DFE" w:rsidRDefault="003E2899" w:rsidP="00075DFE">
      <w:pPr>
        <w:rPr>
          <w:rFonts w:ascii="Arial" w:hAnsi="Arial" w:cs="Arial"/>
          <w:sz w:val="24"/>
          <w:szCs w:val="24"/>
        </w:rPr>
      </w:pPr>
      <w:r w:rsidRPr="00075DFE">
        <w:rPr>
          <w:rFonts w:ascii="Arial" w:hAnsi="Arial" w:cs="Arial"/>
          <w:sz w:val="24"/>
          <w:szCs w:val="24"/>
        </w:rPr>
        <w:lastRenderedPageBreak/>
        <w:t xml:space="preserve">The </w:t>
      </w:r>
      <w:r w:rsidRPr="00075DFE">
        <w:rPr>
          <w:rFonts w:ascii="Arial" w:hAnsi="Arial" w:cs="Arial"/>
          <w:i/>
          <w:iCs/>
          <w:sz w:val="24"/>
          <w:szCs w:val="24"/>
        </w:rPr>
        <w:t>Residential Tenancies Amendment Act 2020</w:t>
      </w:r>
      <w:r w:rsidRPr="00075DFE">
        <w:rPr>
          <w:rFonts w:ascii="Arial" w:hAnsi="Arial" w:cs="Arial"/>
          <w:sz w:val="24"/>
          <w:szCs w:val="24"/>
        </w:rPr>
        <w:t xml:space="preserve"> </w:t>
      </w:r>
      <w:r w:rsidR="00B543B3">
        <w:rPr>
          <w:rFonts w:ascii="Arial" w:hAnsi="Arial" w:cs="Arial"/>
          <w:sz w:val="24"/>
          <w:szCs w:val="24"/>
        </w:rPr>
        <w:t xml:space="preserve">(notified on 25 February 2020) </w:t>
      </w:r>
      <w:r w:rsidRPr="00075DFE">
        <w:rPr>
          <w:rFonts w:ascii="Arial" w:hAnsi="Arial" w:cs="Arial"/>
          <w:sz w:val="24"/>
          <w:szCs w:val="24"/>
        </w:rPr>
        <w:t xml:space="preserve">amended the operation of payment orders to allow orders to be made in relation to future rent in circumstances where the lessor has made more than 3 applications for a termination order under section 49 (2) </w:t>
      </w:r>
      <w:bookmarkStart w:id="2" w:name="_Hlk46660245"/>
      <w:r w:rsidR="00F513F2">
        <w:rPr>
          <w:rFonts w:ascii="Arial" w:hAnsi="Arial" w:cs="Arial"/>
          <w:sz w:val="24"/>
          <w:szCs w:val="24"/>
        </w:rPr>
        <w:t xml:space="preserve">RTA </w:t>
      </w:r>
      <w:bookmarkEnd w:id="2"/>
      <w:r w:rsidRPr="00075DFE">
        <w:rPr>
          <w:rFonts w:ascii="Arial" w:hAnsi="Arial" w:cs="Arial"/>
          <w:sz w:val="24"/>
          <w:szCs w:val="24"/>
        </w:rPr>
        <w:t>in the 12-month period immediately before the day the ACAT makes the order. The purpose of th</w:t>
      </w:r>
      <w:r w:rsidR="006E1B35">
        <w:rPr>
          <w:rFonts w:ascii="Arial" w:hAnsi="Arial" w:cs="Arial"/>
          <w:sz w:val="24"/>
          <w:szCs w:val="24"/>
        </w:rPr>
        <w:t>at</w:t>
      </w:r>
      <w:r w:rsidRPr="00075DFE">
        <w:rPr>
          <w:rFonts w:ascii="Arial" w:hAnsi="Arial" w:cs="Arial"/>
          <w:sz w:val="24"/>
          <w:szCs w:val="24"/>
        </w:rPr>
        <w:t xml:space="preserve"> amendment </w:t>
      </w:r>
      <w:r w:rsidR="0075585B">
        <w:rPr>
          <w:rFonts w:ascii="Arial" w:hAnsi="Arial" w:cs="Arial"/>
          <w:sz w:val="24"/>
          <w:szCs w:val="24"/>
        </w:rPr>
        <w:t xml:space="preserve">was </w:t>
      </w:r>
      <w:r w:rsidRPr="00075DFE">
        <w:rPr>
          <w:rFonts w:ascii="Arial" w:hAnsi="Arial" w:cs="Arial"/>
          <w:sz w:val="24"/>
          <w:szCs w:val="24"/>
        </w:rPr>
        <w:t xml:space="preserve">to create the option for ACAT to make orders in a situation where a tenant repeatedly falls into rent arrears but clears the outstanding arrears before ACAT hears the application for a termination and possession order. Where this occurred </w:t>
      </w:r>
      <w:r w:rsidR="0075585B">
        <w:rPr>
          <w:rFonts w:ascii="Arial" w:hAnsi="Arial" w:cs="Arial"/>
          <w:sz w:val="24"/>
          <w:szCs w:val="24"/>
        </w:rPr>
        <w:t>repeatedly the amendment allow</w:t>
      </w:r>
      <w:r w:rsidR="00F513F2">
        <w:rPr>
          <w:rFonts w:ascii="Arial" w:hAnsi="Arial" w:cs="Arial"/>
          <w:sz w:val="24"/>
          <w:szCs w:val="24"/>
        </w:rPr>
        <w:t>s</w:t>
      </w:r>
      <w:r w:rsidR="0075585B">
        <w:rPr>
          <w:rFonts w:ascii="Arial" w:hAnsi="Arial" w:cs="Arial"/>
          <w:sz w:val="24"/>
          <w:szCs w:val="24"/>
        </w:rPr>
        <w:t xml:space="preserve"> </w:t>
      </w:r>
      <w:r w:rsidRPr="00075DFE">
        <w:rPr>
          <w:rFonts w:ascii="Arial" w:hAnsi="Arial" w:cs="Arial"/>
          <w:sz w:val="24"/>
          <w:szCs w:val="24"/>
        </w:rPr>
        <w:t xml:space="preserve">ACAT to make orders in relation to the payment of future rent, even in circumstances where there is no rent owing at the time ACAT considers the termination and possession order application. </w:t>
      </w:r>
    </w:p>
    <w:p w14:paraId="70B1628B" w14:textId="07E3E758" w:rsidR="00D06C8C" w:rsidRDefault="006E1B35" w:rsidP="00075DFE">
      <w:pPr>
        <w:rPr>
          <w:rFonts w:ascii="Arial" w:hAnsi="Arial" w:cs="Arial"/>
          <w:sz w:val="24"/>
          <w:szCs w:val="24"/>
        </w:rPr>
      </w:pPr>
      <w:r>
        <w:rPr>
          <w:rFonts w:ascii="Arial" w:hAnsi="Arial" w:cs="Arial"/>
          <w:sz w:val="24"/>
          <w:szCs w:val="24"/>
        </w:rPr>
        <w:t>New clause 17A</w:t>
      </w:r>
      <w:r w:rsidR="00F513F2">
        <w:rPr>
          <w:rFonts w:ascii="Arial" w:hAnsi="Arial" w:cs="Arial"/>
          <w:sz w:val="24"/>
          <w:szCs w:val="24"/>
        </w:rPr>
        <w:t xml:space="preserve"> </w:t>
      </w:r>
      <w:r w:rsidR="00D06C8C">
        <w:rPr>
          <w:rFonts w:ascii="Arial" w:hAnsi="Arial" w:cs="Arial"/>
          <w:sz w:val="24"/>
          <w:szCs w:val="24"/>
        </w:rPr>
        <w:t xml:space="preserve">reduces the number of times that a lessor must have previously applied for a termination and possession order before a payment order which is </w:t>
      </w:r>
      <w:r w:rsidR="00F513F2">
        <w:rPr>
          <w:rFonts w:ascii="Arial" w:hAnsi="Arial" w:cs="Arial"/>
          <w:sz w:val="24"/>
          <w:szCs w:val="24"/>
        </w:rPr>
        <w:t>solely</w:t>
      </w:r>
      <w:r w:rsidR="00D06C8C">
        <w:rPr>
          <w:rFonts w:ascii="Arial" w:hAnsi="Arial" w:cs="Arial"/>
          <w:sz w:val="24"/>
          <w:szCs w:val="24"/>
        </w:rPr>
        <w:t xml:space="preserve"> in relation to future rent can be made from 3 to 2. This amendment has been made in acknowledgement that, from a practical </w:t>
      </w:r>
      <w:r w:rsidR="0075585B">
        <w:rPr>
          <w:rFonts w:ascii="Arial" w:hAnsi="Arial" w:cs="Arial"/>
          <w:sz w:val="24"/>
          <w:szCs w:val="24"/>
        </w:rPr>
        <w:t>perspective, it</w:t>
      </w:r>
      <w:r w:rsidR="00D06C8C">
        <w:rPr>
          <w:rFonts w:ascii="Arial" w:hAnsi="Arial" w:cs="Arial"/>
          <w:sz w:val="24"/>
          <w:szCs w:val="24"/>
        </w:rPr>
        <w:t xml:space="preserve"> may be difficult for a </w:t>
      </w:r>
      <w:r w:rsidR="00881731">
        <w:rPr>
          <w:rFonts w:ascii="Arial" w:hAnsi="Arial" w:cs="Arial"/>
          <w:sz w:val="24"/>
          <w:szCs w:val="24"/>
        </w:rPr>
        <w:t>lessor</w:t>
      </w:r>
      <w:r w:rsidR="00D06C8C">
        <w:rPr>
          <w:rFonts w:ascii="Arial" w:hAnsi="Arial" w:cs="Arial"/>
          <w:sz w:val="24"/>
          <w:szCs w:val="24"/>
        </w:rPr>
        <w:t xml:space="preserve"> to make 4 termination and possession order applications in a 12-month period.  </w:t>
      </w:r>
    </w:p>
    <w:p w14:paraId="6BA54907" w14:textId="5284EEF8" w:rsidR="00F14C71" w:rsidRPr="00B543B3" w:rsidRDefault="006E1B35" w:rsidP="00B543B3">
      <w:pPr>
        <w:rPr>
          <w:rFonts w:ascii="Arial" w:hAnsi="Arial" w:cs="Arial"/>
          <w:sz w:val="28"/>
          <w:szCs w:val="28"/>
        </w:rPr>
      </w:pPr>
      <w:r>
        <w:rPr>
          <w:rFonts w:ascii="Arial" w:hAnsi="Arial" w:cs="Arial"/>
          <w:sz w:val="24"/>
          <w:szCs w:val="24"/>
        </w:rPr>
        <w:t>New clause 17A</w:t>
      </w:r>
      <w:r w:rsidR="00F513F2">
        <w:rPr>
          <w:rFonts w:ascii="Arial" w:hAnsi="Arial" w:cs="Arial"/>
          <w:sz w:val="24"/>
          <w:szCs w:val="24"/>
        </w:rPr>
        <w:t xml:space="preserve"> </w:t>
      </w:r>
      <w:r w:rsidR="005276F3">
        <w:rPr>
          <w:rFonts w:ascii="Arial" w:hAnsi="Arial" w:cs="Arial"/>
          <w:sz w:val="24"/>
          <w:szCs w:val="24"/>
        </w:rPr>
        <w:t xml:space="preserve">also </w:t>
      </w:r>
      <w:r>
        <w:rPr>
          <w:rFonts w:ascii="Arial" w:hAnsi="Arial" w:cs="Arial"/>
          <w:sz w:val="24"/>
          <w:szCs w:val="24"/>
        </w:rPr>
        <w:t>clarifies</w:t>
      </w:r>
      <w:r w:rsidR="003E2899" w:rsidRPr="00075DFE">
        <w:rPr>
          <w:rFonts w:ascii="Arial" w:hAnsi="Arial" w:cs="Arial"/>
          <w:sz w:val="24"/>
          <w:szCs w:val="24"/>
        </w:rPr>
        <w:t xml:space="preserve"> that the requirement that the lessor must have made more than</w:t>
      </w:r>
      <w:r w:rsidR="00F513F2">
        <w:rPr>
          <w:rFonts w:ascii="Arial" w:hAnsi="Arial" w:cs="Arial"/>
          <w:sz w:val="24"/>
          <w:szCs w:val="24"/>
        </w:rPr>
        <w:t xml:space="preserve"> </w:t>
      </w:r>
      <w:r w:rsidR="005276F3">
        <w:rPr>
          <w:rFonts w:ascii="Arial" w:hAnsi="Arial" w:cs="Arial"/>
          <w:sz w:val="24"/>
          <w:szCs w:val="24"/>
        </w:rPr>
        <w:t>2</w:t>
      </w:r>
      <w:r w:rsidR="003E2899" w:rsidRPr="00075DFE">
        <w:rPr>
          <w:rFonts w:ascii="Arial" w:hAnsi="Arial" w:cs="Arial"/>
          <w:sz w:val="24"/>
          <w:szCs w:val="24"/>
        </w:rPr>
        <w:t xml:space="preserve"> application</w:t>
      </w:r>
      <w:r w:rsidR="005276F3">
        <w:rPr>
          <w:rFonts w:ascii="Arial" w:hAnsi="Arial" w:cs="Arial"/>
          <w:sz w:val="24"/>
          <w:szCs w:val="24"/>
        </w:rPr>
        <w:t>s</w:t>
      </w:r>
      <w:r w:rsidR="003E2899" w:rsidRPr="00075DFE">
        <w:rPr>
          <w:rFonts w:ascii="Arial" w:hAnsi="Arial" w:cs="Arial"/>
          <w:sz w:val="24"/>
          <w:szCs w:val="24"/>
        </w:rPr>
        <w:t xml:space="preserve"> for a termination order under section 49 (2) </w:t>
      </w:r>
      <w:r w:rsidR="00F513F2">
        <w:rPr>
          <w:rFonts w:ascii="Arial" w:hAnsi="Arial" w:cs="Arial"/>
          <w:sz w:val="24"/>
          <w:szCs w:val="24"/>
        </w:rPr>
        <w:t xml:space="preserve">RTA </w:t>
      </w:r>
      <w:r w:rsidR="005276F3">
        <w:rPr>
          <w:rFonts w:ascii="Arial" w:hAnsi="Arial" w:cs="Arial"/>
          <w:sz w:val="24"/>
          <w:szCs w:val="24"/>
        </w:rPr>
        <w:t xml:space="preserve">in the previous 12-months </w:t>
      </w:r>
      <w:r w:rsidR="003E2899" w:rsidRPr="00075DFE">
        <w:rPr>
          <w:rFonts w:ascii="Arial" w:hAnsi="Arial" w:cs="Arial"/>
          <w:sz w:val="24"/>
          <w:szCs w:val="24"/>
        </w:rPr>
        <w:t>applies only in circumstances where ACAT is making an order</w:t>
      </w:r>
      <w:r w:rsidR="00F513F2">
        <w:rPr>
          <w:rFonts w:ascii="Arial" w:hAnsi="Arial" w:cs="Arial"/>
          <w:sz w:val="24"/>
          <w:szCs w:val="24"/>
        </w:rPr>
        <w:t xml:space="preserve"> solely</w:t>
      </w:r>
      <w:r w:rsidR="003F0BA5" w:rsidRPr="00075DFE">
        <w:rPr>
          <w:rFonts w:ascii="Arial" w:hAnsi="Arial" w:cs="Arial"/>
          <w:sz w:val="24"/>
          <w:szCs w:val="24"/>
        </w:rPr>
        <w:t xml:space="preserve"> in relation to future rent and not in circumstances where ACAT is making an order in relation to rent owing </w:t>
      </w:r>
      <w:r w:rsidR="00F513F2">
        <w:rPr>
          <w:rFonts w:ascii="Arial" w:hAnsi="Arial" w:cs="Arial"/>
          <w:sz w:val="24"/>
          <w:szCs w:val="24"/>
        </w:rPr>
        <w:t xml:space="preserve">or rent owing </w:t>
      </w:r>
      <w:r w:rsidR="003F0BA5" w:rsidRPr="00075DFE">
        <w:rPr>
          <w:rFonts w:ascii="Arial" w:hAnsi="Arial" w:cs="Arial"/>
          <w:sz w:val="24"/>
          <w:szCs w:val="24"/>
        </w:rPr>
        <w:t>and future rent.</w:t>
      </w:r>
      <w:r w:rsidR="00F513F2">
        <w:rPr>
          <w:rFonts w:ascii="Arial" w:hAnsi="Arial" w:cs="Arial"/>
          <w:sz w:val="24"/>
          <w:szCs w:val="24"/>
        </w:rPr>
        <w:t xml:space="preserve"> That is, it clarifies that ACAT can make these orders from an initial application. </w:t>
      </w:r>
    </w:p>
    <w:sectPr w:rsidR="00F14C71" w:rsidRPr="00B543B3" w:rsidSect="00057B64">
      <w:footerReference w:type="default" r:id="rId13"/>
      <w:footerReference w:type="first" r:id="rId14"/>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2D21A" w14:textId="77777777" w:rsidR="00286CA2" w:rsidRDefault="00286CA2" w:rsidP="0070791E">
      <w:pPr>
        <w:spacing w:after="0" w:line="240" w:lineRule="auto"/>
      </w:pPr>
      <w:r>
        <w:separator/>
      </w:r>
    </w:p>
  </w:endnote>
  <w:endnote w:type="continuationSeparator" w:id="0">
    <w:p w14:paraId="0686FDF5" w14:textId="77777777" w:rsidR="00286CA2" w:rsidRDefault="00286CA2" w:rsidP="0070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AE0C7" w14:textId="77777777" w:rsidR="006B3AF1" w:rsidRDefault="006B3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E65D" w14:textId="0C5FE640" w:rsidR="0070791E" w:rsidRPr="006B3AF1" w:rsidRDefault="006B3AF1" w:rsidP="006B3AF1">
    <w:pPr>
      <w:pStyle w:val="Footer"/>
      <w:jc w:val="center"/>
      <w:rPr>
        <w:rFonts w:cs="Arial"/>
        <w:sz w:val="14"/>
      </w:rPr>
    </w:pPr>
    <w:r w:rsidRPr="006B3AF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5EA07" w14:textId="77777777" w:rsidR="0070791E" w:rsidRDefault="0070791E">
    <w:pPr>
      <w:pStyle w:val="Footer"/>
      <w:jc w:val="right"/>
    </w:pPr>
  </w:p>
  <w:p w14:paraId="3FBFBD4C" w14:textId="77777777" w:rsidR="0070791E" w:rsidRPr="00DC5912" w:rsidRDefault="0070791E" w:rsidP="00057B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884B0" w14:textId="5D37E1AF" w:rsidR="00057B64" w:rsidRDefault="00256BDC" w:rsidP="00057B6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43D9DB94" w14:textId="17C990EA" w:rsidR="006B3AF1" w:rsidRPr="006B3AF1" w:rsidRDefault="006B3AF1" w:rsidP="006B3AF1">
    <w:pPr>
      <w:pStyle w:val="Footer"/>
      <w:spacing w:before="60" w:line="240" w:lineRule="auto"/>
      <w:jc w:val="center"/>
      <w:rPr>
        <w:rFonts w:cs="Arial"/>
        <w:sz w:val="14"/>
      </w:rPr>
    </w:pPr>
    <w:r w:rsidRPr="006B3AF1">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CB788" w14:textId="2DEF17DB" w:rsidR="00057B64" w:rsidRDefault="00256BDC">
    <w:pPr>
      <w:pStyle w:val="Footer"/>
      <w:jc w:val="right"/>
    </w:pPr>
    <w:r>
      <w:fldChar w:fldCharType="begin"/>
    </w:r>
    <w:r>
      <w:instrText xml:space="preserve"> PAGE   \* MERGEFORMAT </w:instrText>
    </w:r>
    <w:r>
      <w:fldChar w:fldCharType="separate"/>
    </w:r>
    <w:r>
      <w:rPr>
        <w:noProof/>
      </w:rPr>
      <w:t>1</w:t>
    </w:r>
    <w:r>
      <w:fldChar w:fldCharType="end"/>
    </w:r>
  </w:p>
  <w:p w14:paraId="48730918" w14:textId="5610CA90" w:rsidR="008B4B2C" w:rsidRPr="006B3AF1" w:rsidRDefault="006B3AF1" w:rsidP="006B3AF1">
    <w:pPr>
      <w:pStyle w:val="Footer"/>
      <w:spacing w:after="0" w:line="240" w:lineRule="auto"/>
      <w:jc w:val="center"/>
      <w:rPr>
        <w:rFonts w:cs="Arial"/>
        <w:sz w:val="14"/>
        <w:szCs w:val="14"/>
      </w:rPr>
    </w:pPr>
    <w:r w:rsidRPr="006B3AF1">
      <w:rPr>
        <w:rFonts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0E4A7" w14:textId="77777777" w:rsidR="00286CA2" w:rsidRDefault="00286CA2" w:rsidP="0070791E">
      <w:pPr>
        <w:spacing w:after="0" w:line="240" w:lineRule="auto"/>
      </w:pPr>
      <w:r>
        <w:separator/>
      </w:r>
    </w:p>
  </w:footnote>
  <w:footnote w:type="continuationSeparator" w:id="0">
    <w:p w14:paraId="26038555" w14:textId="77777777" w:rsidR="00286CA2" w:rsidRDefault="00286CA2" w:rsidP="00707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76DA2" w14:textId="77777777" w:rsidR="006B3AF1" w:rsidRDefault="006B3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0C102" w14:textId="77777777" w:rsidR="0070791E" w:rsidRPr="00AE2AFF" w:rsidRDefault="0070791E" w:rsidP="00057B6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D5CDA" w14:textId="77777777" w:rsidR="006B3AF1" w:rsidRDefault="006B3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72E33"/>
    <w:multiLevelType w:val="hybridMultilevel"/>
    <w:tmpl w:val="15F226A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17695DCB"/>
    <w:multiLevelType w:val="hybridMultilevel"/>
    <w:tmpl w:val="E4669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296F5D"/>
    <w:multiLevelType w:val="hybridMultilevel"/>
    <w:tmpl w:val="35D23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95728D"/>
    <w:multiLevelType w:val="multilevel"/>
    <w:tmpl w:val="54549D3A"/>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644B59F4"/>
    <w:multiLevelType w:val="hybridMultilevel"/>
    <w:tmpl w:val="75BE819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734E4864"/>
    <w:multiLevelType w:val="hybridMultilevel"/>
    <w:tmpl w:val="2DEAE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91E"/>
    <w:rsid w:val="00075DFE"/>
    <w:rsid w:val="00143C79"/>
    <w:rsid w:val="00156816"/>
    <w:rsid w:val="001C1268"/>
    <w:rsid w:val="00201A8D"/>
    <w:rsid w:val="0020257C"/>
    <w:rsid w:val="00237B42"/>
    <w:rsid w:val="00256BDC"/>
    <w:rsid w:val="00286CA2"/>
    <w:rsid w:val="003622D2"/>
    <w:rsid w:val="003D41CC"/>
    <w:rsid w:val="003E2899"/>
    <w:rsid w:val="003F0BA5"/>
    <w:rsid w:val="003F346B"/>
    <w:rsid w:val="00420AE1"/>
    <w:rsid w:val="00424148"/>
    <w:rsid w:val="00487B8D"/>
    <w:rsid w:val="00494718"/>
    <w:rsid w:val="005276F3"/>
    <w:rsid w:val="00540101"/>
    <w:rsid w:val="005A6BE8"/>
    <w:rsid w:val="005C37E3"/>
    <w:rsid w:val="005C70DA"/>
    <w:rsid w:val="006B2294"/>
    <w:rsid w:val="006B3AF1"/>
    <w:rsid w:val="006E0EC3"/>
    <w:rsid w:val="006E1B35"/>
    <w:rsid w:val="006E2766"/>
    <w:rsid w:val="0070791E"/>
    <w:rsid w:val="0075585B"/>
    <w:rsid w:val="0076204D"/>
    <w:rsid w:val="00834745"/>
    <w:rsid w:val="008411CA"/>
    <w:rsid w:val="00864D2B"/>
    <w:rsid w:val="00881731"/>
    <w:rsid w:val="008B4B2C"/>
    <w:rsid w:val="008B677E"/>
    <w:rsid w:val="00A24733"/>
    <w:rsid w:val="00AE2AFF"/>
    <w:rsid w:val="00B25798"/>
    <w:rsid w:val="00B543B3"/>
    <w:rsid w:val="00B738E8"/>
    <w:rsid w:val="00C03355"/>
    <w:rsid w:val="00C87D23"/>
    <w:rsid w:val="00CD2EFA"/>
    <w:rsid w:val="00CF1159"/>
    <w:rsid w:val="00D06C8C"/>
    <w:rsid w:val="00D2368E"/>
    <w:rsid w:val="00D60DBA"/>
    <w:rsid w:val="00D96CC6"/>
    <w:rsid w:val="00E63572"/>
    <w:rsid w:val="00EF42B6"/>
    <w:rsid w:val="00EF4A2F"/>
    <w:rsid w:val="00F13E2C"/>
    <w:rsid w:val="00F14C71"/>
    <w:rsid w:val="00F202D2"/>
    <w:rsid w:val="00F513F2"/>
    <w:rsid w:val="00F87C74"/>
    <w:rsid w:val="00FF41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4F846"/>
  <w15:chartTrackingRefBased/>
  <w15:docId w15:val="{CF59865A-FF1B-4808-8018-C3DB70EA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91E"/>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70791E"/>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rsid w:val="0070791E"/>
    <w:pPr>
      <w:keepNext/>
      <w:keepLines/>
      <w:spacing w:before="120" w:after="120" w:line="240" w:lineRule="auto"/>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91E"/>
    <w:rPr>
      <w:rFonts w:ascii="Arial" w:eastAsiaTheme="majorEastAsia" w:hAnsi="Arial" w:cs="Times New Roman"/>
      <w:b/>
      <w:bCs/>
      <w:sz w:val="28"/>
      <w:szCs w:val="28"/>
    </w:rPr>
  </w:style>
  <w:style w:type="character" w:customStyle="1" w:styleId="Heading2Char">
    <w:name w:val="Heading 2 Char"/>
    <w:basedOn w:val="DefaultParagraphFont"/>
    <w:link w:val="Heading2"/>
    <w:rsid w:val="0070791E"/>
    <w:rPr>
      <w:rFonts w:ascii="Arial" w:eastAsiaTheme="majorEastAsia" w:hAnsi="Arial" w:cstheme="majorBidi"/>
      <w:b/>
      <w:sz w:val="24"/>
      <w:szCs w:val="26"/>
    </w:rPr>
  </w:style>
  <w:style w:type="paragraph" w:styleId="Header">
    <w:name w:val="header"/>
    <w:basedOn w:val="Normal"/>
    <w:link w:val="HeaderChar"/>
    <w:uiPriority w:val="99"/>
    <w:rsid w:val="0070791E"/>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rsid w:val="0070791E"/>
    <w:rPr>
      <w:rFonts w:ascii="Times New Roman" w:eastAsia="Times New Roman" w:hAnsi="Times New Roman" w:cs="Times New Roman"/>
      <w:sz w:val="24"/>
      <w:szCs w:val="20"/>
      <w:lang w:val="en-GB"/>
    </w:rPr>
  </w:style>
  <w:style w:type="paragraph" w:styleId="Footer">
    <w:name w:val="footer"/>
    <w:basedOn w:val="Normal"/>
    <w:link w:val="FooterChar"/>
    <w:uiPriority w:val="99"/>
    <w:rsid w:val="0070791E"/>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rsid w:val="0070791E"/>
    <w:rPr>
      <w:rFonts w:ascii="Arial" w:eastAsia="Times New Roman" w:hAnsi="Arial" w:cs="Times New Roman"/>
      <w:sz w:val="18"/>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70791E"/>
    <w:pPr>
      <w:spacing w:after="0" w:line="240" w:lineRule="auto"/>
      <w:ind w:left="720"/>
    </w:pPr>
    <w:rPr>
      <w:rFonts w:cs="Calibri"/>
      <w:lang w:eastAsia="en-AU"/>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70791E"/>
    <w:rPr>
      <w:rFonts w:ascii="Calibri" w:eastAsia="Times New Roman" w:hAnsi="Calibri" w:cs="Calibri"/>
      <w:lang w:eastAsia="en-AU"/>
    </w:rPr>
  </w:style>
  <w:style w:type="paragraph" w:styleId="NoSpacing">
    <w:name w:val="No Spacing"/>
    <w:uiPriority w:val="1"/>
    <w:qFormat/>
    <w:rsid w:val="0070791E"/>
    <w:pPr>
      <w:spacing w:after="0" w:line="240" w:lineRule="auto"/>
    </w:pPr>
    <w:rPr>
      <w:rFonts w:ascii="Calibri" w:eastAsia="Times New Roman" w:hAnsi="Calibri" w:cs="Times New Roman"/>
    </w:rPr>
  </w:style>
  <w:style w:type="paragraph" w:styleId="FootnoteText">
    <w:name w:val="footnote text"/>
    <w:basedOn w:val="Normal"/>
    <w:link w:val="FootnoteTextChar"/>
    <w:uiPriority w:val="99"/>
    <w:rsid w:val="0070791E"/>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rsid w:val="0070791E"/>
    <w:rPr>
      <w:rFonts w:ascii="Times New Roman" w:eastAsia="Times New Roman" w:hAnsi="Times New Roman" w:cs="Times New Roman"/>
      <w:sz w:val="20"/>
      <w:szCs w:val="20"/>
      <w:lang w:val="en-GB"/>
    </w:rPr>
  </w:style>
  <w:style w:type="character" w:styleId="FootnoteReference">
    <w:name w:val="footnote reference"/>
    <w:aliases w:val="Footnote number,Footnotes refss"/>
    <w:basedOn w:val="DefaultParagraphFont"/>
    <w:uiPriority w:val="99"/>
    <w:rsid w:val="0070791E"/>
    <w:rPr>
      <w:rFonts w:cs="Times New Roman"/>
      <w:vertAlign w:val="superscript"/>
    </w:rPr>
  </w:style>
  <w:style w:type="paragraph" w:customStyle="1" w:styleId="CS-Paragraphnumbering">
    <w:name w:val="CS - Paragraph numbering"/>
    <w:basedOn w:val="Normal"/>
    <w:rsid w:val="0070791E"/>
    <w:pPr>
      <w:spacing w:after="120"/>
      <w:ind w:right="-45"/>
    </w:pPr>
    <w:rPr>
      <w:rFonts w:asciiTheme="minorHAnsi" w:eastAsiaTheme="minorHAnsi" w:hAnsiTheme="minorHAnsi" w:cstheme="minorBidi"/>
      <w:sz w:val="24"/>
      <w:szCs w:val="24"/>
    </w:rPr>
  </w:style>
  <w:style w:type="character" w:styleId="CommentReference">
    <w:name w:val="annotation reference"/>
    <w:basedOn w:val="DefaultParagraphFont"/>
    <w:uiPriority w:val="99"/>
    <w:semiHidden/>
    <w:unhideWhenUsed/>
    <w:rsid w:val="00143C79"/>
    <w:rPr>
      <w:sz w:val="16"/>
      <w:szCs w:val="16"/>
    </w:rPr>
  </w:style>
  <w:style w:type="paragraph" w:styleId="CommentText">
    <w:name w:val="annotation text"/>
    <w:basedOn w:val="Normal"/>
    <w:link w:val="CommentTextChar"/>
    <w:uiPriority w:val="99"/>
    <w:semiHidden/>
    <w:unhideWhenUsed/>
    <w:rsid w:val="00143C79"/>
    <w:pPr>
      <w:spacing w:line="240" w:lineRule="auto"/>
    </w:pPr>
    <w:rPr>
      <w:sz w:val="20"/>
      <w:szCs w:val="20"/>
    </w:rPr>
  </w:style>
  <w:style w:type="character" w:customStyle="1" w:styleId="CommentTextChar">
    <w:name w:val="Comment Text Char"/>
    <w:basedOn w:val="DefaultParagraphFont"/>
    <w:link w:val="CommentText"/>
    <w:uiPriority w:val="99"/>
    <w:semiHidden/>
    <w:rsid w:val="00143C7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43C79"/>
    <w:rPr>
      <w:b/>
      <w:bCs/>
    </w:rPr>
  </w:style>
  <w:style w:type="character" w:customStyle="1" w:styleId="CommentSubjectChar">
    <w:name w:val="Comment Subject Char"/>
    <w:basedOn w:val="CommentTextChar"/>
    <w:link w:val="CommentSubject"/>
    <w:uiPriority w:val="99"/>
    <w:semiHidden/>
    <w:rsid w:val="00143C79"/>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143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5740</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McAulay, Heather</dc:creator>
  <cp:keywords/>
  <dc:description/>
  <cp:lastModifiedBy>Moxon, KarenL</cp:lastModifiedBy>
  <cp:revision>4</cp:revision>
  <dcterms:created xsi:type="dcterms:W3CDTF">2020-08-27T02:47:00Z</dcterms:created>
  <dcterms:modified xsi:type="dcterms:W3CDTF">2020-08-27T02:47:00Z</dcterms:modified>
</cp:coreProperties>
</file>