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ECE137" w14:textId="0465C705" w:rsidR="00B714D7" w:rsidRPr="00A36E0B" w:rsidRDefault="00B714D7" w:rsidP="00420252">
      <w:pPr>
        <w:autoSpaceDE w:val="0"/>
        <w:autoSpaceDN w:val="0"/>
        <w:adjustRightInd w:val="0"/>
        <w:spacing w:before="0" w:after="240" w:line="360" w:lineRule="auto"/>
        <w:jc w:val="center"/>
        <w:rPr>
          <w:rFonts w:cs="Calibri"/>
          <w:b/>
          <w:bCs/>
          <w:sz w:val="32"/>
          <w:szCs w:val="32"/>
          <w:lang w:eastAsia="en-US"/>
        </w:rPr>
      </w:pPr>
      <w:bookmarkStart w:id="0" w:name="_GoBack"/>
      <w:bookmarkEnd w:id="0"/>
      <w:r w:rsidRPr="00A36E0B">
        <w:rPr>
          <w:rFonts w:cs="Calibri"/>
          <w:b/>
          <w:bCs/>
          <w:sz w:val="32"/>
          <w:szCs w:val="32"/>
          <w:lang w:eastAsia="en-US"/>
        </w:rPr>
        <w:t>20</w:t>
      </w:r>
      <w:r>
        <w:rPr>
          <w:rFonts w:cs="Calibri"/>
          <w:b/>
          <w:bCs/>
          <w:sz w:val="32"/>
          <w:szCs w:val="32"/>
          <w:lang w:eastAsia="en-US"/>
        </w:rPr>
        <w:t>20</w:t>
      </w:r>
    </w:p>
    <w:p w14:paraId="3888CADB" w14:textId="77777777" w:rsidR="00B714D7" w:rsidRPr="00A36E0B" w:rsidRDefault="00B714D7" w:rsidP="00420252">
      <w:pPr>
        <w:autoSpaceDE w:val="0"/>
        <w:autoSpaceDN w:val="0"/>
        <w:adjustRightInd w:val="0"/>
        <w:spacing w:before="0" w:after="240" w:line="360" w:lineRule="auto"/>
        <w:jc w:val="center"/>
        <w:rPr>
          <w:rFonts w:cs="Calibri"/>
          <w:b/>
          <w:bCs/>
          <w:sz w:val="32"/>
          <w:szCs w:val="32"/>
          <w:lang w:eastAsia="en-US"/>
        </w:rPr>
      </w:pPr>
    </w:p>
    <w:p w14:paraId="72DAFF29" w14:textId="77777777" w:rsidR="00B714D7" w:rsidRPr="00A36E0B" w:rsidRDefault="00B714D7" w:rsidP="00420252">
      <w:pPr>
        <w:autoSpaceDE w:val="0"/>
        <w:autoSpaceDN w:val="0"/>
        <w:adjustRightInd w:val="0"/>
        <w:spacing w:before="0" w:after="240" w:line="360" w:lineRule="auto"/>
        <w:jc w:val="center"/>
        <w:rPr>
          <w:rFonts w:cs="Calibri"/>
          <w:b/>
          <w:bCs/>
          <w:sz w:val="32"/>
          <w:szCs w:val="32"/>
          <w:lang w:eastAsia="en-US"/>
        </w:rPr>
      </w:pPr>
      <w:r w:rsidRPr="00A36E0B">
        <w:rPr>
          <w:rFonts w:cs="Calibri"/>
          <w:b/>
          <w:bCs/>
          <w:sz w:val="32"/>
          <w:szCs w:val="32"/>
          <w:lang w:eastAsia="en-US"/>
        </w:rPr>
        <w:t>THE LEGISLATIVE ASSEMBLY FOR THE</w:t>
      </w:r>
    </w:p>
    <w:p w14:paraId="567BAC4C" w14:textId="77777777" w:rsidR="00B714D7" w:rsidRPr="00A36E0B" w:rsidRDefault="00B714D7" w:rsidP="00420252">
      <w:pPr>
        <w:autoSpaceDE w:val="0"/>
        <w:autoSpaceDN w:val="0"/>
        <w:adjustRightInd w:val="0"/>
        <w:spacing w:before="0" w:after="240" w:line="360" w:lineRule="auto"/>
        <w:jc w:val="center"/>
        <w:rPr>
          <w:rFonts w:cs="Calibri"/>
          <w:b/>
          <w:bCs/>
          <w:sz w:val="32"/>
          <w:szCs w:val="32"/>
          <w:lang w:eastAsia="en-US"/>
        </w:rPr>
      </w:pPr>
      <w:r w:rsidRPr="00A36E0B">
        <w:rPr>
          <w:rFonts w:cs="Calibri"/>
          <w:b/>
          <w:bCs/>
          <w:sz w:val="32"/>
          <w:szCs w:val="32"/>
          <w:lang w:eastAsia="en-US"/>
        </w:rPr>
        <w:t>AUSTRALIAN CAPITAL TERRITORY</w:t>
      </w:r>
    </w:p>
    <w:p w14:paraId="618DC8BB" w14:textId="77777777" w:rsidR="00B714D7" w:rsidRPr="00A36E0B" w:rsidRDefault="00B714D7" w:rsidP="00420252">
      <w:pPr>
        <w:autoSpaceDE w:val="0"/>
        <w:autoSpaceDN w:val="0"/>
        <w:adjustRightInd w:val="0"/>
        <w:spacing w:before="0" w:after="240" w:line="360" w:lineRule="auto"/>
        <w:jc w:val="center"/>
        <w:rPr>
          <w:rFonts w:cs="Calibri"/>
          <w:b/>
          <w:bCs/>
          <w:sz w:val="32"/>
          <w:szCs w:val="32"/>
          <w:lang w:eastAsia="en-US"/>
        </w:rPr>
      </w:pPr>
    </w:p>
    <w:p w14:paraId="175AA812" w14:textId="77777777" w:rsidR="00B714D7" w:rsidRPr="00A36E0B" w:rsidRDefault="00B714D7" w:rsidP="00420252">
      <w:pPr>
        <w:autoSpaceDE w:val="0"/>
        <w:autoSpaceDN w:val="0"/>
        <w:adjustRightInd w:val="0"/>
        <w:spacing w:before="0" w:after="240" w:line="360" w:lineRule="auto"/>
        <w:jc w:val="center"/>
        <w:rPr>
          <w:rFonts w:cs="Calibri"/>
          <w:b/>
          <w:bCs/>
          <w:sz w:val="32"/>
          <w:szCs w:val="32"/>
          <w:lang w:eastAsia="en-US"/>
        </w:rPr>
      </w:pPr>
    </w:p>
    <w:p w14:paraId="0BEE70DE" w14:textId="77777777" w:rsidR="00B714D7" w:rsidRPr="00A36E0B" w:rsidRDefault="00B714D7" w:rsidP="00420252">
      <w:pPr>
        <w:autoSpaceDE w:val="0"/>
        <w:autoSpaceDN w:val="0"/>
        <w:adjustRightInd w:val="0"/>
        <w:spacing w:before="0" w:after="240" w:line="360" w:lineRule="auto"/>
        <w:jc w:val="center"/>
        <w:rPr>
          <w:rFonts w:cs="Calibri"/>
          <w:b/>
          <w:bCs/>
          <w:sz w:val="32"/>
          <w:szCs w:val="32"/>
          <w:lang w:eastAsia="en-US"/>
        </w:rPr>
      </w:pPr>
    </w:p>
    <w:p w14:paraId="556C9C36" w14:textId="77777777" w:rsidR="00B714D7" w:rsidRPr="00A36E0B" w:rsidRDefault="00B714D7" w:rsidP="00420252">
      <w:pPr>
        <w:autoSpaceDE w:val="0"/>
        <w:autoSpaceDN w:val="0"/>
        <w:adjustRightInd w:val="0"/>
        <w:spacing w:before="0" w:after="240" w:line="360" w:lineRule="auto"/>
        <w:jc w:val="center"/>
        <w:rPr>
          <w:rFonts w:cs="Calibri"/>
          <w:b/>
          <w:bCs/>
          <w:sz w:val="32"/>
          <w:szCs w:val="32"/>
          <w:lang w:eastAsia="en-US"/>
        </w:rPr>
      </w:pPr>
    </w:p>
    <w:p w14:paraId="42B199DC" w14:textId="03E46C30" w:rsidR="00B714D7" w:rsidRPr="00A36E0B" w:rsidRDefault="00B714D7" w:rsidP="00420252">
      <w:pPr>
        <w:autoSpaceDE w:val="0"/>
        <w:autoSpaceDN w:val="0"/>
        <w:adjustRightInd w:val="0"/>
        <w:spacing w:before="0" w:after="240" w:line="360" w:lineRule="auto"/>
        <w:jc w:val="center"/>
        <w:rPr>
          <w:rFonts w:cs="Calibri"/>
          <w:b/>
          <w:bCs/>
          <w:sz w:val="32"/>
          <w:szCs w:val="32"/>
          <w:lang w:eastAsia="en-US"/>
        </w:rPr>
      </w:pPr>
      <w:r>
        <w:rPr>
          <w:rFonts w:cs="Calibri"/>
          <w:b/>
          <w:bCs/>
          <w:sz w:val="32"/>
          <w:szCs w:val="32"/>
          <w:lang w:eastAsia="en-US"/>
        </w:rPr>
        <w:t>LOOSE-FILL ASBESTOS LEGISLATION AMENDMENT BILL 2020</w:t>
      </w:r>
    </w:p>
    <w:p w14:paraId="32686962" w14:textId="77777777" w:rsidR="00B714D7" w:rsidRPr="00A36E0B" w:rsidRDefault="00B714D7" w:rsidP="00420252">
      <w:pPr>
        <w:autoSpaceDE w:val="0"/>
        <w:autoSpaceDN w:val="0"/>
        <w:adjustRightInd w:val="0"/>
        <w:spacing w:before="0" w:after="240" w:line="360" w:lineRule="auto"/>
        <w:jc w:val="center"/>
        <w:rPr>
          <w:rFonts w:cs="Calibri"/>
          <w:b/>
          <w:bCs/>
          <w:sz w:val="32"/>
          <w:szCs w:val="32"/>
          <w:lang w:eastAsia="en-US"/>
        </w:rPr>
      </w:pPr>
    </w:p>
    <w:p w14:paraId="15440EE5" w14:textId="77777777" w:rsidR="00D47367" w:rsidRPr="0017050A" w:rsidRDefault="00D47367" w:rsidP="00D47367">
      <w:pPr>
        <w:pStyle w:val="NoSpacing"/>
        <w:jc w:val="center"/>
        <w:rPr>
          <w:b/>
          <w:bCs/>
          <w:sz w:val="32"/>
          <w:szCs w:val="32"/>
          <w:lang w:eastAsia="en-US"/>
        </w:rPr>
      </w:pPr>
      <w:r w:rsidRPr="0017050A">
        <w:rPr>
          <w:b/>
          <w:bCs/>
          <w:sz w:val="32"/>
          <w:szCs w:val="32"/>
          <w:lang w:eastAsia="en-US"/>
        </w:rPr>
        <w:t>EXPLANATORY STATEMENT</w:t>
      </w:r>
    </w:p>
    <w:p w14:paraId="6EFC23E1" w14:textId="77777777" w:rsidR="00D47367" w:rsidRPr="0017050A" w:rsidRDefault="00D47367" w:rsidP="00D47367">
      <w:pPr>
        <w:pStyle w:val="NoSpacing"/>
        <w:jc w:val="center"/>
        <w:rPr>
          <w:b/>
          <w:bCs/>
          <w:sz w:val="32"/>
          <w:szCs w:val="32"/>
          <w:lang w:eastAsia="en-US"/>
        </w:rPr>
      </w:pPr>
      <w:r w:rsidRPr="0017050A">
        <w:rPr>
          <w:b/>
          <w:bCs/>
          <w:sz w:val="32"/>
          <w:szCs w:val="32"/>
          <w:lang w:eastAsia="en-US"/>
        </w:rPr>
        <w:t>and</w:t>
      </w:r>
    </w:p>
    <w:p w14:paraId="59F973E2" w14:textId="77777777" w:rsidR="00D47367" w:rsidRPr="0017050A" w:rsidRDefault="00D47367" w:rsidP="00D47367">
      <w:pPr>
        <w:pStyle w:val="NoSpacing"/>
        <w:jc w:val="center"/>
        <w:rPr>
          <w:b/>
          <w:bCs/>
          <w:sz w:val="32"/>
          <w:szCs w:val="32"/>
          <w:lang w:eastAsia="en-US"/>
        </w:rPr>
      </w:pPr>
      <w:r w:rsidRPr="0017050A">
        <w:rPr>
          <w:b/>
          <w:bCs/>
          <w:sz w:val="32"/>
          <w:szCs w:val="32"/>
          <w:lang w:eastAsia="en-US"/>
        </w:rPr>
        <w:t>HUMAN RIGHTS COMPATIBILITY STATEMENT</w:t>
      </w:r>
    </w:p>
    <w:p w14:paraId="51DF9CC3" w14:textId="77777777" w:rsidR="00D47367" w:rsidRPr="0017050A" w:rsidRDefault="00D47367" w:rsidP="00D47367">
      <w:pPr>
        <w:pStyle w:val="NoSpacing"/>
        <w:jc w:val="center"/>
        <w:rPr>
          <w:b/>
          <w:bCs/>
          <w:sz w:val="32"/>
          <w:szCs w:val="32"/>
          <w:lang w:eastAsia="en-US"/>
        </w:rPr>
      </w:pPr>
      <w:r w:rsidRPr="0017050A">
        <w:rPr>
          <w:b/>
          <w:bCs/>
          <w:sz w:val="32"/>
          <w:szCs w:val="32"/>
          <w:lang w:eastAsia="en-US"/>
        </w:rPr>
        <w:t>(</w:t>
      </w:r>
      <w:r w:rsidRPr="0017050A">
        <w:rPr>
          <w:b/>
          <w:bCs/>
          <w:i/>
          <w:iCs/>
          <w:sz w:val="32"/>
          <w:szCs w:val="32"/>
          <w:lang w:eastAsia="en-US"/>
        </w:rPr>
        <w:t xml:space="preserve">Human Rights Act 2004, </w:t>
      </w:r>
      <w:r w:rsidRPr="0017050A">
        <w:rPr>
          <w:b/>
          <w:bCs/>
          <w:sz w:val="32"/>
          <w:szCs w:val="32"/>
          <w:lang w:eastAsia="en-US"/>
        </w:rPr>
        <w:t>s 37)</w:t>
      </w:r>
    </w:p>
    <w:p w14:paraId="0BC8AD28" w14:textId="77777777" w:rsidR="00B714D7" w:rsidRPr="00A36E0B" w:rsidRDefault="00B714D7" w:rsidP="00420252">
      <w:pPr>
        <w:autoSpaceDE w:val="0"/>
        <w:autoSpaceDN w:val="0"/>
        <w:adjustRightInd w:val="0"/>
        <w:spacing w:before="0" w:after="240" w:line="360" w:lineRule="auto"/>
        <w:jc w:val="center"/>
        <w:rPr>
          <w:rFonts w:cs="Calibri"/>
          <w:szCs w:val="24"/>
          <w:lang w:eastAsia="en-US"/>
        </w:rPr>
      </w:pPr>
    </w:p>
    <w:p w14:paraId="32C61AD0" w14:textId="77777777" w:rsidR="00B714D7" w:rsidRPr="00A36E0B" w:rsidRDefault="00B714D7" w:rsidP="00420252">
      <w:pPr>
        <w:autoSpaceDE w:val="0"/>
        <w:autoSpaceDN w:val="0"/>
        <w:adjustRightInd w:val="0"/>
        <w:spacing w:before="0" w:after="240" w:line="360" w:lineRule="auto"/>
        <w:jc w:val="center"/>
        <w:rPr>
          <w:rFonts w:cs="Calibri"/>
          <w:szCs w:val="24"/>
          <w:lang w:eastAsia="en-US"/>
        </w:rPr>
      </w:pPr>
    </w:p>
    <w:p w14:paraId="74FF7141" w14:textId="77777777" w:rsidR="00B714D7" w:rsidRPr="00A36E0B" w:rsidRDefault="00B714D7" w:rsidP="00420252">
      <w:pPr>
        <w:autoSpaceDE w:val="0"/>
        <w:autoSpaceDN w:val="0"/>
        <w:adjustRightInd w:val="0"/>
        <w:spacing w:before="0" w:after="240" w:line="360" w:lineRule="auto"/>
        <w:jc w:val="center"/>
        <w:rPr>
          <w:rFonts w:cs="Calibri"/>
          <w:szCs w:val="24"/>
          <w:lang w:eastAsia="en-US"/>
        </w:rPr>
      </w:pPr>
    </w:p>
    <w:p w14:paraId="59A6D4A3" w14:textId="77777777" w:rsidR="00B714D7" w:rsidRPr="00A36E0B" w:rsidRDefault="00B714D7" w:rsidP="00420252">
      <w:pPr>
        <w:autoSpaceDE w:val="0"/>
        <w:autoSpaceDN w:val="0"/>
        <w:adjustRightInd w:val="0"/>
        <w:spacing w:before="0" w:after="240" w:line="360" w:lineRule="auto"/>
        <w:jc w:val="right"/>
        <w:rPr>
          <w:rFonts w:cs="Calibri"/>
          <w:sz w:val="23"/>
          <w:szCs w:val="23"/>
          <w:lang w:eastAsia="en-US"/>
        </w:rPr>
      </w:pPr>
      <w:r w:rsidRPr="00A36E0B">
        <w:rPr>
          <w:rFonts w:cs="Calibri"/>
          <w:sz w:val="23"/>
          <w:szCs w:val="23"/>
          <w:lang w:eastAsia="en-US"/>
        </w:rPr>
        <w:t>Presented by</w:t>
      </w:r>
    </w:p>
    <w:p w14:paraId="70385E28" w14:textId="71D157A9" w:rsidR="00B714D7" w:rsidRPr="00A36E0B" w:rsidRDefault="00B714D7" w:rsidP="00420252">
      <w:pPr>
        <w:autoSpaceDE w:val="0"/>
        <w:autoSpaceDN w:val="0"/>
        <w:adjustRightInd w:val="0"/>
        <w:spacing w:before="0" w:after="240" w:line="360" w:lineRule="auto"/>
        <w:jc w:val="right"/>
        <w:rPr>
          <w:rFonts w:cs="Calibri"/>
          <w:sz w:val="23"/>
          <w:szCs w:val="23"/>
          <w:lang w:eastAsia="en-US"/>
        </w:rPr>
      </w:pPr>
      <w:r w:rsidRPr="00A36E0B">
        <w:rPr>
          <w:rFonts w:cs="Calibri"/>
          <w:sz w:val="23"/>
          <w:szCs w:val="23"/>
          <w:lang w:eastAsia="en-US"/>
        </w:rPr>
        <w:t>M</w:t>
      </w:r>
      <w:r>
        <w:rPr>
          <w:rFonts w:cs="Calibri"/>
          <w:sz w:val="23"/>
          <w:szCs w:val="23"/>
          <w:lang w:eastAsia="en-US"/>
        </w:rPr>
        <w:t>s Suzanne Orr</w:t>
      </w:r>
      <w:r w:rsidRPr="00A36E0B">
        <w:rPr>
          <w:rFonts w:cs="Calibri"/>
          <w:sz w:val="23"/>
          <w:szCs w:val="23"/>
          <w:lang w:eastAsia="en-US"/>
        </w:rPr>
        <w:t xml:space="preserve"> MLA</w:t>
      </w:r>
    </w:p>
    <w:p w14:paraId="3D8128C8" w14:textId="2D9BDBC0" w:rsidR="00B714D7" w:rsidRPr="00A36E0B" w:rsidRDefault="00B714D7" w:rsidP="00420252">
      <w:pPr>
        <w:spacing w:before="0" w:after="240" w:line="360" w:lineRule="auto"/>
        <w:jc w:val="right"/>
        <w:rPr>
          <w:rFonts w:cs="Calibri"/>
          <w:sz w:val="23"/>
          <w:szCs w:val="23"/>
          <w:lang w:eastAsia="en-US"/>
        </w:rPr>
      </w:pPr>
      <w:r w:rsidRPr="00A36E0B">
        <w:rPr>
          <w:rFonts w:cs="Calibri"/>
          <w:sz w:val="23"/>
          <w:szCs w:val="23"/>
          <w:lang w:eastAsia="en-US"/>
        </w:rPr>
        <w:t xml:space="preserve">Minister for </w:t>
      </w:r>
      <w:r w:rsidR="00D94427">
        <w:rPr>
          <w:rFonts w:cs="Calibri"/>
          <w:sz w:val="23"/>
          <w:szCs w:val="23"/>
          <w:lang w:eastAsia="en-US"/>
        </w:rPr>
        <w:t>Employment and Workplace Safety</w:t>
      </w:r>
    </w:p>
    <w:p w14:paraId="4F7A6673" w14:textId="2B16E577" w:rsidR="00B714D7" w:rsidRPr="0045331A" w:rsidRDefault="00B714D7" w:rsidP="00420252">
      <w:pPr>
        <w:spacing w:line="360" w:lineRule="auto"/>
        <w:rPr>
          <w:rFonts w:asciiTheme="minorHAnsi" w:hAnsiTheme="minorHAnsi" w:cs="Arial"/>
          <w:szCs w:val="24"/>
        </w:rPr>
      </w:pPr>
      <w:r w:rsidRPr="0045331A">
        <w:rPr>
          <w:rFonts w:asciiTheme="minorHAnsi" w:hAnsiTheme="minorHAnsi" w:cs="Calibri"/>
          <w:szCs w:val="24"/>
        </w:rPr>
        <w:lastRenderedPageBreak/>
        <w:t xml:space="preserve">This explanatory statement relates to the </w:t>
      </w:r>
      <w:r w:rsidR="00403039">
        <w:rPr>
          <w:rFonts w:asciiTheme="minorHAnsi" w:hAnsiTheme="minorHAnsi" w:cs="Calibri"/>
          <w:i/>
          <w:szCs w:val="24"/>
        </w:rPr>
        <w:t>Loose-fill Asbestos Legislation Amendment Bill 2020</w:t>
      </w:r>
      <w:r w:rsidRPr="0045331A">
        <w:rPr>
          <w:rFonts w:asciiTheme="minorHAnsi" w:hAnsiTheme="minorHAnsi" w:cs="Calibri"/>
          <w:i/>
          <w:szCs w:val="24"/>
        </w:rPr>
        <w:t xml:space="preserve"> </w:t>
      </w:r>
      <w:r w:rsidRPr="008126EA">
        <w:rPr>
          <w:rFonts w:asciiTheme="minorHAnsi" w:hAnsiTheme="minorHAnsi" w:cs="Calibri"/>
          <w:iCs/>
          <w:szCs w:val="24"/>
        </w:rPr>
        <w:t>(the Bill</w:t>
      </w:r>
      <w:r w:rsidRPr="0045331A">
        <w:rPr>
          <w:rFonts w:asciiTheme="minorHAnsi" w:hAnsiTheme="minorHAnsi" w:cs="Calibri"/>
          <w:i/>
          <w:szCs w:val="24"/>
        </w:rPr>
        <w:t xml:space="preserve">) </w:t>
      </w:r>
      <w:r w:rsidRPr="00403039">
        <w:rPr>
          <w:rFonts w:asciiTheme="minorHAnsi" w:hAnsiTheme="minorHAnsi" w:cs="Calibri"/>
          <w:iCs/>
          <w:szCs w:val="24"/>
        </w:rPr>
        <w:t>as presented to the Legislative Assembly</w:t>
      </w:r>
      <w:r w:rsidRPr="0045331A">
        <w:rPr>
          <w:rFonts w:asciiTheme="minorHAnsi" w:hAnsiTheme="minorHAnsi" w:cs="Calibri"/>
          <w:i/>
          <w:szCs w:val="24"/>
        </w:rPr>
        <w:t xml:space="preserve">. </w:t>
      </w:r>
      <w:r w:rsidRPr="0045331A">
        <w:rPr>
          <w:rFonts w:asciiTheme="minorHAnsi" w:hAnsiTheme="minorHAnsi" w:cs="Arial"/>
          <w:szCs w:val="24"/>
        </w:rPr>
        <w:t>It has been prepared in order to assist the reader of the Bill and to help inform debate. It does not form part of the Bill and has not been endorsed by the Legislative Assembly.</w:t>
      </w:r>
    </w:p>
    <w:p w14:paraId="25B9281D" w14:textId="77777777" w:rsidR="00B714D7" w:rsidRPr="0045331A" w:rsidRDefault="00B714D7" w:rsidP="00420252">
      <w:pPr>
        <w:spacing w:line="360" w:lineRule="auto"/>
        <w:rPr>
          <w:rFonts w:asciiTheme="minorHAnsi" w:hAnsiTheme="minorHAnsi" w:cs="Arial"/>
          <w:szCs w:val="24"/>
        </w:rPr>
      </w:pPr>
      <w:r w:rsidRPr="0045331A">
        <w:rPr>
          <w:rFonts w:asciiTheme="minorHAnsi" w:hAnsiTheme="minorHAnsi" w:cs="Arial"/>
          <w:szCs w:val="24"/>
        </w:rPr>
        <w:t>The Statement must be read in conjunction with the Bill. It is not, and is meant to be, a comprehensive description of the Bill. What is said about a provision is not to be taken as an authoritative guide to the meaning of a provision, this being a task for the courts.</w:t>
      </w:r>
    </w:p>
    <w:p w14:paraId="4B44AE4F" w14:textId="64ECDC02" w:rsidR="00B714D7" w:rsidRPr="008126EA" w:rsidRDefault="008126EA" w:rsidP="008126EA">
      <w:pPr>
        <w:pStyle w:val="Heading2"/>
      </w:pPr>
      <w:r>
        <w:t>BACKGROUND</w:t>
      </w:r>
    </w:p>
    <w:p w14:paraId="3FBB29DA" w14:textId="79D0B9F7" w:rsidR="00B714D7" w:rsidRDefault="00B714D7" w:rsidP="00420252">
      <w:pPr>
        <w:autoSpaceDE w:val="0"/>
        <w:autoSpaceDN w:val="0"/>
        <w:adjustRightInd w:val="0"/>
        <w:spacing w:after="120" w:line="360" w:lineRule="auto"/>
        <w:rPr>
          <w:rFonts w:cs="Calibri"/>
          <w:iCs/>
          <w:szCs w:val="24"/>
        </w:rPr>
      </w:pPr>
      <w:r w:rsidRPr="00EF3924">
        <w:rPr>
          <w:rFonts w:cs="Calibri"/>
          <w:szCs w:val="24"/>
        </w:rPr>
        <w:t xml:space="preserve">The </w:t>
      </w:r>
      <w:r w:rsidR="00F8584C">
        <w:rPr>
          <w:rFonts w:cs="Calibri"/>
          <w:szCs w:val="24"/>
        </w:rPr>
        <w:t>Bill</w:t>
      </w:r>
      <w:r w:rsidRPr="00EF3924">
        <w:rPr>
          <w:rFonts w:cs="Calibri"/>
          <w:iCs/>
          <w:szCs w:val="24"/>
        </w:rPr>
        <w:t xml:space="preserve"> contains amendments to </w:t>
      </w:r>
      <w:r w:rsidR="00984E56">
        <w:rPr>
          <w:rFonts w:cs="Calibri"/>
          <w:iCs/>
          <w:szCs w:val="24"/>
        </w:rPr>
        <w:t xml:space="preserve">implement a range of initiatives to assist in managing any properties affected by loose-fill asbestos insultation that remain privately owned after </w:t>
      </w:r>
      <w:r w:rsidR="005F1522">
        <w:rPr>
          <w:rFonts w:cs="Calibri"/>
          <w:iCs/>
          <w:szCs w:val="24"/>
        </w:rPr>
        <w:t>30</w:t>
      </w:r>
      <w:r w:rsidR="00F8584C">
        <w:rPr>
          <w:rFonts w:cs="Calibri"/>
          <w:iCs/>
          <w:szCs w:val="24"/>
        </w:rPr>
        <w:t> </w:t>
      </w:r>
      <w:r w:rsidR="005F1522">
        <w:rPr>
          <w:rFonts w:cs="Calibri"/>
          <w:iCs/>
          <w:szCs w:val="24"/>
        </w:rPr>
        <w:t>June</w:t>
      </w:r>
      <w:r w:rsidR="008126EA">
        <w:rPr>
          <w:rFonts w:cs="Calibri"/>
          <w:iCs/>
          <w:szCs w:val="24"/>
        </w:rPr>
        <w:t xml:space="preserve"> </w:t>
      </w:r>
      <w:r w:rsidR="00984E56">
        <w:rPr>
          <w:rFonts w:cs="Calibri"/>
          <w:iCs/>
          <w:szCs w:val="24"/>
        </w:rPr>
        <w:t xml:space="preserve">2020. </w:t>
      </w:r>
    </w:p>
    <w:p w14:paraId="67C02B26" w14:textId="1E529768" w:rsidR="00810F44" w:rsidRPr="00214C40" w:rsidRDefault="00984E56" w:rsidP="00420252">
      <w:pPr>
        <w:autoSpaceDE w:val="0"/>
        <w:autoSpaceDN w:val="0"/>
        <w:adjustRightInd w:val="0"/>
        <w:spacing w:after="120" w:line="360" w:lineRule="auto"/>
        <w:rPr>
          <w:rFonts w:cs="Calibri"/>
          <w:iCs/>
          <w:szCs w:val="24"/>
        </w:rPr>
      </w:pPr>
      <w:r>
        <w:rPr>
          <w:rFonts w:cs="Calibri"/>
          <w:iCs/>
          <w:szCs w:val="24"/>
        </w:rPr>
        <w:t>The Loose-Fill Asbestos Insulation Eradication Scheme</w:t>
      </w:r>
      <w:r w:rsidR="00F8584C">
        <w:rPr>
          <w:rFonts w:cs="Calibri"/>
          <w:iCs/>
          <w:szCs w:val="24"/>
        </w:rPr>
        <w:t xml:space="preserve"> (the Scheme)</w:t>
      </w:r>
      <w:r>
        <w:rPr>
          <w:rFonts w:cs="Calibri"/>
          <w:iCs/>
          <w:szCs w:val="24"/>
        </w:rPr>
        <w:t xml:space="preserve"> buyback program ends on </w:t>
      </w:r>
      <w:r w:rsidR="0016099E">
        <w:rPr>
          <w:rFonts w:cs="Calibri"/>
          <w:iCs/>
          <w:szCs w:val="24"/>
        </w:rPr>
        <w:t>30 June 2020</w:t>
      </w:r>
      <w:r w:rsidR="004559BE">
        <w:rPr>
          <w:rFonts w:cs="Calibri"/>
          <w:iCs/>
          <w:szCs w:val="24"/>
        </w:rPr>
        <w:t xml:space="preserve">. Under the Scheme, the ACT Government offered to purchase, at market value, all affected Canberra houses to enable government facilitated demolition and </w:t>
      </w:r>
      <w:r w:rsidR="004559BE" w:rsidRPr="005F1522">
        <w:rPr>
          <w:rFonts w:cs="Calibri"/>
          <w:iCs/>
          <w:szCs w:val="24"/>
        </w:rPr>
        <w:t xml:space="preserve">sale </w:t>
      </w:r>
      <w:r w:rsidR="0016099E" w:rsidRPr="005F1522">
        <w:rPr>
          <w:rFonts w:cs="Calibri"/>
          <w:iCs/>
          <w:szCs w:val="24"/>
        </w:rPr>
        <w:t xml:space="preserve">of the remediated </w:t>
      </w:r>
      <w:r w:rsidR="003056FC">
        <w:rPr>
          <w:rFonts w:cs="Calibri"/>
          <w:iCs/>
          <w:szCs w:val="24"/>
        </w:rPr>
        <w:t>block</w:t>
      </w:r>
      <w:r w:rsidR="008126EA">
        <w:rPr>
          <w:rFonts w:cs="Calibri"/>
          <w:iCs/>
          <w:szCs w:val="24"/>
        </w:rPr>
        <w:t>s</w:t>
      </w:r>
      <w:r w:rsidR="0016099E" w:rsidRPr="005F1522">
        <w:rPr>
          <w:rFonts w:cs="Calibri"/>
          <w:iCs/>
          <w:szCs w:val="24"/>
        </w:rPr>
        <w:t>.</w:t>
      </w:r>
      <w:r w:rsidR="00560A4B" w:rsidRPr="00214C40">
        <w:rPr>
          <w:rFonts w:cs="Calibri"/>
          <w:iCs/>
          <w:szCs w:val="24"/>
        </w:rPr>
        <w:t xml:space="preserve"> </w:t>
      </w:r>
    </w:p>
    <w:p w14:paraId="106C3BB6" w14:textId="2CA6963F" w:rsidR="0091104D" w:rsidRPr="00214C40" w:rsidRDefault="0018655C" w:rsidP="00420252">
      <w:pPr>
        <w:autoSpaceDE w:val="0"/>
        <w:autoSpaceDN w:val="0"/>
        <w:adjustRightInd w:val="0"/>
        <w:spacing w:after="120" w:line="360" w:lineRule="auto"/>
        <w:rPr>
          <w:rFonts w:cs="Arial"/>
          <w:szCs w:val="24"/>
        </w:rPr>
      </w:pPr>
      <w:r w:rsidRPr="00214C40">
        <w:rPr>
          <w:rFonts w:cs="Arial"/>
          <w:szCs w:val="24"/>
        </w:rPr>
        <w:t>The amendments</w:t>
      </w:r>
      <w:r w:rsidR="0091104D" w:rsidRPr="00214C40">
        <w:rPr>
          <w:rFonts w:cs="Arial"/>
          <w:szCs w:val="24"/>
        </w:rPr>
        <w:t xml:space="preserve"> in this Bill</w:t>
      </w:r>
      <w:r w:rsidRPr="00214C40">
        <w:rPr>
          <w:rFonts w:cs="Arial"/>
          <w:szCs w:val="24"/>
        </w:rPr>
        <w:t xml:space="preserve"> aim to </w:t>
      </w:r>
      <w:r w:rsidR="0091104D" w:rsidRPr="00214C40">
        <w:rPr>
          <w:rFonts w:cs="Arial"/>
          <w:szCs w:val="24"/>
        </w:rPr>
        <w:t xml:space="preserve">provide greater safety to </w:t>
      </w:r>
      <w:r w:rsidRPr="00214C40">
        <w:rPr>
          <w:rFonts w:cs="Arial"/>
          <w:szCs w:val="24"/>
        </w:rPr>
        <w:t>tradespeople</w:t>
      </w:r>
      <w:r w:rsidR="005F1522" w:rsidRPr="008126EA">
        <w:rPr>
          <w:rFonts w:cs="Arial"/>
          <w:szCs w:val="24"/>
        </w:rPr>
        <w:t>, care workers</w:t>
      </w:r>
      <w:r w:rsidRPr="005F1522">
        <w:rPr>
          <w:rFonts w:cs="Arial"/>
          <w:szCs w:val="24"/>
        </w:rPr>
        <w:t xml:space="preserve"> and other people </w:t>
      </w:r>
      <w:r w:rsidR="005F1522" w:rsidRPr="008126EA">
        <w:rPr>
          <w:rFonts w:cs="Arial"/>
          <w:szCs w:val="24"/>
        </w:rPr>
        <w:t>who</w:t>
      </w:r>
      <w:r w:rsidRPr="005F1522">
        <w:rPr>
          <w:rFonts w:cs="Arial"/>
          <w:szCs w:val="24"/>
        </w:rPr>
        <w:t xml:space="preserve"> </w:t>
      </w:r>
      <w:r w:rsidR="00F8584C">
        <w:rPr>
          <w:rFonts w:cs="Arial"/>
          <w:szCs w:val="24"/>
        </w:rPr>
        <w:t xml:space="preserve">live at or </w:t>
      </w:r>
      <w:r w:rsidRPr="005F1522">
        <w:rPr>
          <w:rFonts w:cs="Arial"/>
          <w:szCs w:val="24"/>
        </w:rPr>
        <w:t xml:space="preserve">attend affected </w:t>
      </w:r>
      <w:r w:rsidR="00F8584C">
        <w:rPr>
          <w:rFonts w:cs="Arial"/>
          <w:szCs w:val="24"/>
        </w:rPr>
        <w:t xml:space="preserve">premises.  This is achieved </w:t>
      </w:r>
      <w:r w:rsidR="00780C21" w:rsidRPr="00214C40">
        <w:rPr>
          <w:rFonts w:cs="Arial"/>
          <w:szCs w:val="24"/>
        </w:rPr>
        <w:t xml:space="preserve">by restricting the nature of works that can be </w:t>
      </w:r>
      <w:r w:rsidR="00F8584C" w:rsidRPr="00214C40">
        <w:rPr>
          <w:rFonts w:cs="Arial"/>
          <w:szCs w:val="24"/>
        </w:rPr>
        <w:t>undertaken and</w:t>
      </w:r>
      <w:r w:rsidR="00F8584C">
        <w:rPr>
          <w:rFonts w:cs="Arial"/>
          <w:szCs w:val="24"/>
        </w:rPr>
        <w:t xml:space="preserve"> providing</w:t>
      </w:r>
      <w:r w:rsidR="00B65E45" w:rsidRPr="00214C40">
        <w:rPr>
          <w:rFonts w:cs="Arial"/>
          <w:szCs w:val="24"/>
        </w:rPr>
        <w:t xml:space="preserve"> easy access to information about </w:t>
      </w:r>
      <w:r w:rsidR="005F1522" w:rsidRPr="008126EA">
        <w:rPr>
          <w:rFonts w:cs="Arial"/>
          <w:szCs w:val="24"/>
        </w:rPr>
        <w:t xml:space="preserve">the asbestos </w:t>
      </w:r>
      <w:r w:rsidR="00B65E45" w:rsidRPr="005F1522">
        <w:rPr>
          <w:rFonts w:cs="Arial"/>
          <w:szCs w:val="24"/>
        </w:rPr>
        <w:t xml:space="preserve">contamination, so </w:t>
      </w:r>
      <w:r w:rsidR="00F8584C">
        <w:rPr>
          <w:rFonts w:cs="Arial"/>
          <w:szCs w:val="24"/>
        </w:rPr>
        <w:t xml:space="preserve">each person </w:t>
      </w:r>
      <w:r w:rsidR="005F1522" w:rsidRPr="008126EA">
        <w:rPr>
          <w:rFonts w:cs="Arial"/>
          <w:szCs w:val="24"/>
        </w:rPr>
        <w:t>may</w:t>
      </w:r>
      <w:r w:rsidR="0091104D" w:rsidRPr="005F1522">
        <w:rPr>
          <w:rFonts w:cs="Arial"/>
          <w:szCs w:val="24"/>
        </w:rPr>
        <w:t xml:space="preserve"> ascertain the risk involved</w:t>
      </w:r>
      <w:r w:rsidR="005F1522" w:rsidRPr="008126EA">
        <w:rPr>
          <w:rFonts w:cs="Arial"/>
          <w:szCs w:val="24"/>
        </w:rPr>
        <w:t xml:space="preserve"> and make an informed decision about any activity they undertake at affected </w:t>
      </w:r>
      <w:r w:rsidR="00F8584C">
        <w:rPr>
          <w:rFonts w:cs="Arial"/>
          <w:szCs w:val="24"/>
        </w:rPr>
        <w:t>premises</w:t>
      </w:r>
      <w:r w:rsidR="005F1522" w:rsidRPr="008126EA">
        <w:rPr>
          <w:rFonts w:cs="Arial"/>
          <w:szCs w:val="24"/>
        </w:rPr>
        <w:t>.</w:t>
      </w:r>
      <w:r w:rsidR="0091104D" w:rsidRPr="005F1522">
        <w:rPr>
          <w:rFonts w:cs="Arial"/>
          <w:szCs w:val="24"/>
        </w:rPr>
        <w:t xml:space="preserve"> </w:t>
      </w:r>
    </w:p>
    <w:p w14:paraId="4628BC31" w14:textId="46EA8E4A" w:rsidR="00214C40" w:rsidRPr="008126EA" w:rsidRDefault="00214C40" w:rsidP="00420252">
      <w:pPr>
        <w:autoSpaceDE w:val="0"/>
        <w:autoSpaceDN w:val="0"/>
        <w:adjustRightInd w:val="0"/>
        <w:spacing w:after="120" w:line="360" w:lineRule="auto"/>
        <w:rPr>
          <w:rFonts w:cs="Arial"/>
          <w:szCs w:val="24"/>
        </w:rPr>
      </w:pPr>
      <w:r w:rsidRPr="008126EA">
        <w:rPr>
          <w:rFonts w:cs="Arial"/>
          <w:szCs w:val="24"/>
        </w:rPr>
        <w:t xml:space="preserve">The </w:t>
      </w:r>
      <w:r>
        <w:rPr>
          <w:rFonts w:cs="Arial"/>
          <w:szCs w:val="24"/>
        </w:rPr>
        <w:t xml:space="preserve">amendments also prevent a new generation of residents being exposed to the risks associated with living in affected </w:t>
      </w:r>
      <w:r w:rsidR="00F8584C">
        <w:rPr>
          <w:rFonts w:cs="Arial"/>
          <w:szCs w:val="24"/>
        </w:rPr>
        <w:t>premises</w:t>
      </w:r>
      <w:r>
        <w:rPr>
          <w:rFonts w:cs="Arial"/>
          <w:szCs w:val="24"/>
        </w:rPr>
        <w:t xml:space="preserve"> by preventing occupation by new owners or tenants.  The occupancy prohibition amendment does not prevent current owner occupiers or tenants from remaining in the property,</w:t>
      </w:r>
      <w:r w:rsidR="003056FC">
        <w:rPr>
          <w:rFonts w:cs="Arial"/>
          <w:szCs w:val="24"/>
        </w:rPr>
        <w:t xml:space="preserve"> which </w:t>
      </w:r>
      <w:r w:rsidR="00F8584C">
        <w:rPr>
          <w:rFonts w:cs="Arial"/>
          <w:szCs w:val="24"/>
        </w:rPr>
        <w:t>supports</w:t>
      </w:r>
      <w:r>
        <w:rPr>
          <w:rFonts w:cs="Arial"/>
          <w:szCs w:val="24"/>
        </w:rPr>
        <w:t xml:space="preserve"> </w:t>
      </w:r>
      <w:r w:rsidR="003056FC">
        <w:rPr>
          <w:rFonts w:cs="Arial"/>
          <w:szCs w:val="24"/>
        </w:rPr>
        <w:t xml:space="preserve">current </w:t>
      </w:r>
      <w:r>
        <w:rPr>
          <w:rFonts w:cs="Arial"/>
          <w:szCs w:val="24"/>
        </w:rPr>
        <w:t xml:space="preserve">very elderly </w:t>
      </w:r>
      <w:r w:rsidR="003056FC">
        <w:rPr>
          <w:rFonts w:cs="Arial"/>
          <w:szCs w:val="24"/>
        </w:rPr>
        <w:t xml:space="preserve">residents </w:t>
      </w:r>
      <w:r>
        <w:rPr>
          <w:rFonts w:cs="Arial"/>
          <w:szCs w:val="24"/>
        </w:rPr>
        <w:t xml:space="preserve">to see out their final years in their home. </w:t>
      </w:r>
    </w:p>
    <w:p w14:paraId="5A71F793" w14:textId="071C9516" w:rsidR="0091104D" w:rsidRPr="00B96498" w:rsidRDefault="0091104D" w:rsidP="00B96498">
      <w:pPr>
        <w:autoSpaceDE w:val="0"/>
        <w:autoSpaceDN w:val="0"/>
        <w:adjustRightInd w:val="0"/>
        <w:spacing w:after="120" w:line="360" w:lineRule="auto"/>
        <w:rPr>
          <w:rFonts w:cs="Arial"/>
          <w:szCs w:val="24"/>
        </w:rPr>
      </w:pPr>
      <w:r w:rsidRPr="00B96498">
        <w:rPr>
          <w:rFonts w:cs="Arial"/>
          <w:szCs w:val="24"/>
        </w:rPr>
        <w:t>Most</w:t>
      </w:r>
      <w:r w:rsidR="00810F44" w:rsidRPr="00B96498">
        <w:rPr>
          <w:rFonts w:cs="Arial"/>
          <w:szCs w:val="24"/>
        </w:rPr>
        <w:t xml:space="preserve"> </w:t>
      </w:r>
      <w:r w:rsidR="00F8584C" w:rsidRPr="00B96498">
        <w:rPr>
          <w:rFonts w:cs="Arial"/>
          <w:szCs w:val="24"/>
        </w:rPr>
        <w:t>premises</w:t>
      </w:r>
      <w:r w:rsidR="00810F44" w:rsidRPr="00B96498">
        <w:rPr>
          <w:rFonts w:cs="Arial"/>
          <w:szCs w:val="24"/>
        </w:rPr>
        <w:t xml:space="preserve"> identified as affected</w:t>
      </w:r>
      <w:r w:rsidR="001A42A8" w:rsidRPr="00B96498">
        <w:rPr>
          <w:rFonts w:cs="Arial"/>
          <w:szCs w:val="24"/>
        </w:rPr>
        <w:t xml:space="preserve"> by loose-fill asbestos</w:t>
      </w:r>
      <w:r w:rsidR="00810F44" w:rsidRPr="00B96498">
        <w:rPr>
          <w:rFonts w:cs="Arial"/>
          <w:szCs w:val="24"/>
        </w:rPr>
        <w:t xml:space="preserve"> </w:t>
      </w:r>
      <w:r w:rsidRPr="00B96498">
        <w:rPr>
          <w:rFonts w:cs="Arial"/>
          <w:szCs w:val="24"/>
        </w:rPr>
        <w:t>have</w:t>
      </w:r>
      <w:r w:rsidR="00810F44" w:rsidRPr="00B96498">
        <w:rPr>
          <w:rFonts w:cs="Arial"/>
          <w:szCs w:val="24"/>
        </w:rPr>
        <w:t xml:space="preserve"> been surrendered to the Territory or privately demolished. However, the goal of eradicating loose-fill asbestos from the ACT residential community can only be achieved when every affected </w:t>
      </w:r>
      <w:r w:rsidR="00F8584C" w:rsidRPr="00B96498">
        <w:rPr>
          <w:rFonts w:cs="Arial"/>
          <w:szCs w:val="24"/>
        </w:rPr>
        <w:t>premises</w:t>
      </w:r>
      <w:r w:rsidR="00810F44" w:rsidRPr="00B96498">
        <w:rPr>
          <w:rFonts w:cs="Arial"/>
          <w:szCs w:val="24"/>
        </w:rPr>
        <w:t xml:space="preserve"> has been demolished</w:t>
      </w:r>
      <w:r w:rsidR="008126EA" w:rsidRPr="00B96498">
        <w:rPr>
          <w:rFonts w:cs="Arial"/>
          <w:szCs w:val="24"/>
        </w:rPr>
        <w:t xml:space="preserve">. </w:t>
      </w:r>
      <w:r w:rsidR="00B96498" w:rsidRPr="00B96498">
        <w:rPr>
          <w:rFonts w:cs="Arial"/>
          <w:szCs w:val="24"/>
        </w:rPr>
        <w:t xml:space="preserve">The ACT Government acknowledges that it may need to take Compulsory </w:t>
      </w:r>
      <w:r w:rsidR="00B96498" w:rsidRPr="00B96498">
        <w:rPr>
          <w:rFonts w:cs="Arial"/>
          <w:szCs w:val="24"/>
        </w:rPr>
        <w:lastRenderedPageBreak/>
        <w:t xml:space="preserve">Acquisition action if homeowners do not arrange for the demolition of their affected property prior to mid-2025. Any Compulsory Acquisition action taken by the Territory will take into consideration the specific circumstances of each remaining homeowner as well as the serious safety risk any remaining property will impose on the community. </w:t>
      </w:r>
      <w:r w:rsidR="00C932FE">
        <w:rPr>
          <w:rFonts w:cs="Arial"/>
          <w:szCs w:val="24"/>
        </w:rPr>
        <w:t xml:space="preserve">The </w:t>
      </w:r>
      <w:r w:rsidR="004105EC">
        <w:rPr>
          <w:rFonts w:cs="Arial"/>
          <w:szCs w:val="24"/>
        </w:rPr>
        <w:t xml:space="preserve">Bill makes no provision for acquisition, as this will be undertaken, </w:t>
      </w:r>
      <w:r w:rsidR="005F1522">
        <w:rPr>
          <w:rFonts w:cs="Arial"/>
          <w:szCs w:val="24"/>
        </w:rPr>
        <w:t xml:space="preserve">if </w:t>
      </w:r>
      <w:r>
        <w:rPr>
          <w:rFonts w:cs="Arial"/>
          <w:szCs w:val="24"/>
        </w:rPr>
        <w:t>necessary,</w:t>
      </w:r>
      <w:r w:rsidR="004105EC">
        <w:rPr>
          <w:rFonts w:cs="Arial"/>
          <w:szCs w:val="24"/>
        </w:rPr>
        <w:t xml:space="preserve"> under the provisions of the </w:t>
      </w:r>
      <w:r w:rsidR="004105EC" w:rsidRPr="00B96498">
        <w:rPr>
          <w:rFonts w:cs="Arial"/>
          <w:szCs w:val="24"/>
        </w:rPr>
        <w:t>Lands</w:t>
      </w:r>
      <w:r w:rsidR="0016099E" w:rsidRPr="00B96498">
        <w:rPr>
          <w:rFonts w:cs="Arial"/>
          <w:szCs w:val="24"/>
        </w:rPr>
        <w:t> </w:t>
      </w:r>
      <w:r w:rsidR="004105EC" w:rsidRPr="00B96498">
        <w:rPr>
          <w:rFonts w:cs="Arial"/>
          <w:szCs w:val="24"/>
        </w:rPr>
        <w:t>Acquisition Act 1994</w:t>
      </w:r>
      <w:r w:rsidR="00F8584C">
        <w:rPr>
          <w:rFonts w:cs="Arial"/>
          <w:szCs w:val="24"/>
        </w:rPr>
        <w:t xml:space="preserve"> (LAA)</w:t>
      </w:r>
      <w:r w:rsidR="004105EC" w:rsidRPr="00B96498">
        <w:rPr>
          <w:rFonts w:cs="Arial"/>
          <w:szCs w:val="24"/>
        </w:rPr>
        <w:t xml:space="preserve">. </w:t>
      </w:r>
      <w:r w:rsidR="00F8584C">
        <w:rPr>
          <w:rFonts w:cs="Arial"/>
          <w:szCs w:val="24"/>
        </w:rPr>
        <w:t xml:space="preserve"> It does, however, facilitate the placing of an Administrative Interest on the title of remaining affected premises advising that the property may be subject to acquisition under the LAA.</w:t>
      </w:r>
    </w:p>
    <w:p w14:paraId="26E8C8B3" w14:textId="77777777" w:rsidR="008126EA" w:rsidRDefault="008126EA" w:rsidP="008126EA">
      <w:pPr>
        <w:pStyle w:val="Heading2"/>
      </w:pPr>
      <w:r>
        <w:t>OVERVIEW OF THE BILL</w:t>
      </w:r>
    </w:p>
    <w:p w14:paraId="0B45A4AB" w14:textId="6E986F97" w:rsidR="00B714D7" w:rsidRPr="00EF3924" w:rsidRDefault="00B714D7" w:rsidP="00420252">
      <w:pPr>
        <w:autoSpaceDE w:val="0"/>
        <w:autoSpaceDN w:val="0"/>
        <w:adjustRightInd w:val="0"/>
        <w:spacing w:after="120" w:line="360" w:lineRule="auto"/>
        <w:rPr>
          <w:rFonts w:cs="Calibri"/>
          <w:szCs w:val="24"/>
        </w:rPr>
      </w:pPr>
      <w:r w:rsidRPr="00EF3924">
        <w:rPr>
          <w:rFonts w:cs="Calibri"/>
          <w:szCs w:val="24"/>
        </w:rPr>
        <w:t xml:space="preserve">In summary, </w:t>
      </w:r>
      <w:r w:rsidR="004559BE">
        <w:rPr>
          <w:rFonts w:cs="Calibri"/>
          <w:szCs w:val="24"/>
        </w:rPr>
        <w:t>the amendments propose to:</w:t>
      </w:r>
    </w:p>
    <w:p w14:paraId="5151895F" w14:textId="7900B9C3" w:rsidR="00527CE9" w:rsidRDefault="004559BE" w:rsidP="00420252">
      <w:pPr>
        <w:pStyle w:val="Header"/>
        <w:numPr>
          <w:ilvl w:val="0"/>
          <w:numId w:val="4"/>
        </w:numPr>
        <w:tabs>
          <w:tab w:val="clear" w:pos="4513"/>
          <w:tab w:val="clear" w:pos="9026"/>
        </w:tabs>
        <w:spacing w:after="120" w:line="360" w:lineRule="auto"/>
        <w:rPr>
          <w:rFonts w:cs="Arial"/>
          <w:szCs w:val="24"/>
        </w:rPr>
      </w:pPr>
      <w:r>
        <w:rPr>
          <w:rFonts w:cs="Arial"/>
          <w:szCs w:val="24"/>
        </w:rPr>
        <w:t xml:space="preserve">Introduce a requirement </w:t>
      </w:r>
      <w:r w:rsidR="003B5DA7">
        <w:rPr>
          <w:rFonts w:cs="Arial"/>
          <w:szCs w:val="24"/>
        </w:rPr>
        <w:t xml:space="preserve">for specific </w:t>
      </w:r>
      <w:r w:rsidR="003056FC">
        <w:rPr>
          <w:rFonts w:cs="Arial"/>
          <w:szCs w:val="24"/>
        </w:rPr>
        <w:t xml:space="preserve">information </w:t>
      </w:r>
      <w:r w:rsidR="003B5DA7">
        <w:rPr>
          <w:rFonts w:cs="Arial"/>
          <w:szCs w:val="24"/>
        </w:rPr>
        <w:t xml:space="preserve">to </w:t>
      </w:r>
      <w:r w:rsidR="003056FC">
        <w:rPr>
          <w:rFonts w:cs="Arial"/>
          <w:szCs w:val="24"/>
        </w:rPr>
        <w:t>be included</w:t>
      </w:r>
      <w:r w:rsidR="008126EA">
        <w:rPr>
          <w:rFonts w:cs="Arial"/>
          <w:szCs w:val="24"/>
        </w:rPr>
        <w:t xml:space="preserve"> </w:t>
      </w:r>
      <w:r w:rsidR="003056FC">
        <w:rPr>
          <w:rFonts w:cs="Arial"/>
          <w:szCs w:val="24"/>
        </w:rPr>
        <w:t>on</w:t>
      </w:r>
      <w:r>
        <w:rPr>
          <w:rFonts w:cs="Arial"/>
          <w:szCs w:val="24"/>
        </w:rPr>
        <w:t xml:space="preserve"> the </w:t>
      </w:r>
      <w:r w:rsidR="0091104D">
        <w:rPr>
          <w:rFonts w:cs="Arial"/>
          <w:szCs w:val="24"/>
        </w:rPr>
        <w:t>a</w:t>
      </w:r>
      <w:r>
        <w:rPr>
          <w:rFonts w:cs="Arial"/>
          <w:szCs w:val="24"/>
        </w:rPr>
        <w:t xml:space="preserve">ffected </w:t>
      </w:r>
      <w:r w:rsidR="0091104D">
        <w:rPr>
          <w:rFonts w:cs="Arial"/>
          <w:szCs w:val="24"/>
        </w:rPr>
        <w:t>r</w:t>
      </w:r>
      <w:r>
        <w:rPr>
          <w:rFonts w:cs="Arial"/>
          <w:szCs w:val="24"/>
        </w:rPr>
        <w:t xml:space="preserve">esidential </w:t>
      </w:r>
      <w:r w:rsidR="0091104D">
        <w:rPr>
          <w:rFonts w:cs="Arial"/>
          <w:szCs w:val="24"/>
        </w:rPr>
        <w:t>p</w:t>
      </w:r>
      <w:r>
        <w:rPr>
          <w:rFonts w:cs="Arial"/>
          <w:szCs w:val="24"/>
        </w:rPr>
        <w:t xml:space="preserve">remises </w:t>
      </w:r>
      <w:r w:rsidR="0091104D">
        <w:rPr>
          <w:rFonts w:cs="Arial"/>
          <w:szCs w:val="24"/>
        </w:rPr>
        <w:t>r</w:t>
      </w:r>
      <w:r>
        <w:rPr>
          <w:rFonts w:cs="Arial"/>
          <w:szCs w:val="24"/>
        </w:rPr>
        <w:t xml:space="preserve">egister (the </w:t>
      </w:r>
      <w:r w:rsidR="003D468B">
        <w:rPr>
          <w:rFonts w:cs="Arial"/>
          <w:szCs w:val="24"/>
        </w:rPr>
        <w:t>R</w:t>
      </w:r>
      <w:r>
        <w:rPr>
          <w:rFonts w:cs="Arial"/>
          <w:szCs w:val="24"/>
        </w:rPr>
        <w:t xml:space="preserve">egister), to show whether a property requires an </w:t>
      </w:r>
      <w:r w:rsidR="00341219">
        <w:rPr>
          <w:rFonts w:cs="Arial"/>
          <w:szCs w:val="24"/>
        </w:rPr>
        <w:t>asbestos contamination report</w:t>
      </w:r>
      <w:r w:rsidR="00201423">
        <w:rPr>
          <w:rFonts w:cs="Arial"/>
          <w:szCs w:val="24"/>
        </w:rPr>
        <w:t xml:space="preserve"> (commonly known as an asbestos management plan</w:t>
      </w:r>
      <w:r w:rsidR="00470CE4">
        <w:rPr>
          <w:rFonts w:cs="Arial"/>
          <w:szCs w:val="24"/>
        </w:rPr>
        <w:t xml:space="preserve"> (AMP)</w:t>
      </w:r>
      <w:r w:rsidR="00201423">
        <w:rPr>
          <w:rFonts w:cs="Arial"/>
          <w:szCs w:val="24"/>
        </w:rPr>
        <w:t>)</w:t>
      </w:r>
      <w:r w:rsidR="00341219">
        <w:rPr>
          <w:rFonts w:cs="Arial"/>
          <w:szCs w:val="24"/>
        </w:rPr>
        <w:t xml:space="preserve"> and</w:t>
      </w:r>
      <w:r>
        <w:rPr>
          <w:rFonts w:cs="Arial"/>
          <w:szCs w:val="24"/>
        </w:rPr>
        <w:t xml:space="preserve"> </w:t>
      </w:r>
      <w:r w:rsidR="00201423">
        <w:rPr>
          <w:rFonts w:cs="Arial"/>
          <w:szCs w:val="24"/>
        </w:rPr>
        <w:t>whether a current report is in place with the required contamination management works completed.</w:t>
      </w:r>
      <w:r>
        <w:rPr>
          <w:rFonts w:cs="Arial"/>
          <w:szCs w:val="24"/>
        </w:rPr>
        <w:t xml:space="preserve"> </w:t>
      </w:r>
    </w:p>
    <w:p w14:paraId="68723582" w14:textId="16239FE0" w:rsidR="004559BE" w:rsidRDefault="004559BE" w:rsidP="00420252">
      <w:pPr>
        <w:pStyle w:val="Header"/>
        <w:numPr>
          <w:ilvl w:val="0"/>
          <w:numId w:val="4"/>
        </w:numPr>
        <w:tabs>
          <w:tab w:val="clear" w:pos="4513"/>
          <w:tab w:val="clear" w:pos="9026"/>
        </w:tabs>
        <w:spacing w:after="120" w:line="360" w:lineRule="auto"/>
        <w:rPr>
          <w:rFonts w:cs="Arial"/>
          <w:szCs w:val="24"/>
        </w:rPr>
      </w:pPr>
      <w:r>
        <w:rPr>
          <w:rFonts w:cs="Arial"/>
          <w:szCs w:val="24"/>
        </w:rPr>
        <w:t xml:space="preserve">Introduce a requirement </w:t>
      </w:r>
      <w:r w:rsidR="0016099E">
        <w:rPr>
          <w:rFonts w:cs="Arial"/>
          <w:szCs w:val="24"/>
        </w:rPr>
        <w:t>on</w:t>
      </w:r>
      <w:r>
        <w:rPr>
          <w:rFonts w:cs="Arial"/>
          <w:szCs w:val="24"/>
        </w:rPr>
        <w:t xml:space="preserve"> owners/occupiers of affected residential premises to display </w:t>
      </w:r>
      <w:r w:rsidR="003D468B">
        <w:rPr>
          <w:rFonts w:cs="Arial"/>
          <w:szCs w:val="24"/>
        </w:rPr>
        <w:t>the</w:t>
      </w:r>
      <w:r>
        <w:rPr>
          <w:rFonts w:cs="Arial"/>
          <w:szCs w:val="24"/>
        </w:rPr>
        <w:t xml:space="preserve"> </w:t>
      </w:r>
      <w:r w:rsidR="00470CE4">
        <w:rPr>
          <w:rFonts w:cs="Arial"/>
          <w:szCs w:val="24"/>
        </w:rPr>
        <w:t>AMP</w:t>
      </w:r>
      <w:r>
        <w:rPr>
          <w:rFonts w:cs="Arial"/>
          <w:szCs w:val="24"/>
        </w:rPr>
        <w:t xml:space="preserve"> in a</w:t>
      </w:r>
      <w:r w:rsidR="00341219">
        <w:rPr>
          <w:rFonts w:cs="Arial"/>
          <w:szCs w:val="24"/>
        </w:rPr>
        <w:t>n approved</w:t>
      </w:r>
      <w:r>
        <w:rPr>
          <w:rFonts w:cs="Arial"/>
          <w:szCs w:val="24"/>
        </w:rPr>
        <w:t xml:space="preserve"> display case in a visible location at</w:t>
      </w:r>
      <w:r w:rsidR="00D72922">
        <w:rPr>
          <w:rFonts w:cs="Arial"/>
          <w:szCs w:val="24"/>
        </w:rPr>
        <w:t xml:space="preserve"> the</w:t>
      </w:r>
      <w:r>
        <w:rPr>
          <w:rFonts w:cs="Arial"/>
          <w:szCs w:val="24"/>
        </w:rPr>
        <w:t xml:space="preserve"> affected property.</w:t>
      </w:r>
      <w:r w:rsidR="00341219">
        <w:rPr>
          <w:rFonts w:cs="Arial"/>
          <w:szCs w:val="24"/>
        </w:rPr>
        <w:t xml:space="preserve"> The</w:t>
      </w:r>
      <w:r w:rsidR="00D72922">
        <w:rPr>
          <w:rFonts w:cs="Arial"/>
          <w:szCs w:val="24"/>
        </w:rPr>
        <w:t xml:space="preserve"> ACT</w:t>
      </w:r>
      <w:r>
        <w:rPr>
          <w:rFonts w:cs="Arial"/>
          <w:szCs w:val="24"/>
        </w:rPr>
        <w:t xml:space="preserve"> Government will provide these display cases. </w:t>
      </w:r>
      <w:r w:rsidR="00341219">
        <w:rPr>
          <w:rFonts w:cs="Arial"/>
          <w:szCs w:val="24"/>
        </w:rPr>
        <w:t>The amendments also allow for the Minister to approve the way and place where an approved display case must be displayed</w:t>
      </w:r>
      <w:r w:rsidR="00D72922">
        <w:rPr>
          <w:rFonts w:cs="Arial"/>
          <w:szCs w:val="24"/>
        </w:rPr>
        <w:t>,</w:t>
      </w:r>
      <w:r w:rsidR="00341219">
        <w:rPr>
          <w:rFonts w:cs="Arial"/>
          <w:szCs w:val="24"/>
        </w:rPr>
        <w:t xml:space="preserve"> by way of notifiable instrument.</w:t>
      </w:r>
    </w:p>
    <w:p w14:paraId="1D66F7ED" w14:textId="015C0454" w:rsidR="004559BE" w:rsidRPr="00F4273D" w:rsidRDefault="004559BE" w:rsidP="00420252">
      <w:pPr>
        <w:pStyle w:val="Header"/>
        <w:numPr>
          <w:ilvl w:val="0"/>
          <w:numId w:val="4"/>
        </w:numPr>
        <w:tabs>
          <w:tab w:val="clear" w:pos="4513"/>
          <w:tab w:val="clear" w:pos="9026"/>
        </w:tabs>
        <w:spacing w:after="120" w:line="360" w:lineRule="auto"/>
        <w:rPr>
          <w:rFonts w:cs="Arial"/>
          <w:szCs w:val="24"/>
        </w:rPr>
      </w:pPr>
      <w:r w:rsidRPr="00F4273D">
        <w:rPr>
          <w:rFonts w:cs="Arial"/>
          <w:szCs w:val="24"/>
        </w:rPr>
        <w:t xml:space="preserve">Allow for </w:t>
      </w:r>
      <w:r w:rsidR="00470CE4" w:rsidRPr="00F4273D">
        <w:rPr>
          <w:rFonts w:cs="Arial"/>
          <w:szCs w:val="24"/>
        </w:rPr>
        <w:t>an AMP</w:t>
      </w:r>
      <w:r w:rsidRPr="00F4273D">
        <w:rPr>
          <w:rFonts w:cs="Arial"/>
          <w:szCs w:val="24"/>
        </w:rPr>
        <w:t xml:space="preserve"> to have a validity period between 6 to 24 months, as determined appropriate by a licensed asbestos assessor. </w:t>
      </w:r>
    </w:p>
    <w:p w14:paraId="313D6182" w14:textId="256DD7C2" w:rsidR="003D468B" w:rsidRPr="00F4273D" w:rsidRDefault="003D468B" w:rsidP="003D468B">
      <w:pPr>
        <w:pStyle w:val="Header"/>
        <w:numPr>
          <w:ilvl w:val="0"/>
          <w:numId w:val="4"/>
        </w:numPr>
        <w:tabs>
          <w:tab w:val="clear" w:pos="4513"/>
          <w:tab w:val="clear" w:pos="9026"/>
        </w:tabs>
        <w:spacing w:after="120" w:line="360" w:lineRule="auto"/>
        <w:rPr>
          <w:rFonts w:cs="Arial"/>
          <w:szCs w:val="24"/>
        </w:rPr>
      </w:pPr>
      <w:r w:rsidRPr="00F4273D">
        <w:rPr>
          <w:rFonts w:cs="Arial"/>
          <w:szCs w:val="24"/>
        </w:rPr>
        <w:t>Prevent development approval being granted for</w:t>
      </w:r>
      <w:r w:rsidR="00FC3777" w:rsidRPr="00F4273D">
        <w:rPr>
          <w:rFonts w:cs="Arial"/>
          <w:szCs w:val="24"/>
        </w:rPr>
        <w:t xml:space="preserve"> affected residential premises</w:t>
      </w:r>
      <w:r w:rsidRPr="00F4273D">
        <w:rPr>
          <w:rFonts w:cs="Arial"/>
          <w:szCs w:val="24"/>
        </w:rPr>
        <w:t xml:space="preserve"> unless the development incudes the demolition</w:t>
      </w:r>
      <w:r w:rsidR="00FC3777" w:rsidRPr="00F4273D">
        <w:rPr>
          <w:rFonts w:cs="Arial"/>
          <w:szCs w:val="24"/>
        </w:rPr>
        <w:t xml:space="preserve"> of the affected structures and remediation of the premises</w:t>
      </w:r>
      <w:r w:rsidR="00F4273D" w:rsidRPr="00F4273D">
        <w:rPr>
          <w:rFonts w:cs="Arial"/>
          <w:szCs w:val="24"/>
        </w:rPr>
        <w:t>.</w:t>
      </w:r>
    </w:p>
    <w:p w14:paraId="30498FA8" w14:textId="0D144E48" w:rsidR="004559BE" w:rsidRDefault="004559BE" w:rsidP="00420252">
      <w:pPr>
        <w:pStyle w:val="Header"/>
        <w:numPr>
          <w:ilvl w:val="0"/>
          <w:numId w:val="4"/>
        </w:numPr>
        <w:tabs>
          <w:tab w:val="clear" w:pos="4513"/>
          <w:tab w:val="clear" w:pos="9026"/>
        </w:tabs>
        <w:spacing w:after="120" w:line="360" w:lineRule="auto"/>
        <w:rPr>
          <w:rFonts w:cs="Arial"/>
          <w:szCs w:val="24"/>
        </w:rPr>
      </w:pPr>
      <w:r w:rsidRPr="00341219">
        <w:rPr>
          <w:rFonts w:cs="Arial"/>
          <w:szCs w:val="24"/>
        </w:rPr>
        <w:t xml:space="preserve">Restrict </w:t>
      </w:r>
      <w:r w:rsidR="00AC1140">
        <w:rPr>
          <w:rFonts w:cs="Arial"/>
          <w:szCs w:val="24"/>
        </w:rPr>
        <w:t xml:space="preserve">building </w:t>
      </w:r>
      <w:r w:rsidRPr="00341219">
        <w:rPr>
          <w:rFonts w:cs="Arial"/>
          <w:szCs w:val="24"/>
        </w:rPr>
        <w:t>works on affected residential premises</w:t>
      </w:r>
      <w:r w:rsidR="008D3663" w:rsidRPr="00341219">
        <w:rPr>
          <w:rFonts w:cs="Arial"/>
          <w:szCs w:val="24"/>
        </w:rPr>
        <w:t xml:space="preserve"> to works associated with the demolition of the affected property</w:t>
      </w:r>
      <w:r w:rsidR="00C214F1">
        <w:rPr>
          <w:rFonts w:cs="Arial"/>
          <w:szCs w:val="24"/>
        </w:rPr>
        <w:t>,</w:t>
      </w:r>
      <w:r w:rsidR="008D3663" w:rsidRPr="00341219">
        <w:rPr>
          <w:rFonts w:cs="Arial"/>
          <w:szCs w:val="24"/>
        </w:rPr>
        <w:t xml:space="preserve"> including asbestos removal and structural </w:t>
      </w:r>
      <w:r w:rsidR="00AC1140" w:rsidRPr="008126EA">
        <w:rPr>
          <w:rFonts w:cs="Arial"/>
          <w:szCs w:val="24"/>
        </w:rPr>
        <w:t xml:space="preserve">demolition, or </w:t>
      </w:r>
      <w:r w:rsidR="00BB4654">
        <w:rPr>
          <w:rFonts w:cs="Arial"/>
          <w:szCs w:val="24"/>
        </w:rPr>
        <w:t xml:space="preserve">works essential for </w:t>
      </w:r>
      <w:r w:rsidR="00C214F1">
        <w:rPr>
          <w:rFonts w:cs="Arial"/>
          <w:szCs w:val="24"/>
        </w:rPr>
        <w:t>health, safety</w:t>
      </w:r>
      <w:r w:rsidR="00BB4654">
        <w:rPr>
          <w:rFonts w:cs="Arial"/>
          <w:szCs w:val="24"/>
        </w:rPr>
        <w:t xml:space="preserve"> or reasonable living conditions.</w:t>
      </w:r>
      <w:r w:rsidRPr="008126EA">
        <w:rPr>
          <w:rFonts w:cs="Arial"/>
          <w:szCs w:val="24"/>
        </w:rPr>
        <w:t xml:space="preserve"> </w:t>
      </w:r>
    </w:p>
    <w:p w14:paraId="1C6139E3" w14:textId="17AFB30E" w:rsidR="00D72922" w:rsidRPr="008126EA" w:rsidRDefault="00341219" w:rsidP="00D72922">
      <w:pPr>
        <w:pStyle w:val="Header"/>
        <w:numPr>
          <w:ilvl w:val="0"/>
          <w:numId w:val="4"/>
        </w:numPr>
        <w:tabs>
          <w:tab w:val="clear" w:pos="4513"/>
          <w:tab w:val="clear" w:pos="9026"/>
        </w:tabs>
        <w:spacing w:after="120" w:line="360" w:lineRule="auto"/>
        <w:rPr>
          <w:rFonts w:cs="Arial"/>
          <w:szCs w:val="24"/>
        </w:rPr>
      </w:pPr>
      <w:r w:rsidRPr="008126EA">
        <w:rPr>
          <w:rFonts w:cs="Arial"/>
          <w:szCs w:val="24"/>
        </w:rPr>
        <w:lastRenderedPageBreak/>
        <w:t xml:space="preserve">Provide that upon transfer or transmission of an affected residential premises, only certain </w:t>
      </w:r>
      <w:r w:rsidR="00780C21" w:rsidRPr="008126EA">
        <w:rPr>
          <w:rFonts w:cs="Arial"/>
          <w:szCs w:val="24"/>
        </w:rPr>
        <w:t xml:space="preserve">approved occupants </w:t>
      </w:r>
      <w:r w:rsidRPr="008126EA">
        <w:rPr>
          <w:rFonts w:cs="Arial"/>
          <w:szCs w:val="24"/>
        </w:rPr>
        <w:t xml:space="preserve">can live in the premises. </w:t>
      </w:r>
    </w:p>
    <w:p w14:paraId="72DAC7CA" w14:textId="69540236" w:rsidR="004D2999" w:rsidRPr="008126EA" w:rsidRDefault="00FC3777" w:rsidP="00D72922">
      <w:pPr>
        <w:pStyle w:val="Header"/>
        <w:numPr>
          <w:ilvl w:val="0"/>
          <w:numId w:val="4"/>
        </w:numPr>
        <w:tabs>
          <w:tab w:val="clear" w:pos="4513"/>
          <w:tab w:val="clear" w:pos="9026"/>
        </w:tabs>
        <w:spacing w:after="120" w:line="360" w:lineRule="auto"/>
        <w:rPr>
          <w:rFonts w:cs="Arial"/>
          <w:szCs w:val="24"/>
        </w:rPr>
      </w:pPr>
      <w:r>
        <w:rPr>
          <w:rFonts w:cs="Arial"/>
          <w:szCs w:val="24"/>
        </w:rPr>
        <w:t xml:space="preserve">Make void any </w:t>
      </w:r>
      <w:r w:rsidR="003056FC" w:rsidRPr="008126EA">
        <w:rPr>
          <w:rFonts w:cs="Arial"/>
          <w:szCs w:val="24"/>
        </w:rPr>
        <w:t xml:space="preserve">residential tenancy </w:t>
      </w:r>
      <w:r w:rsidR="005C54B1" w:rsidRPr="008126EA">
        <w:rPr>
          <w:rFonts w:cs="Arial"/>
          <w:szCs w:val="24"/>
        </w:rPr>
        <w:t>agreement</w:t>
      </w:r>
      <w:r w:rsidR="00DD5520">
        <w:rPr>
          <w:rFonts w:cs="Arial"/>
          <w:szCs w:val="24"/>
        </w:rPr>
        <w:t>, occupancy agreement,</w:t>
      </w:r>
      <w:r>
        <w:rPr>
          <w:rFonts w:cs="Arial"/>
          <w:szCs w:val="24"/>
        </w:rPr>
        <w:t xml:space="preserve"> assignment or sub-let for a premises on the Register that is</w:t>
      </w:r>
      <w:r w:rsidR="005C54B1" w:rsidRPr="008126EA">
        <w:rPr>
          <w:rFonts w:cs="Arial"/>
          <w:szCs w:val="24"/>
        </w:rPr>
        <w:t xml:space="preserve"> </w:t>
      </w:r>
      <w:r>
        <w:rPr>
          <w:rFonts w:cs="Arial"/>
          <w:szCs w:val="24"/>
        </w:rPr>
        <w:t>entered into on or after 1 July 2020.</w:t>
      </w:r>
    </w:p>
    <w:p w14:paraId="63F960D8" w14:textId="77777777" w:rsidR="00D32530" w:rsidRPr="00D32530" w:rsidRDefault="00D32530" w:rsidP="00A54803">
      <w:pPr>
        <w:pStyle w:val="Heading2"/>
        <w:keepNext w:val="0"/>
      </w:pPr>
      <w:r w:rsidRPr="00D32530">
        <w:t>CONSULTATION ON THE PROPOSED APPROACH</w:t>
      </w:r>
    </w:p>
    <w:p w14:paraId="569E2D72" w14:textId="1713B518" w:rsidR="000027CE" w:rsidRDefault="00676A04" w:rsidP="00A54803">
      <w:pPr>
        <w:pStyle w:val="Heading2"/>
        <w:keepNext w:val="0"/>
        <w:rPr>
          <w:rFonts w:cs="Arial"/>
        </w:rPr>
      </w:pPr>
      <w:r>
        <w:rPr>
          <w:b w:val="0"/>
          <w:bCs w:val="0"/>
        </w:rPr>
        <w:t>G</w:t>
      </w:r>
      <w:r w:rsidR="000027CE">
        <w:rPr>
          <w:b w:val="0"/>
          <w:bCs w:val="0"/>
        </w:rPr>
        <w:t xml:space="preserve">overnment </w:t>
      </w:r>
      <w:r w:rsidR="002E79AF">
        <w:rPr>
          <w:b w:val="0"/>
          <w:bCs w:val="0"/>
        </w:rPr>
        <w:t>d</w:t>
      </w:r>
      <w:r w:rsidR="000027CE">
        <w:rPr>
          <w:b w:val="0"/>
          <w:bCs w:val="0"/>
        </w:rPr>
        <w:t xml:space="preserve">irectorates </w:t>
      </w:r>
      <w:r>
        <w:rPr>
          <w:b w:val="0"/>
          <w:bCs w:val="0"/>
        </w:rPr>
        <w:t>and</w:t>
      </w:r>
      <w:r w:rsidR="000027CE">
        <w:rPr>
          <w:b w:val="0"/>
          <w:bCs w:val="0"/>
        </w:rPr>
        <w:t xml:space="preserve"> agencies have been consulted in the development of the Bill</w:t>
      </w:r>
      <w:r>
        <w:rPr>
          <w:b w:val="0"/>
          <w:bCs w:val="0"/>
        </w:rPr>
        <w:t>.  Stakeholders have also been consulted on the implementation of elements of the Bill.</w:t>
      </w:r>
    </w:p>
    <w:p w14:paraId="32321ADC" w14:textId="20F008C6" w:rsidR="007830D0" w:rsidRDefault="007830D0" w:rsidP="00A54803">
      <w:pPr>
        <w:pStyle w:val="Heading2"/>
        <w:keepNext w:val="0"/>
      </w:pPr>
      <w:r>
        <w:t xml:space="preserve">CONSISTENCY WITH </w:t>
      </w:r>
      <w:r w:rsidRPr="008C225D">
        <w:t>HUMAN RIGHTS</w:t>
      </w:r>
    </w:p>
    <w:p w14:paraId="28132528" w14:textId="5775CEE6" w:rsidR="00B714D7" w:rsidRDefault="00527CE9" w:rsidP="00A54803">
      <w:pPr>
        <w:autoSpaceDE w:val="0"/>
        <w:autoSpaceDN w:val="0"/>
        <w:adjustRightInd w:val="0"/>
        <w:spacing w:before="240" w:after="240" w:line="360" w:lineRule="auto"/>
        <w:rPr>
          <w:rFonts w:cs="Calibri"/>
        </w:rPr>
      </w:pPr>
      <w:r>
        <w:rPr>
          <w:rFonts w:cs="Calibri"/>
        </w:rPr>
        <w:t xml:space="preserve">This Bill </w:t>
      </w:r>
      <w:r w:rsidR="000456A6">
        <w:rPr>
          <w:rFonts w:cs="Calibri"/>
        </w:rPr>
        <w:t>may be considered to engage the following r</w:t>
      </w:r>
      <w:r>
        <w:rPr>
          <w:rFonts w:cs="Calibri"/>
        </w:rPr>
        <w:t xml:space="preserve">ights under the </w:t>
      </w:r>
      <w:r>
        <w:rPr>
          <w:rFonts w:cs="Calibri"/>
          <w:i/>
          <w:iCs/>
        </w:rPr>
        <w:t xml:space="preserve">Human Rights Act 2004 </w:t>
      </w:r>
      <w:r>
        <w:rPr>
          <w:rFonts w:cs="Calibri"/>
        </w:rPr>
        <w:t>(HRA)</w:t>
      </w:r>
      <w:r w:rsidR="00932395">
        <w:rPr>
          <w:rFonts w:cs="Calibri"/>
        </w:rPr>
        <w:t>:</w:t>
      </w:r>
    </w:p>
    <w:p w14:paraId="27C105B9" w14:textId="64F0207C" w:rsidR="000456A6" w:rsidRPr="00C5399E" w:rsidRDefault="000456A6" w:rsidP="00A54803">
      <w:pPr>
        <w:pStyle w:val="ListParagraph"/>
        <w:numPr>
          <w:ilvl w:val="0"/>
          <w:numId w:val="3"/>
        </w:numPr>
        <w:autoSpaceDE w:val="0"/>
        <w:autoSpaceDN w:val="0"/>
        <w:adjustRightInd w:val="0"/>
        <w:spacing w:before="240" w:after="240" w:line="360" w:lineRule="auto"/>
        <w:rPr>
          <w:rFonts w:cs="Calibri"/>
        </w:rPr>
      </w:pPr>
      <w:r>
        <w:rPr>
          <w:rFonts w:cs="Calibri"/>
        </w:rPr>
        <w:t xml:space="preserve">Section 8- recognition and equality before the law; </w:t>
      </w:r>
    </w:p>
    <w:p w14:paraId="25E4BB3D" w14:textId="6AAC1213" w:rsidR="00527CE9" w:rsidRDefault="00527CE9" w:rsidP="00A54803">
      <w:pPr>
        <w:pStyle w:val="ListParagraph"/>
        <w:numPr>
          <w:ilvl w:val="0"/>
          <w:numId w:val="3"/>
        </w:numPr>
        <w:autoSpaceDE w:val="0"/>
        <w:autoSpaceDN w:val="0"/>
        <w:adjustRightInd w:val="0"/>
        <w:spacing w:before="240" w:after="240" w:line="360" w:lineRule="auto"/>
        <w:rPr>
          <w:rFonts w:cs="Calibri"/>
        </w:rPr>
      </w:pPr>
      <w:r>
        <w:rPr>
          <w:rFonts w:cs="Calibri"/>
        </w:rPr>
        <w:t>Section 12- privacy and reputation</w:t>
      </w:r>
      <w:r w:rsidR="0018655C">
        <w:rPr>
          <w:rFonts w:cs="Calibri"/>
        </w:rPr>
        <w:t>;</w:t>
      </w:r>
      <w:r w:rsidR="005F7FB7">
        <w:rPr>
          <w:rFonts w:cs="Calibri"/>
        </w:rPr>
        <w:t xml:space="preserve"> and</w:t>
      </w:r>
      <w:r w:rsidR="0018655C">
        <w:rPr>
          <w:rFonts w:cs="Calibri"/>
        </w:rPr>
        <w:t xml:space="preserve"> </w:t>
      </w:r>
    </w:p>
    <w:p w14:paraId="1DD4B6D0" w14:textId="04B8CE0E" w:rsidR="00DD5520" w:rsidRDefault="00DD5520" w:rsidP="00A54803">
      <w:pPr>
        <w:pStyle w:val="ListParagraph"/>
        <w:numPr>
          <w:ilvl w:val="0"/>
          <w:numId w:val="3"/>
        </w:numPr>
        <w:autoSpaceDE w:val="0"/>
        <w:autoSpaceDN w:val="0"/>
        <w:adjustRightInd w:val="0"/>
        <w:spacing w:before="240" w:after="240" w:line="360" w:lineRule="auto"/>
        <w:rPr>
          <w:rFonts w:cs="Calibri"/>
        </w:rPr>
      </w:pPr>
      <w:r>
        <w:rPr>
          <w:rFonts w:cs="Calibri"/>
        </w:rPr>
        <w:t>Section 16- freedom of expression.</w:t>
      </w:r>
    </w:p>
    <w:p w14:paraId="6DA8B6E3" w14:textId="5DC3A7FF" w:rsidR="000456A6" w:rsidRDefault="000456A6" w:rsidP="00A54803">
      <w:pPr>
        <w:autoSpaceDE w:val="0"/>
        <w:autoSpaceDN w:val="0"/>
        <w:adjustRightInd w:val="0"/>
        <w:spacing w:before="240" w:after="240" w:line="360" w:lineRule="auto"/>
        <w:rPr>
          <w:rFonts w:cs="Calibri"/>
        </w:rPr>
      </w:pPr>
      <w:r>
        <w:rPr>
          <w:rFonts w:cs="Calibri"/>
        </w:rPr>
        <w:t>Section 28</w:t>
      </w:r>
      <w:r w:rsidR="007830D0">
        <w:rPr>
          <w:rFonts w:cs="Calibri"/>
        </w:rPr>
        <w:t>(1)</w:t>
      </w:r>
      <w:r>
        <w:rPr>
          <w:rFonts w:cs="Calibri"/>
        </w:rPr>
        <w:t xml:space="preserve"> </w:t>
      </w:r>
      <w:r w:rsidR="005C54B1">
        <w:rPr>
          <w:rFonts w:cs="Calibri"/>
        </w:rPr>
        <w:t xml:space="preserve">of the HRA </w:t>
      </w:r>
      <w:r>
        <w:rPr>
          <w:rFonts w:cs="Calibri"/>
        </w:rPr>
        <w:t>provides that human rights are subject only to reasonable limits set by laws that can be demonstrably justified in a free and democratic society.</w:t>
      </w:r>
    </w:p>
    <w:p w14:paraId="72E889F1" w14:textId="7975F014" w:rsidR="000456A6" w:rsidRDefault="000456A6" w:rsidP="00A54803">
      <w:pPr>
        <w:autoSpaceDE w:val="0"/>
        <w:autoSpaceDN w:val="0"/>
        <w:adjustRightInd w:val="0"/>
        <w:spacing w:before="240" w:after="240" w:line="360" w:lineRule="auto"/>
        <w:rPr>
          <w:rFonts w:cs="Calibri"/>
        </w:rPr>
      </w:pPr>
      <w:r>
        <w:rPr>
          <w:rFonts w:cs="Calibri"/>
        </w:rPr>
        <w:t>Section 28(2) provides that, in deciding whether a limit on a human right is reasonable, all relevant factors must be considered, including:</w:t>
      </w:r>
    </w:p>
    <w:p w14:paraId="0E24286A" w14:textId="3C882DF8" w:rsidR="000456A6" w:rsidRDefault="000456A6" w:rsidP="00A54803">
      <w:pPr>
        <w:pStyle w:val="ListParagraph"/>
        <w:numPr>
          <w:ilvl w:val="0"/>
          <w:numId w:val="11"/>
        </w:numPr>
        <w:autoSpaceDE w:val="0"/>
        <w:autoSpaceDN w:val="0"/>
        <w:adjustRightInd w:val="0"/>
        <w:spacing w:before="240" w:after="240" w:line="360" w:lineRule="auto"/>
        <w:rPr>
          <w:rFonts w:cs="Calibri"/>
        </w:rPr>
      </w:pPr>
      <w:r>
        <w:rPr>
          <w:rFonts w:cs="Calibri"/>
        </w:rPr>
        <w:t>The nature of the right affected;</w:t>
      </w:r>
    </w:p>
    <w:p w14:paraId="4F5862ED" w14:textId="4F834CAF" w:rsidR="000456A6" w:rsidRDefault="000456A6" w:rsidP="00A54803">
      <w:pPr>
        <w:pStyle w:val="ListParagraph"/>
        <w:numPr>
          <w:ilvl w:val="0"/>
          <w:numId w:val="11"/>
        </w:numPr>
        <w:autoSpaceDE w:val="0"/>
        <w:autoSpaceDN w:val="0"/>
        <w:adjustRightInd w:val="0"/>
        <w:spacing w:before="240" w:after="240" w:line="360" w:lineRule="auto"/>
        <w:rPr>
          <w:rFonts w:cs="Calibri"/>
        </w:rPr>
      </w:pPr>
      <w:r>
        <w:rPr>
          <w:rFonts w:cs="Calibri"/>
        </w:rPr>
        <w:t>The importance of the purpose of the limitation;</w:t>
      </w:r>
    </w:p>
    <w:p w14:paraId="7B21B255" w14:textId="182054C2" w:rsidR="000456A6" w:rsidRDefault="000456A6" w:rsidP="00A54803">
      <w:pPr>
        <w:pStyle w:val="ListParagraph"/>
        <w:numPr>
          <w:ilvl w:val="0"/>
          <w:numId w:val="11"/>
        </w:numPr>
        <w:autoSpaceDE w:val="0"/>
        <w:autoSpaceDN w:val="0"/>
        <w:adjustRightInd w:val="0"/>
        <w:spacing w:before="240" w:after="240" w:line="360" w:lineRule="auto"/>
        <w:rPr>
          <w:rFonts w:cs="Calibri"/>
        </w:rPr>
      </w:pPr>
      <w:r>
        <w:rPr>
          <w:rFonts w:cs="Calibri"/>
        </w:rPr>
        <w:t>The nature and extent of the limitation;</w:t>
      </w:r>
    </w:p>
    <w:p w14:paraId="2B605BF0" w14:textId="32DC668B" w:rsidR="000456A6" w:rsidRDefault="000456A6" w:rsidP="00A54803">
      <w:pPr>
        <w:pStyle w:val="ListParagraph"/>
        <w:numPr>
          <w:ilvl w:val="0"/>
          <w:numId w:val="11"/>
        </w:numPr>
        <w:autoSpaceDE w:val="0"/>
        <w:autoSpaceDN w:val="0"/>
        <w:adjustRightInd w:val="0"/>
        <w:spacing w:before="240" w:after="240" w:line="360" w:lineRule="auto"/>
        <w:rPr>
          <w:rFonts w:cs="Calibri"/>
        </w:rPr>
      </w:pPr>
      <w:r>
        <w:rPr>
          <w:rFonts w:cs="Calibri"/>
        </w:rPr>
        <w:t>The relationship between the limitation and its purposes; and</w:t>
      </w:r>
    </w:p>
    <w:p w14:paraId="1BC013FA" w14:textId="4FB92418" w:rsidR="000456A6" w:rsidRDefault="000456A6" w:rsidP="00A54803">
      <w:pPr>
        <w:pStyle w:val="ListParagraph"/>
        <w:numPr>
          <w:ilvl w:val="0"/>
          <w:numId w:val="11"/>
        </w:numPr>
        <w:autoSpaceDE w:val="0"/>
        <w:autoSpaceDN w:val="0"/>
        <w:adjustRightInd w:val="0"/>
        <w:spacing w:before="240" w:after="240" w:line="360" w:lineRule="auto"/>
        <w:rPr>
          <w:rFonts w:cs="Calibri"/>
        </w:rPr>
      </w:pPr>
      <w:r>
        <w:rPr>
          <w:rFonts w:cs="Calibri"/>
        </w:rPr>
        <w:t>Any less restrictive means reasonable available to achieve the purpose the limitation seeks to achieve.</w:t>
      </w:r>
    </w:p>
    <w:p w14:paraId="0CAA8344" w14:textId="4178553D" w:rsidR="00D66F5A" w:rsidRDefault="00D66F5A" w:rsidP="00A54803">
      <w:pPr>
        <w:autoSpaceDE w:val="0"/>
        <w:autoSpaceDN w:val="0"/>
        <w:adjustRightInd w:val="0"/>
        <w:spacing w:before="240" w:after="240" w:line="360" w:lineRule="auto"/>
        <w:rPr>
          <w:rFonts w:cs="Calibri"/>
        </w:rPr>
      </w:pPr>
      <w:r>
        <w:rPr>
          <w:rFonts w:cs="Calibri"/>
        </w:rPr>
        <w:t>The limits that are placed on human rights by the Bill are reasonable and justifiable in a free and democratic society.</w:t>
      </w:r>
      <w:r w:rsidRPr="00D66F5A">
        <w:rPr>
          <w:rFonts w:cs="Calibri"/>
        </w:rPr>
        <w:t xml:space="preserve"> </w:t>
      </w:r>
      <w:r>
        <w:rPr>
          <w:rFonts w:cs="Calibri"/>
        </w:rPr>
        <w:t>An assessment of the Bill</w:t>
      </w:r>
      <w:r w:rsidR="005C54B1">
        <w:rPr>
          <w:rFonts w:cs="Calibri"/>
        </w:rPr>
        <w:t xml:space="preserve">’s impact on relevant provisions of the HRA, </w:t>
      </w:r>
      <w:r>
        <w:rPr>
          <w:rFonts w:cs="Calibri"/>
        </w:rPr>
        <w:t>agai</w:t>
      </w:r>
      <w:r w:rsidR="00676A04">
        <w:rPr>
          <w:rFonts w:cs="Calibri"/>
        </w:rPr>
        <w:t>n</w:t>
      </w:r>
      <w:r>
        <w:rPr>
          <w:rFonts w:cs="Calibri"/>
        </w:rPr>
        <w:t xml:space="preserve">st all factors in </w:t>
      </w:r>
      <w:r w:rsidR="0075594D">
        <w:rPr>
          <w:rFonts w:cs="Calibri"/>
        </w:rPr>
        <w:t>s</w:t>
      </w:r>
      <w:r w:rsidR="00320B24">
        <w:rPr>
          <w:rFonts w:cs="Calibri"/>
        </w:rPr>
        <w:t xml:space="preserve">ection </w:t>
      </w:r>
      <w:r>
        <w:rPr>
          <w:rFonts w:cs="Calibri"/>
        </w:rPr>
        <w:t>28</w:t>
      </w:r>
      <w:r w:rsidR="007830D0">
        <w:rPr>
          <w:rFonts w:cs="Calibri"/>
        </w:rPr>
        <w:t>(2)</w:t>
      </w:r>
      <w:r>
        <w:rPr>
          <w:rFonts w:cs="Calibri"/>
        </w:rPr>
        <w:t xml:space="preserve"> is provided below.</w:t>
      </w:r>
    </w:p>
    <w:p w14:paraId="5AEF52A1" w14:textId="77777777" w:rsidR="00162563" w:rsidRDefault="00162563" w:rsidP="008658D4">
      <w:pPr>
        <w:spacing w:before="0"/>
        <w:rPr>
          <w:rFonts w:ascii="Arial" w:hAnsi="Arial" w:cs="Arial"/>
          <w:b/>
          <w:bCs/>
          <w:iCs/>
          <w:szCs w:val="24"/>
        </w:rPr>
      </w:pPr>
    </w:p>
    <w:p w14:paraId="1B1144BB" w14:textId="435C6C9A" w:rsidR="007830D0" w:rsidRDefault="007830D0" w:rsidP="008658D4">
      <w:pPr>
        <w:spacing w:before="0"/>
        <w:rPr>
          <w:rFonts w:ascii="Arial" w:hAnsi="Arial" w:cs="Arial"/>
          <w:b/>
          <w:bCs/>
          <w:iCs/>
          <w:szCs w:val="24"/>
        </w:rPr>
      </w:pPr>
      <w:r w:rsidRPr="008658D4">
        <w:rPr>
          <w:rFonts w:ascii="Arial" w:hAnsi="Arial" w:cs="Arial"/>
          <w:b/>
          <w:bCs/>
          <w:iCs/>
          <w:szCs w:val="24"/>
        </w:rPr>
        <w:t>Rights engaged</w:t>
      </w:r>
    </w:p>
    <w:p w14:paraId="5EC7A79C" w14:textId="77777777" w:rsidR="008658D4" w:rsidRPr="008658D4" w:rsidRDefault="008658D4" w:rsidP="008658D4">
      <w:pPr>
        <w:spacing w:before="0"/>
        <w:rPr>
          <w:rFonts w:ascii="Arial" w:hAnsi="Arial" w:cs="Arial"/>
          <w:b/>
          <w:bCs/>
          <w:iCs/>
          <w:szCs w:val="24"/>
        </w:rPr>
      </w:pPr>
    </w:p>
    <w:p w14:paraId="422C21AD" w14:textId="3214BD8B" w:rsidR="008658D4" w:rsidRPr="008658D4" w:rsidRDefault="000456A6" w:rsidP="008658D4">
      <w:pPr>
        <w:spacing w:before="0"/>
        <w:rPr>
          <w:rFonts w:ascii="Arial" w:hAnsi="Arial" w:cs="Arial"/>
          <w:b/>
          <w:bCs/>
          <w:i/>
          <w:szCs w:val="24"/>
          <w:u w:val="single"/>
        </w:rPr>
      </w:pPr>
      <w:r w:rsidRPr="008658D4">
        <w:rPr>
          <w:rFonts w:ascii="Arial" w:hAnsi="Arial" w:cs="Arial"/>
          <w:b/>
          <w:bCs/>
          <w:i/>
          <w:szCs w:val="24"/>
          <w:u w:val="single"/>
        </w:rPr>
        <w:t>Section 8- Recognition and equality before the law</w:t>
      </w:r>
    </w:p>
    <w:p w14:paraId="3B958E4C" w14:textId="44F65989" w:rsidR="0045208E" w:rsidRPr="00157FE5" w:rsidRDefault="0045208E" w:rsidP="00420252">
      <w:pPr>
        <w:keepNext/>
        <w:autoSpaceDE w:val="0"/>
        <w:autoSpaceDN w:val="0"/>
        <w:adjustRightInd w:val="0"/>
        <w:spacing w:before="240" w:after="240" w:line="360" w:lineRule="auto"/>
        <w:rPr>
          <w:rFonts w:asciiTheme="minorHAnsi" w:hAnsiTheme="minorHAnsi" w:cstheme="minorHAnsi"/>
        </w:rPr>
      </w:pPr>
      <w:r w:rsidRPr="00157FE5">
        <w:rPr>
          <w:rFonts w:asciiTheme="minorHAnsi" w:hAnsiTheme="minorHAnsi" w:cstheme="minorHAnsi"/>
        </w:rPr>
        <w:t>Section 8 of the HRA provides that:</w:t>
      </w:r>
    </w:p>
    <w:p w14:paraId="57388B6E" w14:textId="77777777" w:rsidR="00157FE5" w:rsidRPr="00157FE5" w:rsidRDefault="00157FE5" w:rsidP="00420252">
      <w:pPr>
        <w:pStyle w:val="Amain"/>
        <w:spacing w:line="360" w:lineRule="auto"/>
        <w:rPr>
          <w:rFonts w:asciiTheme="minorHAnsi" w:hAnsiTheme="minorHAnsi" w:cstheme="minorHAnsi"/>
          <w:i/>
          <w:iCs/>
        </w:rPr>
      </w:pPr>
      <w:r w:rsidRPr="00157FE5">
        <w:rPr>
          <w:rFonts w:asciiTheme="minorHAnsi" w:hAnsiTheme="minorHAnsi" w:cstheme="minorHAnsi"/>
          <w:i/>
          <w:iCs/>
        </w:rPr>
        <w:tab/>
        <w:t>(1)</w:t>
      </w:r>
      <w:r w:rsidRPr="00157FE5">
        <w:rPr>
          <w:rFonts w:asciiTheme="minorHAnsi" w:hAnsiTheme="minorHAnsi" w:cstheme="minorHAnsi"/>
          <w:i/>
          <w:iCs/>
        </w:rPr>
        <w:tab/>
        <w:t>Everyone has the right to recognition as a person before the law.</w:t>
      </w:r>
    </w:p>
    <w:p w14:paraId="2F49D134" w14:textId="77777777" w:rsidR="00157FE5" w:rsidRPr="00157FE5" w:rsidRDefault="00157FE5" w:rsidP="00420252">
      <w:pPr>
        <w:pStyle w:val="Amain"/>
        <w:spacing w:line="360" w:lineRule="auto"/>
        <w:rPr>
          <w:rFonts w:asciiTheme="minorHAnsi" w:hAnsiTheme="minorHAnsi" w:cstheme="minorHAnsi"/>
          <w:i/>
          <w:iCs/>
        </w:rPr>
      </w:pPr>
      <w:r w:rsidRPr="00157FE5">
        <w:rPr>
          <w:rFonts w:asciiTheme="minorHAnsi" w:hAnsiTheme="minorHAnsi" w:cstheme="minorHAnsi"/>
          <w:i/>
          <w:iCs/>
        </w:rPr>
        <w:tab/>
        <w:t>(2)</w:t>
      </w:r>
      <w:r w:rsidRPr="00157FE5">
        <w:rPr>
          <w:rFonts w:asciiTheme="minorHAnsi" w:hAnsiTheme="minorHAnsi" w:cstheme="minorHAnsi"/>
          <w:i/>
          <w:iCs/>
        </w:rPr>
        <w:tab/>
        <w:t>Everyone has the right to enjoy his or her human rights without distinction or discrimination of any kind.</w:t>
      </w:r>
    </w:p>
    <w:p w14:paraId="4409C75E" w14:textId="1BD85BCF" w:rsidR="00197872" w:rsidRDefault="00157FE5" w:rsidP="00FD77E9">
      <w:pPr>
        <w:pStyle w:val="Amain"/>
        <w:spacing w:line="360" w:lineRule="auto"/>
        <w:rPr>
          <w:rFonts w:asciiTheme="minorHAnsi" w:hAnsiTheme="minorHAnsi" w:cstheme="minorHAnsi"/>
          <w:i/>
          <w:iCs/>
        </w:rPr>
      </w:pPr>
      <w:r w:rsidRPr="00157FE5">
        <w:rPr>
          <w:rFonts w:asciiTheme="minorHAnsi" w:hAnsiTheme="minorHAnsi" w:cstheme="minorHAnsi"/>
          <w:i/>
          <w:iCs/>
        </w:rPr>
        <w:tab/>
        <w:t>(3)</w:t>
      </w:r>
      <w:r w:rsidRPr="00157FE5">
        <w:rPr>
          <w:rFonts w:asciiTheme="minorHAnsi" w:hAnsiTheme="minorHAnsi" w:cstheme="minorHAnsi"/>
          <w:i/>
          <w:iCs/>
        </w:rPr>
        <w:tab/>
        <w:t>Everyone is equal before the law and is entitled to the equal protection of the law without discrimination. In particular, everyone has the right to equal and effective protection against discrimination on any ground.</w:t>
      </w:r>
    </w:p>
    <w:p w14:paraId="5646C26E" w14:textId="77777777" w:rsidR="00676A04" w:rsidRDefault="00676A04" w:rsidP="00FD77E9">
      <w:pPr>
        <w:pStyle w:val="Amain"/>
        <w:spacing w:line="360" w:lineRule="auto"/>
        <w:rPr>
          <w:rFonts w:asciiTheme="minorHAnsi" w:hAnsiTheme="minorHAnsi" w:cstheme="minorHAnsi"/>
          <w:i/>
          <w:iCs/>
        </w:rPr>
      </w:pPr>
    </w:p>
    <w:p w14:paraId="6673DD52" w14:textId="27ACB044" w:rsidR="00D14F92" w:rsidRPr="008658D4" w:rsidRDefault="00D14F92" w:rsidP="008658D4">
      <w:pPr>
        <w:pStyle w:val="ListParagraph"/>
        <w:numPr>
          <w:ilvl w:val="0"/>
          <w:numId w:val="16"/>
        </w:numPr>
        <w:spacing w:before="0"/>
        <w:rPr>
          <w:rFonts w:ascii="Arial" w:hAnsi="Arial" w:cs="Arial"/>
          <w:b/>
          <w:bCs/>
          <w:i/>
          <w:szCs w:val="24"/>
        </w:rPr>
      </w:pPr>
      <w:r w:rsidRPr="008658D4">
        <w:rPr>
          <w:rFonts w:ascii="Arial" w:hAnsi="Arial" w:cs="Arial"/>
          <w:b/>
          <w:bCs/>
          <w:i/>
          <w:szCs w:val="24"/>
        </w:rPr>
        <w:t>Nature of the right and the limitation (s28(a) and (c))</w:t>
      </w:r>
    </w:p>
    <w:p w14:paraId="239FDF26" w14:textId="36BFB736" w:rsidR="004105EC" w:rsidRDefault="00157FE5" w:rsidP="00420252">
      <w:pPr>
        <w:keepNext/>
        <w:autoSpaceDE w:val="0"/>
        <w:autoSpaceDN w:val="0"/>
        <w:adjustRightInd w:val="0"/>
        <w:spacing w:before="240" w:after="240" w:line="360" w:lineRule="auto"/>
        <w:rPr>
          <w:rFonts w:cs="Calibri"/>
        </w:rPr>
      </w:pPr>
      <w:r w:rsidRPr="00157FE5">
        <w:rPr>
          <w:rFonts w:cs="Calibri"/>
        </w:rPr>
        <w:t xml:space="preserve">Several provisions of the Bill may be considered to engage section 8 by </w:t>
      </w:r>
      <w:r w:rsidR="0036601D">
        <w:rPr>
          <w:rFonts w:cs="Calibri"/>
        </w:rPr>
        <w:t>introducing</w:t>
      </w:r>
      <w:r w:rsidRPr="00157FE5">
        <w:rPr>
          <w:rFonts w:cs="Calibri"/>
        </w:rPr>
        <w:t xml:space="preserve"> </w:t>
      </w:r>
      <w:r w:rsidR="000838BE">
        <w:rPr>
          <w:rFonts w:cs="Calibri"/>
        </w:rPr>
        <w:t xml:space="preserve">special </w:t>
      </w:r>
      <w:r w:rsidR="0036601D">
        <w:rPr>
          <w:rFonts w:cs="Calibri"/>
        </w:rPr>
        <w:t>requirements</w:t>
      </w:r>
      <w:r w:rsidRPr="00157FE5">
        <w:rPr>
          <w:rFonts w:cs="Calibri"/>
        </w:rPr>
        <w:t xml:space="preserve"> applying </w:t>
      </w:r>
      <w:r w:rsidR="00E82262">
        <w:rPr>
          <w:rFonts w:cs="Calibri"/>
        </w:rPr>
        <w:t>only to</w:t>
      </w:r>
      <w:r w:rsidRPr="00157FE5">
        <w:rPr>
          <w:rFonts w:cs="Calibri"/>
        </w:rPr>
        <w:t xml:space="preserve"> owners and occupiers of affected residential premises</w:t>
      </w:r>
      <w:r w:rsidR="004247CB">
        <w:rPr>
          <w:rFonts w:cs="Calibri"/>
        </w:rPr>
        <w:t xml:space="preserve">.  For example, the requirement for </w:t>
      </w:r>
      <w:r w:rsidRPr="00157FE5">
        <w:rPr>
          <w:rFonts w:cs="Calibri"/>
        </w:rPr>
        <w:t xml:space="preserve">owners </w:t>
      </w:r>
      <w:r w:rsidR="004247CB">
        <w:rPr>
          <w:rFonts w:cs="Calibri"/>
        </w:rPr>
        <w:t xml:space="preserve">of affected premises </w:t>
      </w:r>
      <w:r w:rsidRPr="00157FE5">
        <w:rPr>
          <w:rFonts w:cs="Calibri"/>
        </w:rPr>
        <w:t xml:space="preserve">to display </w:t>
      </w:r>
      <w:r w:rsidR="00932395">
        <w:rPr>
          <w:rFonts w:cs="Calibri"/>
        </w:rPr>
        <w:t>their</w:t>
      </w:r>
      <w:r w:rsidRPr="00157FE5">
        <w:rPr>
          <w:rFonts w:cs="Calibri"/>
        </w:rPr>
        <w:t xml:space="preserve"> asbestos contamination report</w:t>
      </w:r>
      <w:r w:rsidR="00932395">
        <w:rPr>
          <w:rFonts w:cs="Calibri"/>
        </w:rPr>
        <w:t xml:space="preserve"> (commonly known as an AMP)</w:t>
      </w:r>
      <w:r w:rsidRPr="00157FE5">
        <w:rPr>
          <w:rFonts w:cs="Calibri"/>
        </w:rPr>
        <w:t xml:space="preserve"> at a prominent location at their residence</w:t>
      </w:r>
      <w:r w:rsidR="004247CB">
        <w:rPr>
          <w:rFonts w:cs="Calibri"/>
        </w:rPr>
        <w:t xml:space="preserve">; or </w:t>
      </w:r>
      <w:r w:rsidR="00AC1140">
        <w:rPr>
          <w:rFonts w:cs="Calibri"/>
        </w:rPr>
        <w:t xml:space="preserve">limiting </w:t>
      </w:r>
      <w:r w:rsidRPr="00157FE5">
        <w:rPr>
          <w:rFonts w:cs="Calibri"/>
        </w:rPr>
        <w:t xml:space="preserve">building and development works </w:t>
      </w:r>
      <w:r w:rsidR="004247CB">
        <w:rPr>
          <w:rFonts w:cs="Calibri"/>
        </w:rPr>
        <w:t>permitted at affected premises.</w:t>
      </w:r>
      <w:r w:rsidR="004105EC">
        <w:rPr>
          <w:rFonts w:cs="Calibri"/>
        </w:rPr>
        <w:t xml:space="preserve"> </w:t>
      </w:r>
    </w:p>
    <w:p w14:paraId="7444941E" w14:textId="4CB2D726" w:rsidR="00157FE5" w:rsidRDefault="006E191F" w:rsidP="00420252">
      <w:pPr>
        <w:keepNext/>
        <w:autoSpaceDE w:val="0"/>
        <w:autoSpaceDN w:val="0"/>
        <w:adjustRightInd w:val="0"/>
        <w:spacing w:before="240" w:after="240" w:line="360" w:lineRule="auto"/>
        <w:rPr>
          <w:rFonts w:cs="Calibri"/>
        </w:rPr>
      </w:pPr>
      <w:r>
        <w:rPr>
          <w:rFonts w:cs="Calibri"/>
        </w:rPr>
        <w:t>The Bill</w:t>
      </w:r>
      <w:r w:rsidR="000838BE">
        <w:rPr>
          <w:rFonts w:cs="Calibri"/>
        </w:rPr>
        <w:t xml:space="preserve"> could be considered to make a distinction between owners of affected residential </w:t>
      </w:r>
      <w:r w:rsidR="004247CB">
        <w:rPr>
          <w:rFonts w:cs="Calibri"/>
        </w:rPr>
        <w:t>premises</w:t>
      </w:r>
      <w:r w:rsidR="000838BE">
        <w:rPr>
          <w:rFonts w:cs="Calibri"/>
        </w:rPr>
        <w:t xml:space="preserve"> and owners of non-affected </w:t>
      </w:r>
      <w:r w:rsidR="004247CB">
        <w:rPr>
          <w:rFonts w:cs="Calibri"/>
        </w:rPr>
        <w:t>premises</w:t>
      </w:r>
      <w:r w:rsidR="000838BE">
        <w:rPr>
          <w:rFonts w:cs="Calibri"/>
        </w:rPr>
        <w:t xml:space="preserve">. </w:t>
      </w:r>
      <w:r w:rsidR="00F32054">
        <w:rPr>
          <w:rFonts w:cs="Calibri"/>
        </w:rPr>
        <w:t>However,</w:t>
      </w:r>
      <w:r w:rsidR="00AC1140">
        <w:rPr>
          <w:rFonts w:cs="Calibri"/>
        </w:rPr>
        <w:t xml:space="preserve"> the</w:t>
      </w:r>
      <w:r w:rsidR="000838BE">
        <w:rPr>
          <w:rFonts w:cs="Calibri"/>
        </w:rPr>
        <w:t xml:space="preserve"> Bill does not </w:t>
      </w:r>
      <w:r w:rsidR="00B65E45">
        <w:rPr>
          <w:rFonts w:cs="Calibri"/>
        </w:rPr>
        <w:t xml:space="preserve">distinguish </w:t>
      </w:r>
      <w:r w:rsidR="00AC1140">
        <w:rPr>
          <w:rFonts w:cs="Calibri"/>
        </w:rPr>
        <w:t>on the basis of the personal characteristics of owners</w:t>
      </w:r>
      <w:r w:rsidR="00B65E45">
        <w:rPr>
          <w:rFonts w:cs="Calibri"/>
        </w:rPr>
        <w:t>. T</w:t>
      </w:r>
      <w:r w:rsidR="000838BE">
        <w:rPr>
          <w:rFonts w:cs="Calibri"/>
        </w:rPr>
        <w:t xml:space="preserve">he only distinction introduced is </w:t>
      </w:r>
      <w:r w:rsidR="00AC1140">
        <w:rPr>
          <w:rFonts w:cs="Calibri"/>
        </w:rPr>
        <w:t>that</w:t>
      </w:r>
      <w:r w:rsidR="000838BE">
        <w:rPr>
          <w:rFonts w:cs="Calibri"/>
        </w:rPr>
        <w:t xml:space="preserve"> between </w:t>
      </w:r>
      <w:r w:rsidR="004247CB">
        <w:rPr>
          <w:rFonts w:cs="Calibri"/>
        </w:rPr>
        <w:t>premises that are contaminated with loose-fill asbestos insulation and those that are not. T</w:t>
      </w:r>
      <w:r w:rsidR="00D66F5A">
        <w:rPr>
          <w:rFonts w:cs="Calibri"/>
        </w:rPr>
        <w:t>he Bill simply effects this distinction by placing obligations on owners</w:t>
      </w:r>
      <w:r w:rsidR="0036601D">
        <w:rPr>
          <w:rFonts w:cs="Calibri"/>
        </w:rPr>
        <w:t xml:space="preserve"> and occupiers</w:t>
      </w:r>
      <w:r w:rsidR="004105EC">
        <w:rPr>
          <w:rFonts w:cs="Calibri"/>
        </w:rPr>
        <w:t xml:space="preserve"> as natural persons</w:t>
      </w:r>
      <w:r w:rsidR="00D66F5A">
        <w:rPr>
          <w:rFonts w:cs="Calibri"/>
        </w:rPr>
        <w:t>.</w:t>
      </w:r>
    </w:p>
    <w:p w14:paraId="63BADFE7" w14:textId="54876C5A" w:rsidR="008A6743" w:rsidRDefault="008A6743" w:rsidP="008A6743">
      <w:pPr>
        <w:keepNext/>
        <w:autoSpaceDE w:val="0"/>
        <w:autoSpaceDN w:val="0"/>
        <w:adjustRightInd w:val="0"/>
        <w:spacing w:before="240" w:after="240" w:line="360" w:lineRule="auto"/>
        <w:rPr>
          <w:rFonts w:cs="Calibri"/>
        </w:rPr>
      </w:pPr>
      <w:r>
        <w:rPr>
          <w:rFonts w:cs="Calibri"/>
        </w:rPr>
        <w:t xml:space="preserve">The </w:t>
      </w:r>
      <w:r w:rsidR="006E191F">
        <w:rPr>
          <w:rFonts w:cs="Calibri"/>
        </w:rPr>
        <w:t>Bill</w:t>
      </w:r>
      <w:r>
        <w:rPr>
          <w:rFonts w:cs="Calibri"/>
        </w:rPr>
        <w:t xml:space="preserve"> provide</w:t>
      </w:r>
      <w:r w:rsidR="006E191F">
        <w:rPr>
          <w:rFonts w:cs="Calibri"/>
        </w:rPr>
        <w:t>s</w:t>
      </w:r>
      <w:r>
        <w:rPr>
          <w:rFonts w:cs="Calibri"/>
        </w:rPr>
        <w:t xml:space="preserve"> for a licensed asbestos assessor to determine the appropriate validity period</w:t>
      </w:r>
      <w:r w:rsidR="00117807">
        <w:rPr>
          <w:rFonts w:cs="Calibri"/>
        </w:rPr>
        <w:t xml:space="preserve"> (</w:t>
      </w:r>
      <w:r>
        <w:rPr>
          <w:rFonts w:cs="Calibri"/>
        </w:rPr>
        <w:t>between 6 – 24 months</w:t>
      </w:r>
      <w:r w:rsidR="00117807">
        <w:rPr>
          <w:rFonts w:cs="Calibri"/>
        </w:rPr>
        <w:t>)</w:t>
      </w:r>
      <w:r>
        <w:rPr>
          <w:rFonts w:cs="Calibri"/>
        </w:rPr>
        <w:t xml:space="preserve"> for an AMP, specific to the nature and condition of the affected premises. Such amendments may be considered to engage the right to equality, as certain </w:t>
      </w:r>
      <w:r>
        <w:rPr>
          <w:rFonts w:cs="Calibri"/>
        </w:rPr>
        <w:lastRenderedPageBreak/>
        <w:t xml:space="preserve">owners </w:t>
      </w:r>
      <w:r w:rsidR="00117807">
        <w:rPr>
          <w:rFonts w:cs="Calibri"/>
        </w:rPr>
        <w:t>may be</w:t>
      </w:r>
      <w:r>
        <w:rPr>
          <w:rFonts w:cs="Calibri"/>
        </w:rPr>
        <w:t xml:space="preserve"> required to pay for reports more frequently than the current requirement of every two years, </w:t>
      </w:r>
      <w:r w:rsidR="00117807">
        <w:rPr>
          <w:rFonts w:cs="Calibri"/>
        </w:rPr>
        <w:t>while</w:t>
      </w:r>
      <w:r>
        <w:rPr>
          <w:rFonts w:cs="Calibri"/>
        </w:rPr>
        <w:t xml:space="preserve"> other owners may receive a longer AMP validity period.</w:t>
      </w:r>
    </w:p>
    <w:p w14:paraId="22E4971C" w14:textId="1510248E" w:rsidR="005B7E14" w:rsidRDefault="00A02B0E" w:rsidP="00AE03B5">
      <w:pPr>
        <w:keepNext/>
        <w:autoSpaceDE w:val="0"/>
        <w:autoSpaceDN w:val="0"/>
        <w:adjustRightInd w:val="0"/>
        <w:spacing w:before="240" w:after="240" w:line="360" w:lineRule="auto"/>
        <w:rPr>
          <w:rFonts w:cs="Calibri"/>
        </w:rPr>
      </w:pPr>
      <w:r>
        <w:rPr>
          <w:rFonts w:cs="Calibri"/>
        </w:rPr>
        <w:t xml:space="preserve">The </w:t>
      </w:r>
      <w:r w:rsidR="009A75CB">
        <w:rPr>
          <w:rFonts w:cs="Calibri"/>
        </w:rPr>
        <w:t>Bill</w:t>
      </w:r>
      <w:r w:rsidR="00EF0290">
        <w:rPr>
          <w:rFonts w:cs="Calibri"/>
        </w:rPr>
        <w:t xml:space="preserve"> </w:t>
      </w:r>
      <w:r>
        <w:rPr>
          <w:rFonts w:cs="Calibri"/>
        </w:rPr>
        <w:t>remove</w:t>
      </w:r>
      <w:r w:rsidR="009A75CB">
        <w:rPr>
          <w:rFonts w:cs="Calibri"/>
        </w:rPr>
        <w:t>s</w:t>
      </w:r>
      <w:r w:rsidR="00EF0290">
        <w:rPr>
          <w:rFonts w:cs="Calibri"/>
        </w:rPr>
        <w:t xml:space="preserve"> access to </w:t>
      </w:r>
      <w:r w:rsidR="00675961">
        <w:rPr>
          <w:rFonts w:cs="Calibri"/>
        </w:rPr>
        <w:t xml:space="preserve">many of the </w:t>
      </w:r>
      <w:r w:rsidR="00EF0290">
        <w:rPr>
          <w:rFonts w:cs="Calibri"/>
        </w:rPr>
        <w:t xml:space="preserve">development and building approvals </w:t>
      </w:r>
      <w:r w:rsidR="001D201E">
        <w:rPr>
          <w:rFonts w:cs="Calibri"/>
        </w:rPr>
        <w:t xml:space="preserve">that are available to the owners of non-affected properties. Again, this distinction is not based on personal characteristics of the owner, but on the status of the premises as affected or not. Demolition activity and works essential </w:t>
      </w:r>
      <w:r w:rsidR="00BB4654">
        <w:rPr>
          <w:rFonts w:cs="Calibri"/>
        </w:rPr>
        <w:t>for health</w:t>
      </w:r>
      <w:r w:rsidR="00C214F1">
        <w:rPr>
          <w:rFonts w:cs="Calibri"/>
        </w:rPr>
        <w:t>,</w:t>
      </w:r>
      <w:r w:rsidR="00C214F1" w:rsidRPr="00C214F1">
        <w:rPr>
          <w:rFonts w:cs="Calibri"/>
        </w:rPr>
        <w:t xml:space="preserve"> </w:t>
      </w:r>
      <w:r w:rsidR="00C214F1">
        <w:rPr>
          <w:rFonts w:cs="Calibri"/>
        </w:rPr>
        <w:t>safety</w:t>
      </w:r>
      <w:r w:rsidR="00BB4654">
        <w:rPr>
          <w:rFonts w:cs="Calibri"/>
        </w:rPr>
        <w:t xml:space="preserve"> or reasonable living conditions</w:t>
      </w:r>
      <w:r w:rsidR="001D201E">
        <w:rPr>
          <w:rFonts w:cs="Calibri"/>
        </w:rPr>
        <w:t xml:space="preserve"> are still permitted for affected premises.</w:t>
      </w:r>
      <w:r w:rsidR="00675961">
        <w:rPr>
          <w:rFonts w:cs="Calibri"/>
        </w:rPr>
        <w:t xml:space="preserve">  Additionally, some m</w:t>
      </w:r>
      <w:r w:rsidR="00D32530">
        <w:rPr>
          <w:rFonts w:cs="Calibri"/>
        </w:rPr>
        <w:t xml:space="preserve">inor works </w:t>
      </w:r>
      <w:r w:rsidR="00675961">
        <w:rPr>
          <w:rFonts w:cs="Calibri"/>
        </w:rPr>
        <w:t>that clearly are not connected to the affected buildings will remain exempt, s</w:t>
      </w:r>
      <w:r w:rsidR="00D32530">
        <w:rPr>
          <w:rFonts w:cs="Calibri"/>
        </w:rPr>
        <w:t>uch as installing a letterbox or erecting a fence.</w:t>
      </w:r>
    </w:p>
    <w:p w14:paraId="751EAC83" w14:textId="202CD829" w:rsidR="00D14F92" w:rsidRPr="00414921" w:rsidRDefault="00D14F92" w:rsidP="00675961">
      <w:pPr>
        <w:pStyle w:val="ListParagraph"/>
        <w:numPr>
          <w:ilvl w:val="0"/>
          <w:numId w:val="16"/>
        </w:numPr>
        <w:spacing w:before="0"/>
        <w:contextualSpacing w:val="0"/>
        <w:rPr>
          <w:rFonts w:ascii="Arial" w:hAnsi="Arial" w:cs="Arial"/>
          <w:b/>
          <w:bCs/>
          <w:i/>
          <w:szCs w:val="24"/>
        </w:rPr>
      </w:pPr>
      <w:r w:rsidRPr="00414921">
        <w:rPr>
          <w:rFonts w:ascii="Arial" w:hAnsi="Arial" w:cs="Arial"/>
          <w:b/>
          <w:bCs/>
          <w:i/>
          <w:szCs w:val="24"/>
        </w:rPr>
        <w:t>Legitimate purpose (s28(b))</w:t>
      </w:r>
    </w:p>
    <w:p w14:paraId="191E7A1A" w14:textId="5F320E7F" w:rsidR="00144650" w:rsidRDefault="00B65E45" w:rsidP="00420252">
      <w:pPr>
        <w:keepNext/>
        <w:autoSpaceDE w:val="0"/>
        <w:autoSpaceDN w:val="0"/>
        <w:adjustRightInd w:val="0"/>
        <w:spacing w:before="240" w:after="240" w:line="360" w:lineRule="auto"/>
        <w:rPr>
          <w:rFonts w:cs="Calibri"/>
        </w:rPr>
      </w:pPr>
      <w:r>
        <w:rPr>
          <w:rFonts w:cs="Calibri"/>
        </w:rPr>
        <w:t>The risks and consequences of exposure to loose-fill asbestos are widely understood</w:t>
      </w:r>
      <w:r w:rsidR="00144650">
        <w:rPr>
          <w:rFonts w:cs="Calibri"/>
        </w:rPr>
        <w:t>; occupiers of affected properties and tradespeople, care workers and other visitors may be subject to significant health risks</w:t>
      </w:r>
      <w:r>
        <w:rPr>
          <w:rFonts w:cs="Calibri"/>
        </w:rPr>
        <w:t xml:space="preserve">. </w:t>
      </w:r>
    </w:p>
    <w:p w14:paraId="7C3B7A2C" w14:textId="5D666306" w:rsidR="00D32530" w:rsidRPr="004A468F" w:rsidRDefault="007170BD" w:rsidP="00420252">
      <w:pPr>
        <w:keepNext/>
        <w:autoSpaceDE w:val="0"/>
        <w:autoSpaceDN w:val="0"/>
        <w:adjustRightInd w:val="0"/>
        <w:spacing w:before="240" w:after="240" w:line="360" w:lineRule="auto"/>
        <w:rPr>
          <w:rFonts w:cs="Calibri"/>
        </w:rPr>
      </w:pPr>
      <w:r>
        <w:rPr>
          <w:rFonts w:cs="Calibri"/>
        </w:rPr>
        <w:t xml:space="preserve">The objectives sought to be achieved by the Bill are to promote community safety in the ACT, and to support the phase out of affected properties, which continue to present a risk to the community. </w:t>
      </w:r>
      <w:r w:rsidR="008C4B80">
        <w:rPr>
          <w:rFonts w:cs="Calibri"/>
        </w:rPr>
        <w:t xml:space="preserve">The only way to ensure the health, financial and social risks associated with </w:t>
      </w:r>
      <w:r w:rsidR="00675961">
        <w:rPr>
          <w:rFonts w:cs="Calibri"/>
        </w:rPr>
        <w:t>loose-fill asbestos affected houses</w:t>
      </w:r>
      <w:r w:rsidR="008C4B80">
        <w:rPr>
          <w:rFonts w:cs="Calibri"/>
        </w:rPr>
        <w:t xml:space="preserve"> is effectively managed is to ensure that every </w:t>
      </w:r>
      <w:r w:rsidR="000470FB">
        <w:rPr>
          <w:rFonts w:cs="Calibri"/>
        </w:rPr>
        <w:t xml:space="preserve">affected residential </w:t>
      </w:r>
      <w:r w:rsidR="00675961">
        <w:rPr>
          <w:rFonts w:cs="Calibri"/>
        </w:rPr>
        <w:t>premise is</w:t>
      </w:r>
      <w:r w:rsidR="008C4B80">
        <w:rPr>
          <w:rFonts w:cs="Calibri"/>
        </w:rPr>
        <w:t xml:space="preserve"> demolished. </w:t>
      </w:r>
      <w:r w:rsidR="005E3864">
        <w:rPr>
          <w:rFonts w:cs="Calibri"/>
        </w:rPr>
        <w:t xml:space="preserve">The measures </w:t>
      </w:r>
      <w:r w:rsidR="00676A04">
        <w:rPr>
          <w:rFonts w:cs="Calibri"/>
        </w:rPr>
        <w:t>engaging</w:t>
      </w:r>
      <w:r w:rsidR="005E3864">
        <w:rPr>
          <w:rFonts w:cs="Calibri"/>
        </w:rPr>
        <w:t xml:space="preserve"> section 8, by introducing </w:t>
      </w:r>
      <w:r w:rsidR="00FD77E9">
        <w:rPr>
          <w:rFonts w:cs="Calibri"/>
        </w:rPr>
        <w:t>requirements</w:t>
      </w:r>
      <w:r w:rsidR="005E3864">
        <w:rPr>
          <w:rFonts w:cs="Calibri"/>
        </w:rPr>
        <w:t xml:space="preserve"> relating to affected </w:t>
      </w:r>
      <w:r w:rsidR="005E3864" w:rsidRPr="004A468F">
        <w:rPr>
          <w:rFonts w:cs="Calibri"/>
        </w:rPr>
        <w:t xml:space="preserve">residential premises and their owners, are </w:t>
      </w:r>
      <w:r w:rsidR="00126DDB" w:rsidRPr="004A468F">
        <w:rPr>
          <w:rFonts w:cs="Calibri"/>
        </w:rPr>
        <w:t>required</w:t>
      </w:r>
      <w:r w:rsidR="005E3864" w:rsidRPr="004A468F">
        <w:rPr>
          <w:rFonts w:cs="Calibri"/>
        </w:rPr>
        <w:t xml:space="preserve"> to achieve the objectives of the Bill. </w:t>
      </w:r>
    </w:p>
    <w:p w14:paraId="734D3758" w14:textId="2CDCCB5A" w:rsidR="0061388B" w:rsidRPr="004A468F" w:rsidRDefault="0061388B" w:rsidP="00675961">
      <w:pPr>
        <w:pStyle w:val="ListParagraph"/>
        <w:numPr>
          <w:ilvl w:val="0"/>
          <w:numId w:val="16"/>
        </w:numPr>
        <w:spacing w:before="0"/>
        <w:contextualSpacing w:val="0"/>
        <w:rPr>
          <w:rFonts w:ascii="Arial" w:hAnsi="Arial" w:cs="Arial"/>
          <w:b/>
          <w:bCs/>
          <w:i/>
          <w:szCs w:val="24"/>
        </w:rPr>
      </w:pPr>
      <w:r w:rsidRPr="004A468F">
        <w:rPr>
          <w:rFonts w:ascii="Arial" w:hAnsi="Arial" w:cs="Arial"/>
          <w:b/>
          <w:bCs/>
          <w:i/>
          <w:szCs w:val="24"/>
        </w:rPr>
        <w:t>Rational connection between the limitation and the purpose (s28(d))</w:t>
      </w:r>
    </w:p>
    <w:p w14:paraId="37ADCDD4" w14:textId="5BBA93A7" w:rsidR="008A76C6" w:rsidRDefault="00D5404B" w:rsidP="00E657AF">
      <w:pPr>
        <w:keepNext/>
        <w:autoSpaceDE w:val="0"/>
        <w:autoSpaceDN w:val="0"/>
        <w:adjustRightInd w:val="0"/>
        <w:spacing w:before="240" w:after="240" w:line="360" w:lineRule="auto"/>
        <w:rPr>
          <w:rFonts w:cs="Calibri"/>
        </w:rPr>
      </w:pPr>
      <w:r w:rsidRPr="004A468F">
        <w:rPr>
          <w:rFonts w:cs="Calibri"/>
        </w:rPr>
        <w:t>The limitations introduced on owners of affected residential premises all work toward the community safety purpose by assisting to</w:t>
      </w:r>
      <w:r w:rsidR="004A468F" w:rsidRPr="004A468F">
        <w:rPr>
          <w:rFonts w:cs="Calibri"/>
        </w:rPr>
        <w:t xml:space="preserve"> limit the </w:t>
      </w:r>
      <w:r w:rsidRPr="004A468F">
        <w:rPr>
          <w:rFonts w:cs="Calibri"/>
        </w:rPr>
        <w:t>risk of exposure to loose</w:t>
      </w:r>
      <w:r w:rsidR="004A468F" w:rsidRPr="004A468F">
        <w:rPr>
          <w:rFonts w:cs="Calibri"/>
        </w:rPr>
        <w:t>-</w:t>
      </w:r>
      <w:r w:rsidRPr="004A468F">
        <w:rPr>
          <w:rFonts w:cs="Calibri"/>
        </w:rPr>
        <w:t>fill asbestos</w:t>
      </w:r>
      <w:r w:rsidR="004A468F" w:rsidRPr="004A468F">
        <w:rPr>
          <w:rFonts w:cs="Calibri"/>
        </w:rPr>
        <w:t>.</w:t>
      </w:r>
      <w:r w:rsidR="007E27DE" w:rsidRPr="004A468F">
        <w:rPr>
          <w:rFonts w:cs="Calibri"/>
        </w:rPr>
        <w:t xml:space="preserve"> </w:t>
      </w:r>
    </w:p>
    <w:p w14:paraId="33D6BC8E" w14:textId="6E9A7E9C" w:rsidR="0061388B" w:rsidRDefault="0061388B" w:rsidP="00675961">
      <w:pPr>
        <w:pStyle w:val="ListParagraph"/>
        <w:numPr>
          <w:ilvl w:val="0"/>
          <w:numId w:val="16"/>
        </w:numPr>
        <w:spacing w:before="0"/>
        <w:contextualSpacing w:val="0"/>
        <w:rPr>
          <w:rFonts w:ascii="Arial" w:hAnsi="Arial" w:cs="Arial"/>
          <w:b/>
          <w:bCs/>
          <w:i/>
          <w:szCs w:val="24"/>
        </w:rPr>
      </w:pPr>
      <w:r w:rsidRPr="00414921">
        <w:rPr>
          <w:rFonts w:ascii="Arial" w:hAnsi="Arial" w:cs="Arial"/>
          <w:b/>
          <w:bCs/>
          <w:i/>
          <w:szCs w:val="24"/>
        </w:rPr>
        <w:t>Proportionality (s28 (e))</w:t>
      </w:r>
    </w:p>
    <w:p w14:paraId="5C480C1F" w14:textId="25FD74B2" w:rsidR="00420252" w:rsidRDefault="00470CE4" w:rsidP="00126DDB">
      <w:pPr>
        <w:pStyle w:val="Amain"/>
        <w:spacing w:line="360" w:lineRule="auto"/>
        <w:ind w:left="0" w:firstLine="0"/>
        <w:jc w:val="left"/>
        <w:rPr>
          <w:rFonts w:asciiTheme="minorHAnsi" w:hAnsiTheme="minorHAnsi" w:cstheme="minorHAnsi"/>
        </w:rPr>
      </w:pPr>
      <w:r>
        <w:rPr>
          <w:rFonts w:asciiTheme="minorHAnsi" w:hAnsiTheme="minorHAnsi" w:cstheme="minorHAnsi"/>
        </w:rPr>
        <w:t xml:space="preserve">The provisions in the Bill that limit section 8 are the least restrictive means reasonably available to achieve the purposes of the Bill. </w:t>
      </w:r>
    </w:p>
    <w:p w14:paraId="183251B0" w14:textId="618F36E4" w:rsidR="00144650" w:rsidRPr="000027CE" w:rsidRDefault="00726157" w:rsidP="00126DDB">
      <w:pPr>
        <w:pStyle w:val="Amain"/>
        <w:spacing w:line="360" w:lineRule="auto"/>
        <w:ind w:left="0" w:firstLine="0"/>
        <w:jc w:val="left"/>
        <w:rPr>
          <w:rFonts w:asciiTheme="minorHAnsi" w:hAnsiTheme="minorHAnsi" w:cstheme="minorHAnsi"/>
          <w:szCs w:val="24"/>
        </w:rPr>
      </w:pPr>
      <w:r w:rsidRPr="00126DDB">
        <w:rPr>
          <w:rFonts w:ascii="Calibri" w:hAnsi="Calibri" w:cs="Calibri"/>
          <w:lang w:eastAsia="en-AU"/>
        </w:rPr>
        <w:t>Other less restrictive approaches are not appropriate, as they will not achieve the purposes of the Bill.</w:t>
      </w:r>
      <w:r w:rsidR="00DC7891" w:rsidRPr="00126DDB">
        <w:rPr>
          <w:rFonts w:ascii="Calibri" w:hAnsi="Calibri" w:cs="Calibri"/>
          <w:lang w:eastAsia="en-AU"/>
        </w:rPr>
        <w:t xml:space="preserve"> For instance, a less restrictive </w:t>
      </w:r>
      <w:r w:rsidR="00470CE4" w:rsidRPr="00126DDB">
        <w:rPr>
          <w:rFonts w:ascii="Calibri" w:hAnsi="Calibri" w:cs="Calibri"/>
          <w:lang w:eastAsia="en-AU"/>
        </w:rPr>
        <w:t>amendment</w:t>
      </w:r>
      <w:r w:rsidR="00DC7891" w:rsidRPr="00126DDB">
        <w:rPr>
          <w:rFonts w:ascii="Calibri" w:hAnsi="Calibri" w:cs="Calibri"/>
          <w:lang w:eastAsia="en-AU"/>
        </w:rPr>
        <w:t xml:space="preserve"> could be </w:t>
      </w:r>
      <w:r w:rsidR="00470CE4" w:rsidRPr="00126DDB">
        <w:rPr>
          <w:rFonts w:ascii="Calibri" w:hAnsi="Calibri" w:cs="Calibri"/>
          <w:lang w:eastAsia="en-AU"/>
        </w:rPr>
        <w:t xml:space="preserve">requiring </w:t>
      </w:r>
      <w:r w:rsidR="004A468F" w:rsidRPr="00126DDB">
        <w:rPr>
          <w:rFonts w:ascii="Calibri" w:hAnsi="Calibri" w:cs="Calibri"/>
          <w:lang w:eastAsia="en-AU"/>
        </w:rPr>
        <w:t xml:space="preserve">the </w:t>
      </w:r>
      <w:r w:rsidR="004A468F">
        <w:rPr>
          <w:rFonts w:ascii="Calibri" w:hAnsi="Calibri" w:cs="Calibri"/>
          <w:lang w:eastAsia="en-AU"/>
        </w:rPr>
        <w:t>affected</w:t>
      </w:r>
      <w:r w:rsidR="00DC7891" w:rsidRPr="00126DDB">
        <w:rPr>
          <w:rFonts w:ascii="Calibri" w:hAnsi="Calibri" w:cs="Calibri"/>
          <w:lang w:eastAsia="en-AU"/>
        </w:rPr>
        <w:t xml:space="preserve"> residential </w:t>
      </w:r>
      <w:r w:rsidR="00DC7891" w:rsidRPr="00126DDB">
        <w:rPr>
          <w:rFonts w:ascii="Calibri" w:hAnsi="Calibri" w:cs="Calibri"/>
          <w:lang w:eastAsia="en-AU"/>
        </w:rPr>
        <w:lastRenderedPageBreak/>
        <w:t>premises register to note whether a property has a</w:t>
      </w:r>
      <w:r w:rsidR="00126DDB" w:rsidRPr="00126DDB">
        <w:rPr>
          <w:rFonts w:ascii="Calibri" w:hAnsi="Calibri" w:cs="Calibri"/>
          <w:lang w:eastAsia="en-AU"/>
        </w:rPr>
        <w:t xml:space="preserve"> compliant</w:t>
      </w:r>
      <w:r w:rsidR="00787668" w:rsidRPr="00126DDB">
        <w:rPr>
          <w:rFonts w:ascii="Calibri" w:hAnsi="Calibri" w:cs="Calibri"/>
          <w:lang w:eastAsia="en-AU"/>
        </w:rPr>
        <w:t xml:space="preserve"> </w:t>
      </w:r>
      <w:r w:rsidR="00470CE4" w:rsidRPr="00126DDB">
        <w:rPr>
          <w:rFonts w:ascii="Calibri" w:hAnsi="Calibri" w:cs="Calibri"/>
          <w:lang w:eastAsia="en-AU"/>
        </w:rPr>
        <w:t>AMP</w:t>
      </w:r>
      <w:r w:rsidR="00DC7891" w:rsidRPr="00126DDB">
        <w:rPr>
          <w:rFonts w:ascii="Calibri" w:hAnsi="Calibri" w:cs="Calibri"/>
          <w:lang w:eastAsia="en-AU"/>
        </w:rPr>
        <w:t xml:space="preserve">, but not require </w:t>
      </w:r>
      <w:r w:rsidR="00470CE4" w:rsidRPr="00126DDB">
        <w:rPr>
          <w:rFonts w:ascii="Calibri" w:hAnsi="Calibri" w:cs="Calibri"/>
          <w:lang w:eastAsia="en-AU"/>
        </w:rPr>
        <w:t>the AMP</w:t>
      </w:r>
      <w:r w:rsidR="00DC7891" w:rsidRPr="00126DDB">
        <w:rPr>
          <w:rFonts w:ascii="Calibri" w:hAnsi="Calibri" w:cs="Calibri"/>
          <w:lang w:eastAsia="en-AU"/>
        </w:rPr>
        <w:t xml:space="preserve"> to be displayed at the property. This measure would not </w:t>
      </w:r>
      <w:r w:rsidR="004A468F">
        <w:rPr>
          <w:rFonts w:ascii="Calibri" w:hAnsi="Calibri" w:cs="Calibri"/>
          <w:lang w:eastAsia="en-AU"/>
        </w:rPr>
        <w:t xml:space="preserve">be effective in reaching all visitors to the property as they may not be aware of the property status or know how to access the Register.  Further, having the AMP displayed ensures full details of the contamination can be readily accessed by anyone undertaking work at the premises so they can fully assess and prepare for any activities that may create a risk of exposure.  </w:t>
      </w:r>
    </w:p>
    <w:p w14:paraId="2FD2E67F" w14:textId="0BEFCC52" w:rsidR="00E657AF" w:rsidRDefault="00787668" w:rsidP="00E657AF">
      <w:pPr>
        <w:spacing w:line="360" w:lineRule="auto"/>
        <w:rPr>
          <w:rFonts w:asciiTheme="minorHAnsi" w:hAnsiTheme="minorHAnsi" w:cstheme="minorHAnsi"/>
          <w:szCs w:val="24"/>
        </w:rPr>
      </w:pPr>
      <w:r w:rsidRPr="000027CE">
        <w:rPr>
          <w:rFonts w:asciiTheme="minorHAnsi" w:hAnsiTheme="minorHAnsi" w:cstheme="minorHAnsi"/>
          <w:szCs w:val="24"/>
          <w:lang w:eastAsia="en-US"/>
        </w:rPr>
        <w:t>Safeguards have been incorporated to ensure that the restriction</w:t>
      </w:r>
      <w:r w:rsidR="006373F0" w:rsidRPr="000027CE">
        <w:rPr>
          <w:rFonts w:asciiTheme="minorHAnsi" w:hAnsiTheme="minorHAnsi" w:cstheme="minorHAnsi"/>
          <w:szCs w:val="24"/>
          <w:lang w:eastAsia="en-US"/>
        </w:rPr>
        <w:t xml:space="preserve"> on section 8</w:t>
      </w:r>
      <w:r w:rsidRPr="00F32054">
        <w:rPr>
          <w:rFonts w:asciiTheme="minorHAnsi" w:hAnsiTheme="minorHAnsi" w:cstheme="minorHAnsi"/>
          <w:szCs w:val="24"/>
          <w:lang w:eastAsia="en-US"/>
        </w:rPr>
        <w:t xml:space="preserve"> </w:t>
      </w:r>
      <w:r w:rsidR="00FD77E9" w:rsidRPr="00F32054">
        <w:rPr>
          <w:rFonts w:asciiTheme="minorHAnsi" w:hAnsiTheme="minorHAnsi" w:cstheme="minorHAnsi"/>
          <w:szCs w:val="24"/>
          <w:lang w:eastAsia="en-US"/>
        </w:rPr>
        <w:t xml:space="preserve">of the HRA </w:t>
      </w:r>
      <w:r w:rsidRPr="00F32054">
        <w:rPr>
          <w:rFonts w:asciiTheme="minorHAnsi" w:hAnsiTheme="minorHAnsi" w:cstheme="minorHAnsi"/>
          <w:szCs w:val="24"/>
          <w:lang w:eastAsia="en-US"/>
        </w:rPr>
        <w:t>is only as extensive as necessary to achieve the purposes of the Bill</w:t>
      </w:r>
      <w:r w:rsidR="00FD77E9" w:rsidRPr="00633A4C">
        <w:rPr>
          <w:rFonts w:asciiTheme="minorHAnsi" w:hAnsiTheme="minorHAnsi" w:cstheme="minorHAnsi"/>
          <w:szCs w:val="24"/>
          <w:lang w:eastAsia="en-US"/>
        </w:rPr>
        <w:t>. Such a safeguard is a</w:t>
      </w:r>
      <w:r w:rsidRPr="002E79AF">
        <w:rPr>
          <w:rFonts w:asciiTheme="minorHAnsi" w:hAnsiTheme="minorHAnsi" w:cstheme="minorHAnsi"/>
          <w:szCs w:val="24"/>
          <w:lang w:eastAsia="en-US"/>
        </w:rPr>
        <w:t xml:space="preserve">llowing for the redaction of personal information from </w:t>
      </w:r>
      <w:r w:rsidR="00470CE4" w:rsidRPr="002E79AF">
        <w:rPr>
          <w:rFonts w:asciiTheme="minorHAnsi" w:hAnsiTheme="minorHAnsi" w:cstheme="minorHAnsi"/>
          <w:szCs w:val="24"/>
          <w:lang w:eastAsia="en-US"/>
        </w:rPr>
        <w:t>an AMP</w:t>
      </w:r>
      <w:r w:rsidR="007653E9">
        <w:rPr>
          <w:rFonts w:asciiTheme="minorHAnsi" w:hAnsiTheme="minorHAnsi" w:cstheme="minorHAnsi"/>
          <w:szCs w:val="24"/>
          <w:lang w:eastAsia="en-US"/>
        </w:rPr>
        <w:t xml:space="preserve"> (such as names</w:t>
      </w:r>
      <w:r w:rsidR="004A468F">
        <w:rPr>
          <w:rFonts w:asciiTheme="minorHAnsi" w:hAnsiTheme="minorHAnsi" w:cstheme="minorHAnsi"/>
          <w:szCs w:val="24"/>
          <w:lang w:eastAsia="en-US"/>
        </w:rPr>
        <w:t xml:space="preserve"> and contact details) and</w:t>
      </w:r>
      <w:r w:rsidR="00AC5E06">
        <w:rPr>
          <w:rFonts w:asciiTheme="minorHAnsi" w:hAnsiTheme="minorHAnsi" w:cstheme="minorHAnsi"/>
          <w:szCs w:val="24"/>
          <w:lang w:eastAsia="en-US"/>
        </w:rPr>
        <w:t xml:space="preserve"> exclusion of photographs that show any personal effects of the owner or occupier of the premises.</w:t>
      </w:r>
      <w:r w:rsidR="004A468F">
        <w:rPr>
          <w:rFonts w:asciiTheme="minorHAnsi" w:hAnsiTheme="minorHAnsi" w:cstheme="minorHAnsi"/>
          <w:szCs w:val="24"/>
          <w:lang w:eastAsia="en-US"/>
        </w:rPr>
        <w:t xml:space="preserve"> </w:t>
      </w:r>
      <w:r w:rsidR="00470CE4" w:rsidRPr="00F8584C">
        <w:rPr>
          <w:rFonts w:asciiTheme="minorHAnsi" w:hAnsiTheme="minorHAnsi" w:cstheme="minorHAnsi"/>
          <w:szCs w:val="24"/>
          <w:lang w:eastAsia="en-US"/>
        </w:rPr>
        <w:t xml:space="preserve"> </w:t>
      </w:r>
      <w:r w:rsidR="00AE03B5" w:rsidRPr="00126DDB">
        <w:rPr>
          <w:rFonts w:asciiTheme="minorHAnsi" w:hAnsiTheme="minorHAnsi" w:cstheme="minorHAnsi"/>
          <w:szCs w:val="24"/>
          <w:lang w:eastAsia="en-US"/>
        </w:rPr>
        <w:t xml:space="preserve">Personal information will also not be able to </w:t>
      </w:r>
      <w:r w:rsidR="00361DE8">
        <w:rPr>
          <w:rFonts w:asciiTheme="minorHAnsi" w:hAnsiTheme="minorHAnsi" w:cstheme="minorHAnsi"/>
          <w:szCs w:val="24"/>
          <w:lang w:eastAsia="en-US"/>
        </w:rPr>
        <w:t>be accessed</w:t>
      </w:r>
      <w:r w:rsidR="00AE03B5" w:rsidRPr="00126DDB">
        <w:rPr>
          <w:rFonts w:asciiTheme="minorHAnsi" w:hAnsiTheme="minorHAnsi" w:cstheme="minorHAnsi"/>
          <w:szCs w:val="24"/>
          <w:lang w:eastAsia="en-US"/>
        </w:rPr>
        <w:t xml:space="preserve"> on the public-facing register of affected residential premises. </w:t>
      </w:r>
    </w:p>
    <w:p w14:paraId="3680D84C" w14:textId="4462C579" w:rsidR="007E27DE" w:rsidRDefault="006E6992" w:rsidP="00676A04">
      <w:pPr>
        <w:spacing w:line="360" w:lineRule="auto"/>
        <w:rPr>
          <w:rFonts w:ascii="Arial" w:hAnsi="Arial" w:cs="Arial"/>
          <w:b/>
          <w:bCs/>
          <w:i/>
          <w:szCs w:val="24"/>
        </w:rPr>
      </w:pPr>
      <w:r w:rsidRPr="007E27DE">
        <w:rPr>
          <w:rFonts w:ascii="Arial" w:hAnsi="Arial" w:cs="Arial"/>
          <w:b/>
          <w:bCs/>
          <w:i/>
          <w:szCs w:val="24"/>
          <w:u w:val="single"/>
        </w:rPr>
        <w:t>Section 12- Privacy and reputation</w:t>
      </w:r>
    </w:p>
    <w:p w14:paraId="15C1A6B4" w14:textId="78141BF1" w:rsidR="006E6992" w:rsidRPr="007E27DE" w:rsidRDefault="006264EE" w:rsidP="007E27DE">
      <w:pPr>
        <w:keepNext/>
        <w:autoSpaceDE w:val="0"/>
        <w:autoSpaceDN w:val="0"/>
        <w:adjustRightInd w:val="0"/>
        <w:spacing w:before="240" w:after="240" w:line="360" w:lineRule="auto"/>
        <w:rPr>
          <w:rFonts w:cs="Calibri"/>
        </w:rPr>
      </w:pPr>
      <w:r w:rsidRPr="007E27DE">
        <w:rPr>
          <w:rFonts w:cs="Calibri"/>
        </w:rPr>
        <w:t>Section 12 of the HRA states that:</w:t>
      </w:r>
    </w:p>
    <w:p w14:paraId="32FFF850" w14:textId="28547D56" w:rsidR="006264EE" w:rsidRPr="003D0556" w:rsidRDefault="006264EE" w:rsidP="00420252">
      <w:pPr>
        <w:keepNext/>
        <w:autoSpaceDE w:val="0"/>
        <w:autoSpaceDN w:val="0"/>
        <w:adjustRightInd w:val="0"/>
        <w:spacing w:before="240" w:after="240" w:line="360" w:lineRule="auto"/>
        <w:rPr>
          <w:rFonts w:cs="Calibri"/>
          <w:i/>
          <w:iCs/>
        </w:rPr>
      </w:pPr>
      <w:r w:rsidRPr="003D0556">
        <w:rPr>
          <w:rFonts w:cs="Calibri"/>
          <w:i/>
          <w:iCs/>
        </w:rPr>
        <w:t>Everyone has the righ</w:t>
      </w:r>
      <w:r w:rsidR="003D0556" w:rsidRPr="003D0556">
        <w:rPr>
          <w:rFonts w:cs="Calibri"/>
          <w:i/>
          <w:iCs/>
        </w:rPr>
        <w:t>t</w:t>
      </w:r>
      <w:r w:rsidR="00B84B60">
        <w:rPr>
          <w:rFonts w:cs="Calibri"/>
          <w:i/>
          <w:iCs/>
        </w:rPr>
        <w:t>:</w:t>
      </w:r>
    </w:p>
    <w:p w14:paraId="6DEA845F" w14:textId="500D9358" w:rsidR="003D0556" w:rsidRPr="003D0556" w:rsidRDefault="003D0556" w:rsidP="00420252">
      <w:pPr>
        <w:pStyle w:val="ListParagraph"/>
        <w:keepNext/>
        <w:numPr>
          <w:ilvl w:val="0"/>
          <w:numId w:val="8"/>
        </w:numPr>
        <w:autoSpaceDE w:val="0"/>
        <w:autoSpaceDN w:val="0"/>
        <w:adjustRightInd w:val="0"/>
        <w:spacing w:before="240" w:after="240" w:line="360" w:lineRule="auto"/>
        <w:rPr>
          <w:rFonts w:cs="Calibri"/>
          <w:i/>
          <w:iCs/>
        </w:rPr>
      </w:pPr>
      <w:r w:rsidRPr="003D0556">
        <w:rPr>
          <w:rFonts w:cs="Calibri"/>
          <w:i/>
          <w:iCs/>
        </w:rPr>
        <w:t xml:space="preserve">Not to have his or her privacy, family, home or correspondence interfered with unlawfully or arbitrarily; and </w:t>
      </w:r>
    </w:p>
    <w:p w14:paraId="33DA8244" w14:textId="6EA6369D" w:rsidR="003D0556" w:rsidRDefault="003D0556" w:rsidP="00420252">
      <w:pPr>
        <w:pStyle w:val="ListParagraph"/>
        <w:keepNext/>
        <w:numPr>
          <w:ilvl w:val="0"/>
          <w:numId w:val="8"/>
        </w:numPr>
        <w:autoSpaceDE w:val="0"/>
        <w:autoSpaceDN w:val="0"/>
        <w:adjustRightInd w:val="0"/>
        <w:spacing w:before="240" w:after="240" w:line="360" w:lineRule="auto"/>
        <w:rPr>
          <w:rFonts w:cs="Calibri"/>
          <w:i/>
          <w:iCs/>
        </w:rPr>
      </w:pPr>
      <w:r w:rsidRPr="003D0556">
        <w:rPr>
          <w:rFonts w:cs="Calibri"/>
          <w:i/>
          <w:iCs/>
        </w:rPr>
        <w:t>Not to have his or her reputation unlawfully attacked.</w:t>
      </w:r>
    </w:p>
    <w:p w14:paraId="798A1DAB" w14:textId="77777777" w:rsidR="006009AF" w:rsidRDefault="006009AF" w:rsidP="006009AF">
      <w:pPr>
        <w:pStyle w:val="ListParagraph"/>
        <w:keepNext/>
        <w:autoSpaceDE w:val="0"/>
        <w:autoSpaceDN w:val="0"/>
        <w:adjustRightInd w:val="0"/>
        <w:spacing w:before="240" w:after="240" w:line="360" w:lineRule="auto"/>
        <w:rPr>
          <w:rFonts w:cs="Calibri"/>
          <w:i/>
          <w:iCs/>
        </w:rPr>
      </w:pPr>
    </w:p>
    <w:p w14:paraId="23B7B122" w14:textId="03B0BF65" w:rsidR="006009AF" w:rsidRPr="006009AF" w:rsidRDefault="006009AF" w:rsidP="006009AF">
      <w:pPr>
        <w:pStyle w:val="ListParagraph"/>
        <w:numPr>
          <w:ilvl w:val="0"/>
          <w:numId w:val="14"/>
        </w:numPr>
        <w:spacing w:before="0"/>
        <w:rPr>
          <w:rFonts w:ascii="Arial" w:hAnsi="Arial" w:cs="Arial"/>
          <w:b/>
          <w:bCs/>
          <w:i/>
          <w:szCs w:val="24"/>
        </w:rPr>
      </w:pPr>
      <w:r w:rsidRPr="006009AF">
        <w:rPr>
          <w:rFonts w:ascii="Arial" w:hAnsi="Arial" w:cs="Arial"/>
          <w:b/>
          <w:bCs/>
          <w:i/>
          <w:szCs w:val="24"/>
        </w:rPr>
        <w:t>Nature of the right and the limitation (s28(a) and (c))</w:t>
      </w:r>
    </w:p>
    <w:p w14:paraId="552E17E0" w14:textId="437A5851" w:rsidR="006A6305" w:rsidRDefault="006A6305" w:rsidP="00420252">
      <w:pPr>
        <w:keepNext/>
        <w:autoSpaceDE w:val="0"/>
        <w:autoSpaceDN w:val="0"/>
        <w:adjustRightInd w:val="0"/>
        <w:spacing w:before="240" w:after="240" w:line="360" w:lineRule="auto"/>
        <w:rPr>
          <w:rFonts w:cs="Calibri"/>
        </w:rPr>
      </w:pPr>
      <w:r>
        <w:rPr>
          <w:rFonts w:cs="Calibri"/>
        </w:rPr>
        <w:t>A number of</w:t>
      </w:r>
      <w:r w:rsidR="00B84B60">
        <w:rPr>
          <w:rFonts w:cs="Calibri"/>
        </w:rPr>
        <w:t xml:space="preserve"> provisions of the </w:t>
      </w:r>
      <w:r w:rsidR="000D1D34">
        <w:rPr>
          <w:rFonts w:cs="Calibri"/>
        </w:rPr>
        <w:t xml:space="preserve">Bill </w:t>
      </w:r>
      <w:r w:rsidR="00F4191A">
        <w:rPr>
          <w:rFonts w:cs="Calibri"/>
        </w:rPr>
        <w:t>may be considered to engage the right to privacy and reputation</w:t>
      </w:r>
      <w:r w:rsidR="00730198">
        <w:rPr>
          <w:rFonts w:cs="Calibri"/>
        </w:rPr>
        <w:t>, and particularly may be considered to affect the right to a home</w:t>
      </w:r>
      <w:r w:rsidR="00F4191A">
        <w:rPr>
          <w:rFonts w:cs="Calibri"/>
        </w:rPr>
        <w:t>.</w:t>
      </w:r>
    </w:p>
    <w:p w14:paraId="57D4F62B" w14:textId="5F069A1E" w:rsidR="000456A6" w:rsidRDefault="000456A6" w:rsidP="00420252">
      <w:pPr>
        <w:keepNext/>
        <w:autoSpaceDE w:val="0"/>
        <w:autoSpaceDN w:val="0"/>
        <w:adjustRightInd w:val="0"/>
        <w:spacing w:before="240" w:after="240" w:line="360" w:lineRule="auto"/>
        <w:rPr>
          <w:rFonts w:cs="Calibri"/>
        </w:rPr>
      </w:pPr>
      <w:r>
        <w:rPr>
          <w:rFonts w:cs="Calibri"/>
        </w:rPr>
        <w:t>The</w:t>
      </w:r>
      <w:r w:rsidR="00730198">
        <w:rPr>
          <w:rFonts w:cs="Calibri"/>
        </w:rPr>
        <w:t xml:space="preserve"> requirement for an owner to </w:t>
      </w:r>
      <w:r w:rsidR="00DF0653">
        <w:rPr>
          <w:rFonts w:cs="Calibri"/>
        </w:rPr>
        <w:t xml:space="preserve">display a current </w:t>
      </w:r>
      <w:r w:rsidR="00D14F92">
        <w:rPr>
          <w:rFonts w:cs="Calibri"/>
        </w:rPr>
        <w:t>AMP</w:t>
      </w:r>
      <w:r w:rsidR="00730198">
        <w:rPr>
          <w:rFonts w:cs="Calibri"/>
        </w:rPr>
        <w:t>, in a Government-issued display case</w:t>
      </w:r>
      <w:r w:rsidR="00E677E1">
        <w:rPr>
          <w:rFonts w:cs="Calibri"/>
        </w:rPr>
        <w:t xml:space="preserve"> </w:t>
      </w:r>
      <w:r w:rsidR="008051FA">
        <w:rPr>
          <w:rFonts w:cs="Calibri"/>
        </w:rPr>
        <w:t xml:space="preserve">at a prominent location at </w:t>
      </w:r>
      <w:r w:rsidR="00730198">
        <w:rPr>
          <w:rFonts w:cs="Calibri"/>
        </w:rPr>
        <w:t>the</w:t>
      </w:r>
      <w:r w:rsidR="008051FA">
        <w:rPr>
          <w:rFonts w:cs="Calibri"/>
        </w:rPr>
        <w:t xml:space="preserve"> affected property</w:t>
      </w:r>
      <w:r w:rsidR="00730198">
        <w:rPr>
          <w:rFonts w:cs="Calibri"/>
        </w:rPr>
        <w:t>,</w:t>
      </w:r>
      <w:r>
        <w:rPr>
          <w:rFonts w:cs="Calibri"/>
        </w:rPr>
        <w:t xml:space="preserve"> may be considered to </w:t>
      </w:r>
      <w:r w:rsidR="00676A04">
        <w:rPr>
          <w:rFonts w:cs="Calibri"/>
        </w:rPr>
        <w:t>engage</w:t>
      </w:r>
      <w:r>
        <w:rPr>
          <w:rFonts w:cs="Calibri"/>
        </w:rPr>
        <w:t xml:space="preserve"> with</w:t>
      </w:r>
      <w:r w:rsidR="00800E19">
        <w:rPr>
          <w:rFonts w:cs="Calibri"/>
        </w:rPr>
        <w:t xml:space="preserve"> the right to freedom from unlawful interference with one’s privacy or home.</w:t>
      </w:r>
      <w:r w:rsidR="00730198">
        <w:rPr>
          <w:rFonts w:cs="Calibri"/>
        </w:rPr>
        <w:t xml:space="preserve"> </w:t>
      </w:r>
      <w:r w:rsidR="00B01A51">
        <w:rPr>
          <w:rFonts w:cs="Calibri"/>
        </w:rPr>
        <w:t>However,</w:t>
      </w:r>
      <w:r w:rsidR="008F151C">
        <w:rPr>
          <w:rFonts w:cs="Calibri"/>
        </w:rPr>
        <w:t xml:space="preserve"> the impact o</w:t>
      </w:r>
      <w:r w:rsidR="00162563">
        <w:rPr>
          <w:rFonts w:cs="Calibri"/>
        </w:rPr>
        <w:t>n</w:t>
      </w:r>
      <w:r w:rsidR="008F151C">
        <w:rPr>
          <w:rFonts w:cs="Calibri"/>
        </w:rPr>
        <w:t xml:space="preserve"> the right is limited; the</w:t>
      </w:r>
      <w:r w:rsidR="00B01A51">
        <w:rPr>
          <w:rFonts w:cs="Calibri"/>
        </w:rPr>
        <w:t xml:space="preserve"> Bill provides that personal details may be redacted from AMPs displayed at affected premises. The approved display case containing an AMP, while it is </w:t>
      </w:r>
      <w:r w:rsidR="00B01A51">
        <w:rPr>
          <w:rFonts w:cs="Calibri"/>
        </w:rPr>
        <w:lastRenderedPageBreak/>
        <w:t xml:space="preserve">displayed at a prominent location at property, is relatively discreet. The report inside the case is only able to be read by a visitor approaching the case and removing the report.   </w:t>
      </w:r>
    </w:p>
    <w:p w14:paraId="33D376C6" w14:textId="19A61EBB" w:rsidR="00F27106" w:rsidRDefault="00F27106" w:rsidP="00420252">
      <w:pPr>
        <w:keepNext/>
        <w:autoSpaceDE w:val="0"/>
        <w:autoSpaceDN w:val="0"/>
        <w:adjustRightInd w:val="0"/>
        <w:spacing w:before="240" w:after="240" w:line="360" w:lineRule="auto"/>
        <w:rPr>
          <w:rFonts w:cs="Calibri"/>
        </w:rPr>
      </w:pPr>
      <w:r>
        <w:rPr>
          <w:rFonts w:cs="Calibri"/>
        </w:rPr>
        <w:t>The publishing of information</w:t>
      </w:r>
      <w:r w:rsidR="0075594D">
        <w:rPr>
          <w:rFonts w:cs="Calibri"/>
        </w:rPr>
        <w:t>, on the affected residential premises register,</w:t>
      </w:r>
      <w:r>
        <w:rPr>
          <w:rFonts w:cs="Calibri"/>
        </w:rPr>
        <w:t xml:space="preserve"> about whether an affected property requires an </w:t>
      </w:r>
      <w:r w:rsidR="00B84B60">
        <w:rPr>
          <w:rFonts w:cs="Calibri"/>
        </w:rPr>
        <w:t>AMP</w:t>
      </w:r>
      <w:r>
        <w:rPr>
          <w:rFonts w:cs="Calibri"/>
        </w:rPr>
        <w:t xml:space="preserve"> and whether </w:t>
      </w:r>
      <w:r w:rsidR="000E7F8D">
        <w:rPr>
          <w:rFonts w:cs="Calibri"/>
        </w:rPr>
        <w:t xml:space="preserve">a compliant </w:t>
      </w:r>
      <w:r w:rsidR="00D14F92">
        <w:rPr>
          <w:rFonts w:cs="Calibri"/>
        </w:rPr>
        <w:t>AMP</w:t>
      </w:r>
      <w:r w:rsidR="000E7F8D">
        <w:rPr>
          <w:rFonts w:cs="Calibri"/>
        </w:rPr>
        <w:t xml:space="preserve"> is in place</w:t>
      </w:r>
      <w:r>
        <w:rPr>
          <w:rFonts w:cs="Calibri"/>
        </w:rPr>
        <w:t xml:space="preserve"> may also be considered to interfere with privacy</w:t>
      </w:r>
      <w:r w:rsidR="00B01A51">
        <w:rPr>
          <w:rFonts w:cs="Calibri"/>
        </w:rPr>
        <w:t xml:space="preserve"> by sharing information about a person’s home (including address) on a public facing register</w:t>
      </w:r>
      <w:r>
        <w:rPr>
          <w:rFonts w:cs="Calibri"/>
        </w:rPr>
        <w:t xml:space="preserve">. </w:t>
      </w:r>
      <w:r w:rsidR="00B01A51">
        <w:rPr>
          <w:rFonts w:cs="Calibri"/>
        </w:rPr>
        <w:t xml:space="preserve">However, the engagement with the right is limited to the extent that the Minister cannot share personal information </w:t>
      </w:r>
      <w:r w:rsidR="00676A04">
        <w:rPr>
          <w:rFonts w:cs="Calibri"/>
        </w:rPr>
        <w:t>(such as names of owners or occupants)</w:t>
      </w:r>
      <w:r w:rsidR="007653E9">
        <w:rPr>
          <w:rFonts w:cs="Calibri"/>
        </w:rPr>
        <w:t xml:space="preserve">on </w:t>
      </w:r>
      <w:r w:rsidR="00B01A51">
        <w:rPr>
          <w:rFonts w:cs="Calibri"/>
        </w:rPr>
        <w:t>the public-facing register</w:t>
      </w:r>
      <w:r w:rsidR="007653E9">
        <w:rPr>
          <w:rFonts w:cs="Calibri"/>
        </w:rPr>
        <w:t xml:space="preserve"> </w:t>
      </w:r>
      <w:r w:rsidR="00B01A51">
        <w:rPr>
          <w:rFonts w:cs="Calibri"/>
        </w:rPr>
        <w:t>.</w:t>
      </w:r>
    </w:p>
    <w:p w14:paraId="50F9E450" w14:textId="6034F4F0" w:rsidR="00E677E1" w:rsidRDefault="00E677E1" w:rsidP="00E677E1">
      <w:pPr>
        <w:keepNext/>
        <w:autoSpaceDE w:val="0"/>
        <w:autoSpaceDN w:val="0"/>
        <w:adjustRightInd w:val="0"/>
        <w:spacing w:before="240" w:after="240" w:line="360" w:lineRule="auto"/>
        <w:rPr>
          <w:rFonts w:cs="Calibri"/>
        </w:rPr>
      </w:pPr>
      <w:r>
        <w:rPr>
          <w:rFonts w:cs="Calibri"/>
        </w:rPr>
        <w:t>The amendments restricting the range and nature of building and development works which can be undertaken in relation to a structure at affected residential premises may be considered to engage the right to a home by affecting the ability of people to undertake works to their home as they see fit.</w:t>
      </w:r>
      <w:r w:rsidRPr="00B01A51">
        <w:rPr>
          <w:rFonts w:cs="Calibri"/>
        </w:rPr>
        <w:t xml:space="preserve"> </w:t>
      </w:r>
      <w:r>
        <w:rPr>
          <w:rFonts w:cs="Calibri"/>
        </w:rPr>
        <w:t xml:space="preserve"> Works may still be undertaken, but only if they </w:t>
      </w:r>
      <w:r w:rsidR="00BB4654">
        <w:rPr>
          <w:rFonts w:cs="Calibri"/>
        </w:rPr>
        <w:t xml:space="preserve">are </w:t>
      </w:r>
      <w:r>
        <w:rPr>
          <w:rFonts w:cs="Calibri"/>
        </w:rPr>
        <w:t>essential</w:t>
      </w:r>
      <w:r w:rsidR="00D9482F">
        <w:rPr>
          <w:rFonts w:cs="Calibri"/>
        </w:rPr>
        <w:t xml:space="preserve"> to support</w:t>
      </w:r>
      <w:r w:rsidR="00BB4654">
        <w:rPr>
          <w:rFonts w:cs="Calibri"/>
        </w:rPr>
        <w:t xml:space="preserve"> </w:t>
      </w:r>
      <w:r w:rsidR="00D9482F">
        <w:rPr>
          <w:rFonts w:cs="Calibri"/>
        </w:rPr>
        <w:t xml:space="preserve">health, </w:t>
      </w:r>
      <w:r w:rsidR="00BB4654">
        <w:rPr>
          <w:rFonts w:cs="Calibri"/>
        </w:rPr>
        <w:t xml:space="preserve">safety or reasonable living conditions; </w:t>
      </w:r>
      <w:r>
        <w:rPr>
          <w:rFonts w:cs="Calibri"/>
        </w:rPr>
        <w:t>demolition</w:t>
      </w:r>
      <w:r w:rsidR="00BB4654">
        <w:rPr>
          <w:rFonts w:cs="Calibri"/>
        </w:rPr>
        <w:t>;</w:t>
      </w:r>
      <w:r>
        <w:rPr>
          <w:rFonts w:cs="Calibri"/>
        </w:rPr>
        <w:t xml:space="preserve"> or are certain minor works </w:t>
      </w:r>
      <w:r w:rsidR="009E3CCF">
        <w:rPr>
          <w:rFonts w:cs="Calibri"/>
        </w:rPr>
        <w:t xml:space="preserve">exempt from building approval that are unlikely to </w:t>
      </w:r>
      <w:r>
        <w:rPr>
          <w:rFonts w:cs="Calibri"/>
        </w:rPr>
        <w:t xml:space="preserve">disturb loose-fill asbestos. </w:t>
      </w:r>
    </w:p>
    <w:p w14:paraId="323E5E53" w14:textId="24222F28" w:rsidR="00B01A51" w:rsidRDefault="00B01A51" w:rsidP="00420252">
      <w:pPr>
        <w:keepNext/>
        <w:autoSpaceDE w:val="0"/>
        <w:autoSpaceDN w:val="0"/>
        <w:adjustRightInd w:val="0"/>
        <w:spacing w:before="240" w:after="240" w:line="360" w:lineRule="auto"/>
        <w:rPr>
          <w:rFonts w:cs="Calibri"/>
        </w:rPr>
      </w:pPr>
      <w:r>
        <w:rPr>
          <w:rFonts w:cs="Calibri"/>
        </w:rPr>
        <w:t xml:space="preserve">The requirement for </w:t>
      </w:r>
      <w:r w:rsidR="000351AD">
        <w:rPr>
          <w:rFonts w:cs="Calibri"/>
        </w:rPr>
        <w:t xml:space="preserve">an </w:t>
      </w:r>
      <w:r>
        <w:rPr>
          <w:rFonts w:cs="Calibri"/>
        </w:rPr>
        <w:t xml:space="preserve">owner of an affected residential premises that </w:t>
      </w:r>
      <w:r w:rsidR="000351AD">
        <w:rPr>
          <w:rFonts w:cs="Calibri"/>
        </w:rPr>
        <w:t xml:space="preserve">is </w:t>
      </w:r>
      <w:r>
        <w:rPr>
          <w:rFonts w:cs="Calibri"/>
        </w:rPr>
        <w:t xml:space="preserve">subject to an occupancy prohibition to inform the regulator when an approved occupant is living, and stops living, in the </w:t>
      </w:r>
      <w:r w:rsidR="009E3CCF">
        <w:rPr>
          <w:rFonts w:cs="Calibri"/>
        </w:rPr>
        <w:t xml:space="preserve">affected </w:t>
      </w:r>
      <w:r>
        <w:rPr>
          <w:rFonts w:cs="Calibri"/>
        </w:rPr>
        <w:t>premises, also engages the right to privacy by requiring persons to share personal information with the Government. However, the engagement with the right</w:t>
      </w:r>
      <w:r w:rsidR="008F151C">
        <w:rPr>
          <w:rFonts w:cs="Calibri"/>
        </w:rPr>
        <w:t xml:space="preserve"> to privacy</w:t>
      </w:r>
      <w:r>
        <w:rPr>
          <w:rFonts w:cs="Calibri"/>
        </w:rPr>
        <w:t xml:space="preserve"> is limited</w:t>
      </w:r>
      <w:r w:rsidR="008F151C">
        <w:rPr>
          <w:rFonts w:cs="Calibri"/>
        </w:rPr>
        <w:t xml:space="preserve">; </w:t>
      </w:r>
      <w:r>
        <w:rPr>
          <w:rFonts w:cs="Calibri"/>
        </w:rPr>
        <w:t>the Minister cannot share information about approved occupants on the public-facing register.</w:t>
      </w:r>
      <w:r w:rsidR="0034120A">
        <w:rPr>
          <w:rFonts w:cs="Calibri"/>
        </w:rPr>
        <w:t xml:space="preserve"> This information will only be used in relation to administration and enforcement </w:t>
      </w:r>
      <w:r w:rsidR="006235E1">
        <w:rPr>
          <w:rFonts w:cs="Calibri"/>
        </w:rPr>
        <w:t>in relation to affected residential premises</w:t>
      </w:r>
      <w:r w:rsidR="0034120A">
        <w:rPr>
          <w:rFonts w:cs="Calibri"/>
        </w:rPr>
        <w:t>.</w:t>
      </w:r>
    </w:p>
    <w:p w14:paraId="65C1C5FC" w14:textId="77777777" w:rsidR="006009AF" w:rsidRPr="006009AF" w:rsidRDefault="006009AF" w:rsidP="006009AF">
      <w:pPr>
        <w:pStyle w:val="ListParagraph"/>
        <w:numPr>
          <w:ilvl w:val="0"/>
          <w:numId w:val="14"/>
        </w:numPr>
        <w:spacing w:before="0"/>
        <w:rPr>
          <w:rFonts w:ascii="Arial" w:hAnsi="Arial" w:cs="Arial"/>
          <w:b/>
          <w:bCs/>
          <w:i/>
          <w:szCs w:val="24"/>
        </w:rPr>
      </w:pPr>
      <w:r w:rsidRPr="006009AF">
        <w:rPr>
          <w:rFonts w:ascii="Arial" w:hAnsi="Arial" w:cs="Arial"/>
          <w:b/>
          <w:bCs/>
          <w:i/>
          <w:szCs w:val="24"/>
        </w:rPr>
        <w:t>Legitimate purpose (s28(b))</w:t>
      </w:r>
    </w:p>
    <w:p w14:paraId="3789301E" w14:textId="77777777" w:rsidR="006009AF" w:rsidRDefault="006009AF" w:rsidP="006009AF">
      <w:pPr>
        <w:keepNext/>
        <w:autoSpaceDE w:val="0"/>
        <w:autoSpaceDN w:val="0"/>
        <w:adjustRightInd w:val="0"/>
        <w:spacing w:before="240" w:after="240" w:line="360" w:lineRule="auto"/>
        <w:rPr>
          <w:rFonts w:cs="Calibri"/>
        </w:rPr>
      </w:pPr>
      <w:r>
        <w:rPr>
          <w:rFonts w:cs="Calibri"/>
        </w:rPr>
        <w:t xml:space="preserve">The risks and consequences of exposure to loose-fill asbestos are widely understood; occupiers of affected properties and tradespeople, care workers and other visitors may be subject to significant health risks. </w:t>
      </w:r>
    </w:p>
    <w:p w14:paraId="719D3863" w14:textId="40F8B06E" w:rsidR="006009AF" w:rsidRDefault="006009AF" w:rsidP="00420252">
      <w:pPr>
        <w:keepNext/>
        <w:autoSpaceDE w:val="0"/>
        <w:autoSpaceDN w:val="0"/>
        <w:adjustRightInd w:val="0"/>
        <w:spacing w:before="240" w:after="240" w:line="360" w:lineRule="auto"/>
        <w:rPr>
          <w:rFonts w:cs="Calibri"/>
        </w:rPr>
      </w:pPr>
      <w:r>
        <w:rPr>
          <w:rFonts w:cs="Calibri"/>
        </w:rPr>
        <w:t xml:space="preserve">The objectives sought to be achieved by the Bill are to promote community safety in the ACT, and to support the phase out of affected </w:t>
      </w:r>
      <w:r w:rsidR="00BB1BBB">
        <w:rPr>
          <w:rFonts w:cs="Calibri"/>
        </w:rPr>
        <w:t xml:space="preserve">residential </w:t>
      </w:r>
      <w:r>
        <w:rPr>
          <w:rFonts w:cs="Calibri"/>
        </w:rPr>
        <w:t xml:space="preserve">properties, which continue to present a risk to the community. The only way to ensure the health, financial and social risks associated </w:t>
      </w:r>
      <w:r>
        <w:rPr>
          <w:rFonts w:cs="Calibri"/>
        </w:rPr>
        <w:lastRenderedPageBreak/>
        <w:t xml:space="preserve">with contaminated houses is effectively managed is to ensure that every affected </w:t>
      </w:r>
      <w:r w:rsidR="00BB1BBB">
        <w:rPr>
          <w:rFonts w:cs="Calibri"/>
        </w:rPr>
        <w:t xml:space="preserve">residential </w:t>
      </w:r>
      <w:r>
        <w:rPr>
          <w:rFonts w:cs="Calibri"/>
        </w:rPr>
        <w:t xml:space="preserve">property is demolished. </w:t>
      </w:r>
    </w:p>
    <w:p w14:paraId="501788CF" w14:textId="4D8F2226" w:rsidR="00F2651F" w:rsidRDefault="00617BA4" w:rsidP="00FD77E9">
      <w:pPr>
        <w:keepNext/>
        <w:autoSpaceDE w:val="0"/>
        <w:autoSpaceDN w:val="0"/>
        <w:adjustRightInd w:val="0"/>
        <w:spacing w:before="240" w:after="240" w:line="360" w:lineRule="auto"/>
        <w:rPr>
          <w:rFonts w:cs="Calibri"/>
        </w:rPr>
      </w:pPr>
      <w:r w:rsidRPr="00FD77E9">
        <w:rPr>
          <w:rFonts w:cs="Calibri"/>
        </w:rPr>
        <w:t xml:space="preserve">Providing that </w:t>
      </w:r>
      <w:r w:rsidR="005336BD" w:rsidRPr="00FD77E9">
        <w:rPr>
          <w:rFonts w:cs="Calibri"/>
        </w:rPr>
        <w:t xml:space="preserve">current information regarding the contamination of an affected premises is easily accessible at the property, and restricting the works that can be undertaken on affected properties, is </w:t>
      </w:r>
      <w:r w:rsidR="00146179" w:rsidRPr="00FD77E9">
        <w:rPr>
          <w:rFonts w:cs="Calibri"/>
        </w:rPr>
        <w:t xml:space="preserve">critical </w:t>
      </w:r>
      <w:r w:rsidRPr="00FD77E9">
        <w:rPr>
          <w:rFonts w:cs="Calibri"/>
        </w:rPr>
        <w:t>to allow tradespeople</w:t>
      </w:r>
      <w:r w:rsidR="00F27106" w:rsidRPr="00FD77E9">
        <w:rPr>
          <w:rFonts w:cs="Calibri"/>
        </w:rPr>
        <w:t>,</w:t>
      </w:r>
      <w:r w:rsidRPr="00FD77E9">
        <w:rPr>
          <w:rFonts w:cs="Calibri"/>
        </w:rPr>
        <w:t xml:space="preserve"> </w:t>
      </w:r>
      <w:r w:rsidR="00F27106" w:rsidRPr="00FD77E9">
        <w:rPr>
          <w:rFonts w:cs="Calibri"/>
        </w:rPr>
        <w:t xml:space="preserve">and </w:t>
      </w:r>
      <w:r w:rsidR="00E15368" w:rsidRPr="00FD77E9">
        <w:rPr>
          <w:rFonts w:cs="Calibri"/>
        </w:rPr>
        <w:t>others</w:t>
      </w:r>
      <w:r w:rsidRPr="00FD77E9">
        <w:rPr>
          <w:rFonts w:cs="Calibri"/>
        </w:rPr>
        <w:t xml:space="preserve"> required to attend affected properties, </w:t>
      </w:r>
      <w:r w:rsidR="00FB0DEE">
        <w:rPr>
          <w:rFonts w:cs="Calibri"/>
        </w:rPr>
        <w:t>to</w:t>
      </w:r>
      <w:r w:rsidR="000E7F8D" w:rsidRPr="00FD77E9">
        <w:rPr>
          <w:rFonts w:cs="Calibri"/>
        </w:rPr>
        <w:t xml:space="preserve"> </w:t>
      </w:r>
      <w:r w:rsidRPr="00FD77E9">
        <w:rPr>
          <w:rFonts w:cs="Calibri"/>
        </w:rPr>
        <w:t xml:space="preserve">be </w:t>
      </w:r>
      <w:r w:rsidR="00E15368" w:rsidRPr="00FD77E9">
        <w:rPr>
          <w:rFonts w:cs="Calibri"/>
        </w:rPr>
        <w:t xml:space="preserve">fully </w:t>
      </w:r>
      <w:r w:rsidRPr="00FD77E9">
        <w:rPr>
          <w:rFonts w:cs="Calibri"/>
        </w:rPr>
        <w:t>informed of the risk</w:t>
      </w:r>
      <w:r w:rsidR="005336BD" w:rsidRPr="00FD77E9">
        <w:rPr>
          <w:rFonts w:cs="Calibri"/>
        </w:rPr>
        <w:t>s</w:t>
      </w:r>
      <w:r w:rsidRPr="00FD77E9">
        <w:rPr>
          <w:rFonts w:cs="Calibri"/>
        </w:rPr>
        <w:t xml:space="preserve"> </w:t>
      </w:r>
      <w:r w:rsidR="005336BD" w:rsidRPr="00FD77E9">
        <w:rPr>
          <w:rFonts w:cs="Calibri"/>
        </w:rPr>
        <w:t>before</w:t>
      </w:r>
      <w:r w:rsidRPr="00FD77E9">
        <w:rPr>
          <w:rFonts w:cs="Calibri"/>
        </w:rPr>
        <w:t xml:space="preserve"> </w:t>
      </w:r>
      <w:r w:rsidR="000E7F8D" w:rsidRPr="00FD77E9">
        <w:rPr>
          <w:rFonts w:cs="Calibri"/>
        </w:rPr>
        <w:t>undertaking any activity</w:t>
      </w:r>
      <w:r w:rsidR="00FB0DEE">
        <w:rPr>
          <w:rFonts w:cs="Calibri"/>
        </w:rPr>
        <w:t xml:space="preserve"> at a property</w:t>
      </w:r>
      <w:r w:rsidR="000E7F8D" w:rsidRPr="00FD77E9">
        <w:rPr>
          <w:rFonts w:cs="Calibri"/>
        </w:rPr>
        <w:t>. F</w:t>
      </w:r>
      <w:r w:rsidR="00FB0DEE">
        <w:rPr>
          <w:rFonts w:cs="Calibri"/>
        </w:rPr>
        <w:t>u</w:t>
      </w:r>
      <w:r w:rsidR="000E7F8D" w:rsidRPr="00FD77E9">
        <w:rPr>
          <w:rFonts w:cs="Calibri"/>
        </w:rPr>
        <w:t>rther</w:t>
      </w:r>
      <w:r w:rsidR="00830543">
        <w:rPr>
          <w:rFonts w:cs="Calibri"/>
        </w:rPr>
        <w:t>more</w:t>
      </w:r>
      <w:r w:rsidR="000E7F8D" w:rsidRPr="00FD77E9">
        <w:rPr>
          <w:rFonts w:cs="Calibri"/>
        </w:rPr>
        <w:t>, preventing a new generation of occupants being exposed to the risks</w:t>
      </w:r>
      <w:r w:rsidR="00165051">
        <w:rPr>
          <w:rFonts w:cs="Calibri"/>
        </w:rPr>
        <w:t xml:space="preserve"> associated</w:t>
      </w:r>
      <w:r w:rsidR="000E7F8D" w:rsidRPr="00FD77E9">
        <w:rPr>
          <w:rFonts w:cs="Calibri"/>
        </w:rPr>
        <w:t xml:space="preserve"> with living in an affected property, through the occupancy prohibition, is </w:t>
      </w:r>
      <w:r w:rsidR="00146179" w:rsidRPr="00FD77E9">
        <w:rPr>
          <w:rFonts w:cs="Calibri"/>
        </w:rPr>
        <w:t>important</w:t>
      </w:r>
      <w:r w:rsidR="000E7F8D" w:rsidRPr="00FD77E9">
        <w:rPr>
          <w:rFonts w:cs="Calibri"/>
        </w:rPr>
        <w:t xml:space="preserve"> in </w:t>
      </w:r>
      <w:r w:rsidR="00146179" w:rsidRPr="00FD77E9">
        <w:rPr>
          <w:rFonts w:cs="Calibri"/>
        </w:rPr>
        <w:t xml:space="preserve">supporting </w:t>
      </w:r>
      <w:r w:rsidR="000E7F8D" w:rsidRPr="00FD77E9">
        <w:rPr>
          <w:rFonts w:cs="Calibri"/>
        </w:rPr>
        <w:t>community safety</w:t>
      </w:r>
      <w:r w:rsidR="00146179" w:rsidRPr="00FD77E9">
        <w:rPr>
          <w:rFonts w:cs="Calibri"/>
        </w:rPr>
        <w:t xml:space="preserve"> outcomes</w:t>
      </w:r>
      <w:r w:rsidR="00FD77E9">
        <w:rPr>
          <w:rFonts w:cs="Calibri"/>
        </w:rPr>
        <w:t>.</w:t>
      </w:r>
      <w:r w:rsidR="00FE6A4E">
        <w:rPr>
          <w:rFonts w:cs="Calibri"/>
        </w:rPr>
        <w:t xml:space="preserve"> While it is acknowledged that some impact could arise on family connection (in the event of</w:t>
      </w:r>
      <w:r w:rsidR="00165051">
        <w:rPr>
          <w:rFonts w:cs="Calibri"/>
        </w:rPr>
        <w:t>,</w:t>
      </w:r>
      <w:r w:rsidR="00FE6A4E">
        <w:rPr>
          <w:rFonts w:cs="Calibri"/>
        </w:rPr>
        <w:t xml:space="preserve"> for example</w:t>
      </w:r>
      <w:r w:rsidR="00165051">
        <w:rPr>
          <w:rFonts w:cs="Calibri"/>
        </w:rPr>
        <w:t>,</w:t>
      </w:r>
      <w:r w:rsidR="00FE6A4E">
        <w:rPr>
          <w:rFonts w:cs="Calibri"/>
        </w:rPr>
        <w:t xml:space="preserve"> a family </w:t>
      </w:r>
      <w:r w:rsidR="00830543">
        <w:rPr>
          <w:rFonts w:cs="Calibri"/>
        </w:rPr>
        <w:t xml:space="preserve">member </w:t>
      </w:r>
      <w:r w:rsidR="00FE6A4E">
        <w:rPr>
          <w:rFonts w:cs="Calibri"/>
        </w:rPr>
        <w:t xml:space="preserve">living separately wishing to return to living in an affected property), the risks of exposure to loose-fill asbestos </w:t>
      </w:r>
      <w:r w:rsidR="00F2651F">
        <w:rPr>
          <w:rFonts w:cs="Calibri"/>
        </w:rPr>
        <w:t>and the need to secure community safety warrant a proportionate limitation of section 12.</w:t>
      </w:r>
    </w:p>
    <w:p w14:paraId="5D9B73B0" w14:textId="213E97D9" w:rsidR="00DA78DC" w:rsidRPr="00DA78DC" w:rsidRDefault="00DA78DC" w:rsidP="00FD77E9">
      <w:pPr>
        <w:pStyle w:val="ListParagraph"/>
        <w:numPr>
          <w:ilvl w:val="0"/>
          <w:numId w:val="14"/>
        </w:numPr>
        <w:rPr>
          <w:rFonts w:ascii="Arial" w:hAnsi="Arial" w:cs="Arial"/>
          <w:b/>
          <w:bCs/>
          <w:i/>
          <w:szCs w:val="24"/>
        </w:rPr>
      </w:pPr>
      <w:r w:rsidRPr="00DA78DC">
        <w:rPr>
          <w:rFonts w:ascii="Arial" w:hAnsi="Arial" w:cs="Arial"/>
          <w:b/>
          <w:bCs/>
          <w:i/>
          <w:szCs w:val="24"/>
        </w:rPr>
        <w:t>Rational connection between the limitation and the purpose (s28(d))</w:t>
      </w:r>
    </w:p>
    <w:p w14:paraId="7B53EDF0" w14:textId="62170B25" w:rsidR="00A403C9" w:rsidRDefault="00DA78DC" w:rsidP="00420252">
      <w:pPr>
        <w:keepNext/>
        <w:autoSpaceDE w:val="0"/>
        <w:autoSpaceDN w:val="0"/>
        <w:adjustRightInd w:val="0"/>
        <w:spacing w:before="240" w:after="240" w:line="360" w:lineRule="auto"/>
        <w:rPr>
          <w:rFonts w:cs="Calibri"/>
        </w:rPr>
      </w:pPr>
      <w:r w:rsidRPr="00DA78DC">
        <w:rPr>
          <w:rFonts w:cs="Calibri"/>
        </w:rPr>
        <w:t xml:space="preserve">The </w:t>
      </w:r>
      <w:r>
        <w:rPr>
          <w:rFonts w:cs="Calibri"/>
        </w:rPr>
        <w:t>amendments which may be considered to limit section 12 are dir</w:t>
      </w:r>
      <w:r w:rsidRPr="00DA78DC">
        <w:rPr>
          <w:rFonts w:cs="Calibri"/>
        </w:rPr>
        <w:t xml:space="preserve">ectly related to </w:t>
      </w:r>
      <w:r>
        <w:rPr>
          <w:rFonts w:cs="Calibri"/>
        </w:rPr>
        <w:t xml:space="preserve">the </w:t>
      </w:r>
      <w:r w:rsidR="00E657AF">
        <w:rPr>
          <w:rFonts w:cs="Calibri"/>
        </w:rPr>
        <w:t>objective</w:t>
      </w:r>
      <w:r>
        <w:rPr>
          <w:rFonts w:cs="Calibri"/>
        </w:rPr>
        <w:t xml:space="preserve"> of the Bil</w:t>
      </w:r>
      <w:r w:rsidR="00A403C9">
        <w:rPr>
          <w:rFonts w:cs="Calibri"/>
        </w:rPr>
        <w:t>l</w:t>
      </w:r>
      <w:r w:rsidR="00BB1BBB">
        <w:rPr>
          <w:rFonts w:cs="Calibri"/>
        </w:rPr>
        <w:t xml:space="preserve"> -</w:t>
      </w:r>
      <w:r w:rsidR="00165051">
        <w:rPr>
          <w:rFonts w:cs="Calibri"/>
        </w:rPr>
        <w:t xml:space="preserve"> to minimise and where possible remove </w:t>
      </w:r>
      <w:r w:rsidR="00A403C9" w:rsidRPr="00DA78DC">
        <w:rPr>
          <w:rFonts w:cs="Calibri"/>
        </w:rPr>
        <w:t>the risk of exposure to loose-fill asbestos</w:t>
      </w:r>
      <w:r w:rsidR="00165051">
        <w:rPr>
          <w:rFonts w:cs="Calibri"/>
        </w:rPr>
        <w:t xml:space="preserve"> and </w:t>
      </w:r>
      <w:r w:rsidR="00A403C9" w:rsidRPr="00DA78DC">
        <w:rPr>
          <w:rFonts w:cs="Calibri"/>
        </w:rPr>
        <w:t>the associated health risk</w:t>
      </w:r>
      <w:r w:rsidR="00FB0DEE">
        <w:rPr>
          <w:rFonts w:cs="Calibri"/>
        </w:rPr>
        <w:t>s</w:t>
      </w:r>
      <w:r w:rsidR="00A403C9">
        <w:rPr>
          <w:rFonts w:cs="Calibri"/>
        </w:rPr>
        <w:t xml:space="preserve"> for</w:t>
      </w:r>
      <w:r w:rsidR="00165051">
        <w:rPr>
          <w:rFonts w:cs="Calibri"/>
        </w:rPr>
        <w:t xml:space="preserve"> occupants,</w:t>
      </w:r>
      <w:r w:rsidR="00A403C9">
        <w:rPr>
          <w:rFonts w:cs="Calibri"/>
        </w:rPr>
        <w:t xml:space="preserve"> tradespeople, care workers and visitors</w:t>
      </w:r>
      <w:r w:rsidR="00A403C9" w:rsidRPr="00DA78DC">
        <w:rPr>
          <w:rFonts w:cs="Calibri"/>
        </w:rPr>
        <w:t>.</w:t>
      </w:r>
      <w:r w:rsidR="00A403C9">
        <w:rPr>
          <w:rFonts w:cs="Calibri"/>
        </w:rPr>
        <w:t xml:space="preserve"> </w:t>
      </w:r>
      <w:r w:rsidRPr="00DA78DC">
        <w:rPr>
          <w:rFonts w:cs="Calibri"/>
        </w:rPr>
        <w:t xml:space="preserve">The amendments </w:t>
      </w:r>
      <w:r w:rsidR="00A403C9">
        <w:rPr>
          <w:rFonts w:cs="Calibri"/>
        </w:rPr>
        <w:t xml:space="preserve">are capable of achieving </w:t>
      </w:r>
      <w:r w:rsidRPr="00DA78DC">
        <w:rPr>
          <w:rFonts w:cs="Calibri"/>
        </w:rPr>
        <w:t xml:space="preserve">the </w:t>
      </w:r>
      <w:r w:rsidR="00A403C9">
        <w:rPr>
          <w:rFonts w:cs="Calibri"/>
        </w:rPr>
        <w:t>Bill’s objectives</w:t>
      </w:r>
      <w:r w:rsidRPr="00DA78DC">
        <w:rPr>
          <w:rFonts w:cs="Calibri"/>
        </w:rPr>
        <w:t>;</w:t>
      </w:r>
      <w:r w:rsidR="00A403C9">
        <w:rPr>
          <w:rFonts w:cs="Calibri"/>
        </w:rPr>
        <w:t xml:space="preserve"> </w:t>
      </w:r>
      <w:r w:rsidR="00156A1B">
        <w:rPr>
          <w:rFonts w:cs="Calibri"/>
        </w:rPr>
        <w:t xml:space="preserve">by </w:t>
      </w:r>
      <w:r w:rsidR="00A403C9">
        <w:rPr>
          <w:rFonts w:cs="Calibri"/>
        </w:rPr>
        <w:t>limiting, to a justifiable extent, the ability for a person to undertake works on their property (other than essential works</w:t>
      </w:r>
      <w:r w:rsidR="00DC13B2">
        <w:rPr>
          <w:rFonts w:cs="Calibri"/>
        </w:rPr>
        <w:t xml:space="preserve"> or those related to demolition</w:t>
      </w:r>
      <w:r w:rsidR="00A403C9">
        <w:rPr>
          <w:rFonts w:cs="Calibri"/>
        </w:rPr>
        <w:t>)</w:t>
      </w:r>
      <w:r w:rsidR="00FE6378">
        <w:rPr>
          <w:rFonts w:cs="Calibri"/>
        </w:rPr>
        <w:t xml:space="preserve">, </w:t>
      </w:r>
      <w:r w:rsidR="00A403C9">
        <w:rPr>
          <w:rFonts w:cs="Calibri"/>
        </w:rPr>
        <w:t>making information about contamination easily available</w:t>
      </w:r>
      <w:r w:rsidR="00FE6378">
        <w:rPr>
          <w:rFonts w:cs="Calibri"/>
        </w:rPr>
        <w:t xml:space="preserve">, and restricting a new generation of occupants being exposed to </w:t>
      </w:r>
      <w:r w:rsidR="001D10F1">
        <w:rPr>
          <w:rFonts w:cs="Calibri"/>
        </w:rPr>
        <w:t xml:space="preserve">loose-fill asbestos. </w:t>
      </w:r>
    </w:p>
    <w:p w14:paraId="17C1361B" w14:textId="2B8A5A16" w:rsidR="00DC13B2" w:rsidRDefault="00DC13B2" w:rsidP="00165051">
      <w:pPr>
        <w:pStyle w:val="ListParagraph"/>
        <w:numPr>
          <w:ilvl w:val="0"/>
          <w:numId w:val="14"/>
        </w:numPr>
        <w:spacing w:before="0"/>
        <w:contextualSpacing w:val="0"/>
        <w:rPr>
          <w:rFonts w:ascii="Arial" w:hAnsi="Arial" w:cs="Arial"/>
          <w:b/>
          <w:bCs/>
          <w:i/>
          <w:szCs w:val="24"/>
        </w:rPr>
      </w:pPr>
      <w:r w:rsidRPr="00414921">
        <w:rPr>
          <w:rFonts w:ascii="Arial" w:hAnsi="Arial" w:cs="Arial"/>
          <w:b/>
          <w:bCs/>
          <w:i/>
          <w:szCs w:val="24"/>
        </w:rPr>
        <w:t>Proportionality (s28 (e))</w:t>
      </w:r>
    </w:p>
    <w:p w14:paraId="0274F71B" w14:textId="77777777" w:rsidR="00E76E5B" w:rsidRDefault="00FD77E9" w:rsidP="00E76E5B">
      <w:pPr>
        <w:keepNext/>
        <w:autoSpaceDE w:val="0"/>
        <w:autoSpaceDN w:val="0"/>
        <w:adjustRightInd w:val="0"/>
        <w:spacing w:before="240" w:after="240" w:line="360" w:lineRule="auto"/>
        <w:rPr>
          <w:rFonts w:cs="Calibri"/>
        </w:rPr>
      </w:pPr>
      <w:r w:rsidRPr="00FD77E9">
        <w:rPr>
          <w:rFonts w:cs="Calibri"/>
        </w:rPr>
        <w:t xml:space="preserve">The provisions in the Bill that limit section </w:t>
      </w:r>
      <w:r w:rsidR="00516893">
        <w:rPr>
          <w:rFonts w:cs="Calibri"/>
        </w:rPr>
        <w:t>12</w:t>
      </w:r>
      <w:r w:rsidRPr="00FD77E9">
        <w:rPr>
          <w:rFonts w:cs="Calibri"/>
        </w:rPr>
        <w:t xml:space="preserve"> are the least restrictive means reasonably available to achieve the purposes of the Bill. </w:t>
      </w:r>
      <w:r w:rsidR="00E76E5B">
        <w:rPr>
          <w:rFonts w:cs="Calibri"/>
        </w:rPr>
        <w:t xml:space="preserve"> </w:t>
      </w:r>
    </w:p>
    <w:p w14:paraId="4CCC17D5" w14:textId="1A84844A" w:rsidR="00165051" w:rsidRPr="000027CE" w:rsidRDefault="00165051" w:rsidP="00E76E5B">
      <w:pPr>
        <w:keepNext/>
        <w:autoSpaceDE w:val="0"/>
        <w:autoSpaceDN w:val="0"/>
        <w:adjustRightInd w:val="0"/>
        <w:spacing w:before="240" w:after="240" w:line="360" w:lineRule="auto"/>
        <w:rPr>
          <w:rFonts w:asciiTheme="minorHAnsi" w:hAnsiTheme="minorHAnsi" w:cstheme="minorHAnsi"/>
          <w:szCs w:val="24"/>
        </w:rPr>
      </w:pPr>
      <w:r>
        <w:rPr>
          <w:rFonts w:cs="Calibri"/>
        </w:rPr>
        <w:t>As detailed in the analysis of Section 8</w:t>
      </w:r>
      <w:r w:rsidR="00E657AF">
        <w:rPr>
          <w:rFonts w:cs="Calibri"/>
        </w:rPr>
        <w:t xml:space="preserve"> of the HRA</w:t>
      </w:r>
      <w:r>
        <w:rPr>
          <w:rFonts w:cs="Calibri"/>
        </w:rPr>
        <w:t>, o</w:t>
      </w:r>
      <w:r w:rsidRPr="00126DDB">
        <w:rPr>
          <w:rFonts w:cs="Calibri"/>
        </w:rPr>
        <w:t xml:space="preserve">ther less restrictive </w:t>
      </w:r>
      <w:r w:rsidR="005F2316">
        <w:rPr>
          <w:rFonts w:cs="Calibri"/>
        </w:rPr>
        <w:t>AMP requirements</w:t>
      </w:r>
      <w:r>
        <w:rPr>
          <w:rFonts w:cs="Calibri"/>
        </w:rPr>
        <w:t xml:space="preserve"> will not</w:t>
      </w:r>
      <w:r w:rsidRPr="00126DDB">
        <w:rPr>
          <w:rFonts w:cs="Calibri"/>
        </w:rPr>
        <w:t xml:space="preserve"> achieve the purposes of the Bill. </w:t>
      </w:r>
    </w:p>
    <w:p w14:paraId="22854A5B" w14:textId="1FDC6CF1" w:rsidR="00FB0DEE" w:rsidRDefault="005F2316" w:rsidP="00FD77E9">
      <w:pPr>
        <w:keepNext/>
        <w:autoSpaceDE w:val="0"/>
        <w:autoSpaceDN w:val="0"/>
        <w:adjustRightInd w:val="0"/>
        <w:spacing w:before="240" w:after="240" w:line="360" w:lineRule="auto"/>
        <w:rPr>
          <w:rFonts w:cs="Calibri"/>
        </w:rPr>
      </w:pPr>
      <w:r>
        <w:rPr>
          <w:rFonts w:cs="Calibri"/>
        </w:rPr>
        <w:t>L</w:t>
      </w:r>
      <w:r w:rsidR="00516893">
        <w:rPr>
          <w:rFonts w:cs="Calibri"/>
        </w:rPr>
        <w:t>ess restrictive</w:t>
      </w:r>
      <w:r>
        <w:rPr>
          <w:rFonts w:cs="Calibri"/>
        </w:rPr>
        <w:t xml:space="preserve"> </w:t>
      </w:r>
      <w:r w:rsidR="00516893">
        <w:rPr>
          <w:rFonts w:cs="Calibri"/>
        </w:rPr>
        <w:t>option</w:t>
      </w:r>
      <w:r>
        <w:rPr>
          <w:rFonts w:cs="Calibri"/>
        </w:rPr>
        <w:t>s allowing a greater range of building works to be conducted at an affected premises would not achieve the purpose</w:t>
      </w:r>
      <w:r w:rsidR="00E657AF">
        <w:rPr>
          <w:rFonts w:cs="Calibri"/>
        </w:rPr>
        <w:t>s</w:t>
      </w:r>
      <w:r>
        <w:rPr>
          <w:rFonts w:cs="Calibri"/>
        </w:rPr>
        <w:t xml:space="preserve"> of the Bill as </w:t>
      </w:r>
      <w:r w:rsidR="00E657AF">
        <w:rPr>
          <w:rFonts w:cs="Calibri"/>
        </w:rPr>
        <w:t xml:space="preserve">such options increase </w:t>
      </w:r>
      <w:r>
        <w:rPr>
          <w:rFonts w:cs="Calibri"/>
        </w:rPr>
        <w:t xml:space="preserve">the </w:t>
      </w:r>
      <w:r>
        <w:rPr>
          <w:rFonts w:cs="Calibri"/>
        </w:rPr>
        <w:lastRenderedPageBreak/>
        <w:t xml:space="preserve">potential for asbestos exposure and </w:t>
      </w:r>
      <w:r w:rsidR="00E657AF">
        <w:rPr>
          <w:rFonts w:cs="Calibri"/>
        </w:rPr>
        <w:t>do</w:t>
      </w:r>
      <w:r>
        <w:rPr>
          <w:rFonts w:cs="Calibri"/>
        </w:rPr>
        <w:t xml:space="preserve"> not support the goal of removing all loose-fill asbestos affected </w:t>
      </w:r>
      <w:r w:rsidR="00BB1BBB">
        <w:rPr>
          <w:rFonts w:cs="Calibri"/>
        </w:rPr>
        <w:t xml:space="preserve">residential </w:t>
      </w:r>
      <w:r>
        <w:rPr>
          <w:rFonts w:cs="Calibri"/>
        </w:rPr>
        <w:t xml:space="preserve">properties from Canberra’s suburbs. </w:t>
      </w:r>
    </w:p>
    <w:p w14:paraId="140DAFAB" w14:textId="3B860E35" w:rsidR="00DB2279" w:rsidRPr="00FD77E9" w:rsidRDefault="00E76E5B" w:rsidP="00FD77E9">
      <w:pPr>
        <w:keepNext/>
        <w:autoSpaceDE w:val="0"/>
        <w:autoSpaceDN w:val="0"/>
        <w:adjustRightInd w:val="0"/>
        <w:spacing w:before="240" w:after="240" w:line="360" w:lineRule="auto"/>
        <w:rPr>
          <w:rFonts w:cs="Calibri"/>
        </w:rPr>
      </w:pPr>
      <w:r>
        <w:rPr>
          <w:rFonts w:cs="Calibri"/>
        </w:rPr>
        <w:t xml:space="preserve">The occupancy prohibition, which prevents a new generation of occupants in the affected premises, is the least restrictive option to achieve the purpose of the Bill. The restriction only applies to occupancy of the affected premises and does not remove current occupants from the property. The occupancy comes into effect upon transfer or transmission of title, or after any existing rental agreement ends. </w:t>
      </w:r>
      <w:r w:rsidR="00DB2279">
        <w:rPr>
          <w:rFonts w:cs="Calibri"/>
        </w:rPr>
        <w:t>The limitation on section 12 is warranted, and restricted to the extent that transfer or transmission can still occur to approved occupants</w:t>
      </w:r>
      <w:r w:rsidR="00E657AF">
        <w:rPr>
          <w:rFonts w:cs="Calibri"/>
        </w:rPr>
        <w:t xml:space="preserve">. </w:t>
      </w:r>
    </w:p>
    <w:p w14:paraId="24FEA709" w14:textId="107F3732" w:rsidR="00FD77E9" w:rsidRPr="00516893" w:rsidRDefault="00FD77E9" w:rsidP="00516893">
      <w:pPr>
        <w:keepNext/>
        <w:autoSpaceDE w:val="0"/>
        <w:autoSpaceDN w:val="0"/>
        <w:adjustRightInd w:val="0"/>
        <w:spacing w:before="240" w:after="240" w:line="360" w:lineRule="auto"/>
        <w:rPr>
          <w:rFonts w:cs="Calibri"/>
        </w:rPr>
      </w:pPr>
      <w:r w:rsidRPr="00516893">
        <w:rPr>
          <w:rFonts w:cs="Calibri"/>
        </w:rPr>
        <w:t xml:space="preserve">Safeguards have been incorporated to ensure that the restriction on section </w:t>
      </w:r>
      <w:r w:rsidR="00FB0DEE">
        <w:rPr>
          <w:rFonts w:cs="Calibri"/>
        </w:rPr>
        <w:t>12</w:t>
      </w:r>
      <w:r w:rsidRPr="00516893">
        <w:rPr>
          <w:rFonts w:cs="Calibri"/>
        </w:rPr>
        <w:t xml:space="preserve"> is only as extensive as necessary</w:t>
      </w:r>
      <w:r w:rsidR="00E657AF">
        <w:rPr>
          <w:rFonts w:cs="Calibri"/>
        </w:rPr>
        <w:t xml:space="preserve"> to achieve the purposes of the Bill</w:t>
      </w:r>
      <w:r w:rsidR="00CC7655">
        <w:rPr>
          <w:rFonts w:cs="Calibri"/>
        </w:rPr>
        <w:t>.</w:t>
      </w:r>
      <w:r w:rsidRPr="00516893">
        <w:rPr>
          <w:rFonts w:cs="Calibri"/>
        </w:rPr>
        <w:t xml:space="preserve"> </w:t>
      </w:r>
      <w:r w:rsidR="00E76E5B">
        <w:rPr>
          <w:rFonts w:cs="Calibri"/>
        </w:rPr>
        <w:t>S</w:t>
      </w:r>
      <w:r w:rsidRPr="00516893">
        <w:rPr>
          <w:rFonts w:cs="Calibri"/>
        </w:rPr>
        <w:t>afeguard</w:t>
      </w:r>
      <w:r w:rsidR="00FB0DEE">
        <w:rPr>
          <w:rFonts w:cs="Calibri"/>
        </w:rPr>
        <w:t>s</w:t>
      </w:r>
      <w:r w:rsidRPr="00516893">
        <w:rPr>
          <w:rFonts w:cs="Calibri"/>
        </w:rPr>
        <w:t xml:space="preserve"> </w:t>
      </w:r>
      <w:r w:rsidR="00E76E5B">
        <w:rPr>
          <w:rFonts w:cs="Calibri"/>
        </w:rPr>
        <w:t xml:space="preserve">include </w:t>
      </w:r>
      <w:r w:rsidRPr="00516893">
        <w:rPr>
          <w:rFonts w:cs="Calibri"/>
        </w:rPr>
        <w:t>allowing the redaction of personal information from a</w:t>
      </w:r>
      <w:r w:rsidR="00CC7655">
        <w:rPr>
          <w:rFonts w:cs="Calibri"/>
        </w:rPr>
        <w:t xml:space="preserve"> displayed</w:t>
      </w:r>
      <w:r w:rsidRPr="00516893">
        <w:rPr>
          <w:rFonts w:cs="Calibri"/>
        </w:rPr>
        <w:t xml:space="preserve"> </w:t>
      </w:r>
      <w:r w:rsidR="00E76E5B" w:rsidRPr="00516893">
        <w:rPr>
          <w:rFonts w:cs="Calibri"/>
        </w:rPr>
        <w:t>AMP</w:t>
      </w:r>
      <w:r w:rsidR="00E76E5B">
        <w:rPr>
          <w:rFonts w:cs="Calibri"/>
        </w:rPr>
        <w:t xml:space="preserve"> and</w:t>
      </w:r>
      <w:r w:rsidR="00FB0DEE">
        <w:rPr>
          <w:rFonts w:cs="Calibri"/>
        </w:rPr>
        <w:t xml:space="preserve"> </w:t>
      </w:r>
      <w:r w:rsidRPr="00516893">
        <w:rPr>
          <w:rFonts w:cs="Calibri"/>
        </w:rPr>
        <w:t xml:space="preserve">providing for a review mechanism </w:t>
      </w:r>
      <w:r w:rsidR="006A1CB2">
        <w:rPr>
          <w:rFonts w:cs="Calibri"/>
        </w:rPr>
        <w:t>of</w:t>
      </w:r>
      <w:r w:rsidRPr="00516893">
        <w:rPr>
          <w:rFonts w:cs="Calibri"/>
        </w:rPr>
        <w:t xml:space="preserve"> </w:t>
      </w:r>
      <w:r w:rsidR="00CC7655">
        <w:rPr>
          <w:rFonts w:cs="Calibri"/>
        </w:rPr>
        <w:t>the designated</w:t>
      </w:r>
      <w:r w:rsidRPr="00516893">
        <w:rPr>
          <w:rFonts w:cs="Calibri"/>
        </w:rPr>
        <w:t xml:space="preserve"> validity period</w:t>
      </w:r>
      <w:r w:rsidR="00CC7655">
        <w:rPr>
          <w:rFonts w:cs="Calibri"/>
        </w:rPr>
        <w:t xml:space="preserve">. </w:t>
      </w:r>
      <w:r w:rsidR="00FB0DEE">
        <w:rPr>
          <w:rFonts w:cs="Calibri"/>
        </w:rPr>
        <w:t xml:space="preserve"> </w:t>
      </w:r>
      <w:r w:rsidR="00CC7655">
        <w:rPr>
          <w:rFonts w:cs="Calibri"/>
        </w:rPr>
        <w:t>G</w:t>
      </w:r>
      <w:r w:rsidR="00431CA0">
        <w:rPr>
          <w:rFonts w:cs="Calibri"/>
        </w:rPr>
        <w:t xml:space="preserve">uidance material on what may constitute </w:t>
      </w:r>
      <w:r w:rsidR="00BB4654">
        <w:rPr>
          <w:rFonts w:cs="Calibri"/>
        </w:rPr>
        <w:t xml:space="preserve">work ‘essential for </w:t>
      </w:r>
      <w:r w:rsidR="00D9482F">
        <w:rPr>
          <w:rFonts w:cs="Calibri"/>
        </w:rPr>
        <w:t xml:space="preserve">health, </w:t>
      </w:r>
      <w:r w:rsidR="00BB4654">
        <w:rPr>
          <w:rFonts w:cs="Calibri"/>
        </w:rPr>
        <w:t>safety or reasonable living conditions’</w:t>
      </w:r>
      <w:r w:rsidR="00431CA0">
        <w:rPr>
          <w:rFonts w:cs="Calibri"/>
        </w:rPr>
        <w:t xml:space="preserve"> may be published</w:t>
      </w:r>
      <w:r w:rsidR="00CC7655">
        <w:rPr>
          <w:rFonts w:cs="Calibri"/>
        </w:rPr>
        <w:t xml:space="preserve">, which will </w:t>
      </w:r>
      <w:r w:rsidR="00431CA0">
        <w:rPr>
          <w:rFonts w:cs="Calibri"/>
        </w:rPr>
        <w:t xml:space="preserve">provide greater </w:t>
      </w:r>
      <w:r w:rsidR="006A1CB2">
        <w:rPr>
          <w:rFonts w:cs="Calibri"/>
        </w:rPr>
        <w:t>certainty</w:t>
      </w:r>
      <w:r w:rsidR="00431CA0">
        <w:rPr>
          <w:rFonts w:cs="Calibri"/>
        </w:rPr>
        <w:t xml:space="preserve"> to building </w:t>
      </w:r>
      <w:r w:rsidR="00CC7655">
        <w:rPr>
          <w:rFonts w:cs="Calibri"/>
        </w:rPr>
        <w:t>surveyors</w:t>
      </w:r>
      <w:r w:rsidR="00431CA0">
        <w:rPr>
          <w:rFonts w:cs="Calibri"/>
        </w:rPr>
        <w:t xml:space="preserve"> and the community on what sorts of works </w:t>
      </w:r>
      <w:r w:rsidR="006A1CB2">
        <w:rPr>
          <w:rFonts w:cs="Calibri"/>
        </w:rPr>
        <w:t>are permissible</w:t>
      </w:r>
      <w:r w:rsidR="00431CA0">
        <w:rPr>
          <w:rFonts w:cs="Calibri"/>
        </w:rPr>
        <w:t>.</w:t>
      </w:r>
      <w:r w:rsidR="00162563">
        <w:rPr>
          <w:rFonts w:cs="Calibri"/>
        </w:rPr>
        <w:t xml:space="preserve"> Additionally, </w:t>
      </w:r>
      <w:r w:rsidR="006E5214">
        <w:rPr>
          <w:rFonts w:cs="Calibri"/>
        </w:rPr>
        <w:t xml:space="preserve">a decision by the Minister to refuse </w:t>
      </w:r>
      <w:r w:rsidR="00CC7655">
        <w:rPr>
          <w:rFonts w:cs="Calibri"/>
        </w:rPr>
        <w:t>a</w:t>
      </w:r>
      <w:r w:rsidR="006E5214">
        <w:rPr>
          <w:rFonts w:cs="Calibri"/>
        </w:rPr>
        <w:t xml:space="preserve"> person </w:t>
      </w:r>
      <w:r w:rsidR="00BB1BBB">
        <w:rPr>
          <w:rFonts w:cs="Calibri"/>
        </w:rPr>
        <w:t>as an approved occupant</w:t>
      </w:r>
      <w:r w:rsidR="006A1CB2">
        <w:rPr>
          <w:rFonts w:cs="Calibri"/>
        </w:rPr>
        <w:t xml:space="preserve"> of an af</w:t>
      </w:r>
      <w:r w:rsidR="006E5214">
        <w:rPr>
          <w:rFonts w:cs="Calibri"/>
        </w:rPr>
        <w:t xml:space="preserve">fected residential premises subject to an occupancy prohibition is a reviewable decision under the Act. </w:t>
      </w:r>
    </w:p>
    <w:p w14:paraId="36DBD325" w14:textId="7CEF02F9" w:rsidR="002A3E98" w:rsidRDefault="002A3E98" w:rsidP="002A3E98">
      <w:pPr>
        <w:spacing w:before="0"/>
        <w:rPr>
          <w:rFonts w:ascii="Arial" w:hAnsi="Arial" w:cs="Arial"/>
          <w:b/>
          <w:bCs/>
          <w:i/>
          <w:szCs w:val="24"/>
          <w:u w:val="single"/>
        </w:rPr>
      </w:pPr>
      <w:r w:rsidRPr="007E27DE">
        <w:rPr>
          <w:rFonts w:ascii="Arial" w:hAnsi="Arial" w:cs="Arial"/>
          <w:b/>
          <w:bCs/>
          <w:i/>
          <w:szCs w:val="24"/>
          <w:u w:val="single"/>
        </w:rPr>
        <w:t>Section 1</w:t>
      </w:r>
      <w:r>
        <w:rPr>
          <w:rFonts w:ascii="Arial" w:hAnsi="Arial" w:cs="Arial"/>
          <w:b/>
          <w:bCs/>
          <w:i/>
          <w:szCs w:val="24"/>
          <w:u w:val="single"/>
        </w:rPr>
        <w:t>6</w:t>
      </w:r>
      <w:r w:rsidRPr="007E27DE">
        <w:rPr>
          <w:rFonts w:ascii="Arial" w:hAnsi="Arial" w:cs="Arial"/>
          <w:b/>
          <w:bCs/>
          <w:i/>
          <w:szCs w:val="24"/>
          <w:u w:val="single"/>
        </w:rPr>
        <w:t xml:space="preserve">- </w:t>
      </w:r>
      <w:r>
        <w:rPr>
          <w:rFonts w:ascii="Arial" w:hAnsi="Arial" w:cs="Arial"/>
          <w:b/>
          <w:bCs/>
          <w:i/>
          <w:szCs w:val="24"/>
          <w:u w:val="single"/>
        </w:rPr>
        <w:t xml:space="preserve">Freedom </w:t>
      </w:r>
      <w:r w:rsidR="00F81E53">
        <w:rPr>
          <w:rFonts w:ascii="Arial" w:hAnsi="Arial" w:cs="Arial"/>
          <w:b/>
          <w:bCs/>
          <w:i/>
          <w:szCs w:val="24"/>
          <w:u w:val="single"/>
        </w:rPr>
        <w:t xml:space="preserve">of </w:t>
      </w:r>
      <w:r w:rsidR="00B711D6">
        <w:rPr>
          <w:rFonts w:ascii="Arial" w:hAnsi="Arial" w:cs="Arial"/>
          <w:b/>
          <w:bCs/>
          <w:i/>
          <w:szCs w:val="24"/>
          <w:u w:val="single"/>
        </w:rPr>
        <w:t>expression</w:t>
      </w:r>
    </w:p>
    <w:p w14:paraId="785203C3" w14:textId="77777777" w:rsidR="00B711D6" w:rsidRPr="00A1268E" w:rsidRDefault="00B711D6" w:rsidP="002A3E98">
      <w:pPr>
        <w:spacing w:before="0"/>
        <w:rPr>
          <w:rFonts w:ascii="Arial" w:hAnsi="Arial" w:cs="Arial"/>
          <w:iCs/>
          <w:szCs w:val="24"/>
          <w:u w:val="single"/>
        </w:rPr>
      </w:pPr>
    </w:p>
    <w:p w14:paraId="1C785568" w14:textId="09048B0B" w:rsidR="00B711D6" w:rsidRPr="007E27DE" w:rsidRDefault="00B711D6" w:rsidP="00B711D6">
      <w:pPr>
        <w:keepNext/>
        <w:autoSpaceDE w:val="0"/>
        <w:autoSpaceDN w:val="0"/>
        <w:adjustRightInd w:val="0"/>
        <w:spacing w:before="240" w:after="240" w:line="360" w:lineRule="auto"/>
        <w:rPr>
          <w:rFonts w:cs="Calibri"/>
        </w:rPr>
      </w:pPr>
      <w:r w:rsidRPr="007E27DE">
        <w:rPr>
          <w:rFonts w:cs="Calibri"/>
        </w:rPr>
        <w:t>Section 1</w:t>
      </w:r>
      <w:r>
        <w:rPr>
          <w:rFonts w:cs="Calibri"/>
        </w:rPr>
        <w:t>6</w:t>
      </w:r>
      <w:r w:rsidRPr="007E27DE">
        <w:rPr>
          <w:rFonts w:cs="Calibri"/>
        </w:rPr>
        <w:t xml:space="preserve"> of the HRA states that:</w:t>
      </w:r>
    </w:p>
    <w:p w14:paraId="4064ED4C" w14:textId="77777777" w:rsidR="00B711D6" w:rsidRDefault="00B711D6" w:rsidP="00B711D6">
      <w:pPr>
        <w:pStyle w:val="ListParagraph"/>
        <w:keepNext/>
        <w:numPr>
          <w:ilvl w:val="0"/>
          <w:numId w:val="18"/>
        </w:numPr>
        <w:autoSpaceDE w:val="0"/>
        <w:autoSpaceDN w:val="0"/>
        <w:adjustRightInd w:val="0"/>
        <w:spacing w:before="240" w:after="240" w:line="360" w:lineRule="auto"/>
        <w:rPr>
          <w:rFonts w:cs="Calibri"/>
          <w:i/>
          <w:iCs/>
        </w:rPr>
      </w:pPr>
      <w:r>
        <w:rPr>
          <w:rFonts w:cs="Calibri"/>
          <w:i/>
          <w:iCs/>
        </w:rPr>
        <w:t>Everyone has the right to hold opinions without interference.</w:t>
      </w:r>
    </w:p>
    <w:p w14:paraId="2EB8D672" w14:textId="4AF78946" w:rsidR="00B711D6" w:rsidRDefault="00B711D6" w:rsidP="00B711D6">
      <w:pPr>
        <w:pStyle w:val="ListParagraph"/>
        <w:keepNext/>
        <w:numPr>
          <w:ilvl w:val="0"/>
          <w:numId w:val="18"/>
        </w:numPr>
        <w:autoSpaceDE w:val="0"/>
        <w:autoSpaceDN w:val="0"/>
        <w:adjustRightInd w:val="0"/>
        <w:spacing w:before="240" w:after="240" w:line="360" w:lineRule="auto"/>
        <w:rPr>
          <w:rFonts w:cs="Calibri"/>
          <w:i/>
          <w:iCs/>
        </w:rPr>
      </w:pPr>
      <w:r>
        <w:rPr>
          <w:rFonts w:cs="Calibri"/>
          <w:i/>
          <w:iCs/>
        </w:rPr>
        <w:t>Everyone has the right to freedom of expression. This right includes the freedom to seek, receive and impart information and ideas of all kinds, regardless of borders, whether orally, in writing or in print, by way of art, or in another way chosen by him or her.</w:t>
      </w:r>
    </w:p>
    <w:p w14:paraId="155A1AA0" w14:textId="77777777" w:rsidR="00F75E34" w:rsidRDefault="00F75E34" w:rsidP="00A1268E">
      <w:pPr>
        <w:pStyle w:val="ListParagraph"/>
        <w:keepNext/>
        <w:autoSpaceDE w:val="0"/>
        <w:autoSpaceDN w:val="0"/>
        <w:adjustRightInd w:val="0"/>
        <w:spacing w:before="240" w:after="240" w:line="360" w:lineRule="auto"/>
        <w:rPr>
          <w:rFonts w:cs="Calibri"/>
          <w:i/>
          <w:iCs/>
        </w:rPr>
      </w:pPr>
    </w:p>
    <w:p w14:paraId="2DE03882" w14:textId="398DC1C6" w:rsidR="00F75E34" w:rsidRPr="00A1268E" w:rsidRDefault="00F75E34" w:rsidP="00A1268E">
      <w:pPr>
        <w:pStyle w:val="ListParagraph"/>
        <w:numPr>
          <w:ilvl w:val="0"/>
          <w:numId w:val="19"/>
        </w:numPr>
        <w:spacing w:before="0"/>
        <w:rPr>
          <w:rFonts w:ascii="Arial" w:hAnsi="Arial" w:cs="Arial"/>
          <w:b/>
          <w:bCs/>
          <w:i/>
          <w:szCs w:val="24"/>
        </w:rPr>
      </w:pPr>
      <w:r w:rsidRPr="00A1268E">
        <w:rPr>
          <w:rFonts w:ascii="Arial" w:hAnsi="Arial" w:cs="Arial"/>
          <w:b/>
          <w:bCs/>
          <w:i/>
          <w:szCs w:val="24"/>
        </w:rPr>
        <w:t>Nature of the right and the limitation (s28(a) and (c))</w:t>
      </w:r>
    </w:p>
    <w:p w14:paraId="0A14FAB8" w14:textId="693D25A1" w:rsidR="00B711D6" w:rsidRDefault="00F75E34" w:rsidP="00B711D6">
      <w:pPr>
        <w:keepNext/>
        <w:autoSpaceDE w:val="0"/>
        <w:autoSpaceDN w:val="0"/>
        <w:adjustRightInd w:val="0"/>
        <w:spacing w:before="240" w:after="240" w:line="360" w:lineRule="auto"/>
        <w:rPr>
          <w:rFonts w:cs="Calibri"/>
        </w:rPr>
      </w:pPr>
      <w:r>
        <w:rPr>
          <w:rFonts w:cs="Calibri"/>
        </w:rPr>
        <w:t xml:space="preserve">The Bill may be considered to engage section 16 </w:t>
      </w:r>
      <w:r w:rsidR="000A3AB1">
        <w:rPr>
          <w:rFonts w:cs="Calibri"/>
        </w:rPr>
        <w:t xml:space="preserve">by introducing requirements to publish the AMP status of an affected premises on the Register and requiring the AMP to be displayed at </w:t>
      </w:r>
      <w:r w:rsidR="000A3AB1">
        <w:rPr>
          <w:rFonts w:cs="Calibri"/>
        </w:rPr>
        <w:lastRenderedPageBreak/>
        <w:t>a prominent location of a premises. The restrictions on the nature and extent of works that can be done on affected premises may also be considered to limit the right to freedom of expression</w:t>
      </w:r>
      <w:r w:rsidR="0002247E">
        <w:rPr>
          <w:rFonts w:cs="Calibri"/>
        </w:rPr>
        <w:t xml:space="preserve">, as </w:t>
      </w:r>
      <w:r w:rsidR="00D7349B">
        <w:rPr>
          <w:rFonts w:cs="Calibri"/>
        </w:rPr>
        <w:t>an individual may wish to express him or herself by way of improvements to the home</w:t>
      </w:r>
      <w:r w:rsidR="000A3AB1">
        <w:rPr>
          <w:rFonts w:cs="Calibri"/>
        </w:rPr>
        <w:t>. Section 16 is limited to a small extent only</w:t>
      </w:r>
      <w:r w:rsidR="001C6A02">
        <w:rPr>
          <w:rFonts w:cs="Calibri"/>
        </w:rPr>
        <w:t>. O</w:t>
      </w:r>
      <w:r w:rsidR="00691A9F">
        <w:rPr>
          <w:rFonts w:cs="Calibri"/>
        </w:rPr>
        <w:t xml:space="preserve">ther than the requirement to record AMP information on the register, and to display the AMP at affected premises, there are no impositions on what </w:t>
      </w:r>
      <w:r w:rsidR="001C6A02">
        <w:rPr>
          <w:rFonts w:cs="Calibri"/>
        </w:rPr>
        <w:t xml:space="preserve">material </w:t>
      </w:r>
      <w:r w:rsidR="00691A9F">
        <w:rPr>
          <w:rFonts w:cs="Calibri"/>
        </w:rPr>
        <w:t xml:space="preserve">an individual </w:t>
      </w:r>
      <w:r w:rsidR="0002247E">
        <w:rPr>
          <w:rFonts w:cs="Calibri"/>
        </w:rPr>
        <w:t>displays</w:t>
      </w:r>
      <w:r w:rsidR="001C6A02">
        <w:rPr>
          <w:rFonts w:cs="Calibri"/>
        </w:rPr>
        <w:t xml:space="preserve"> at </w:t>
      </w:r>
      <w:r w:rsidR="0002247E">
        <w:rPr>
          <w:rFonts w:cs="Calibri"/>
        </w:rPr>
        <w:t>an affected</w:t>
      </w:r>
      <w:r w:rsidR="001C6A02">
        <w:rPr>
          <w:rFonts w:cs="Calibri"/>
        </w:rPr>
        <w:t xml:space="preserve"> property</w:t>
      </w:r>
      <w:r w:rsidR="00691A9F">
        <w:rPr>
          <w:rFonts w:cs="Calibri"/>
        </w:rPr>
        <w:t xml:space="preserve">. </w:t>
      </w:r>
      <w:r w:rsidR="001C6A02">
        <w:rPr>
          <w:rFonts w:cs="Calibri"/>
        </w:rPr>
        <w:t>Furthermore,</w:t>
      </w:r>
      <w:r w:rsidR="00691A9F">
        <w:rPr>
          <w:rFonts w:cs="Calibri"/>
        </w:rPr>
        <w:t xml:space="preserve"> an individual may continue to express him or herself </w:t>
      </w:r>
      <w:r w:rsidR="001C6A02">
        <w:rPr>
          <w:rFonts w:cs="Calibri"/>
        </w:rPr>
        <w:t xml:space="preserve">through works done on a property </w:t>
      </w:r>
      <w:r w:rsidR="00691A9F">
        <w:rPr>
          <w:rFonts w:cs="Calibri"/>
        </w:rPr>
        <w:t xml:space="preserve">with certain minor works that remain exempt (which are unlikely to disturb loose-fill asbestos) and with </w:t>
      </w:r>
      <w:r w:rsidR="002232AB">
        <w:rPr>
          <w:rFonts w:cs="Calibri"/>
        </w:rPr>
        <w:t>work essential</w:t>
      </w:r>
      <w:r w:rsidR="00D9482F">
        <w:rPr>
          <w:rFonts w:cs="Calibri"/>
        </w:rPr>
        <w:t xml:space="preserve"> to support health,</w:t>
      </w:r>
      <w:r w:rsidR="002232AB">
        <w:rPr>
          <w:rFonts w:cs="Calibri"/>
        </w:rPr>
        <w:t xml:space="preserve"> safety,</w:t>
      </w:r>
      <w:r w:rsidR="00D9482F">
        <w:rPr>
          <w:rFonts w:cs="Calibri"/>
        </w:rPr>
        <w:t xml:space="preserve"> or</w:t>
      </w:r>
      <w:r w:rsidR="002232AB">
        <w:rPr>
          <w:rFonts w:cs="Calibri"/>
        </w:rPr>
        <w:t xml:space="preserve"> reasonable living conditions.</w:t>
      </w:r>
      <w:r w:rsidR="00691A9F">
        <w:rPr>
          <w:rFonts w:cs="Calibri"/>
        </w:rPr>
        <w:t xml:space="preserve"> </w:t>
      </w:r>
    </w:p>
    <w:p w14:paraId="23B3BC69" w14:textId="6294BC26" w:rsidR="000A3AB1" w:rsidRPr="00156A1B" w:rsidRDefault="000A3AB1" w:rsidP="00A1268E">
      <w:pPr>
        <w:pStyle w:val="ListParagraph"/>
        <w:numPr>
          <w:ilvl w:val="0"/>
          <w:numId w:val="19"/>
        </w:numPr>
        <w:spacing w:before="0"/>
        <w:rPr>
          <w:rFonts w:ascii="Arial" w:hAnsi="Arial" w:cs="Arial"/>
          <w:b/>
          <w:bCs/>
          <w:i/>
          <w:szCs w:val="24"/>
        </w:rPr>
      </w:pPr>
      <w:r w:rsidRPr="00156A1B">
        <w:rPr>
          <w:rFonts w:ascii="Arial" w:hAnsi="Arial" w:cs="Arial"/>
          <w:b/>
          <w:bCs/>
          <w:i/>
          <w:szCs w:val="24"/>
        </w:rPr>
        <w:t>Legitimate purpose (s28(b))</w:t>
      </w:r>
    </w:p>
    <w:p w14:paraId="223911A2" w14:textId="3BEFA2D1" w:rsidR="00691A9F" w:rsidRDefault="000A3AB1" w:rsidP="00B711D6">
      <w:pPr>
        <w:keepNext/>
        <w:autoSpaceDE w:val="0"/>
        <w:autoSpaceDN w:val="0"/>
        <w:adjustRightInd w:val="0"/>
        <w:spacing w:before="240" w:after="240" w:line="360" w:lineRule="auto"/>
        <w:rPr>
          <w:rFonts w:cs="Calibri"/>
        </w:rPr>
      </w:pPr>
      <w:r>
        <w:rPr>
          <w:rFonts w:cs="Calibri"/>
        </w:rPr>
        <w:t xml:space="preserve">The purpose of the </w:t>
      </w:r>
      <w:r w:rsidR="0002247E">
        <w:rPr>
          <w:rFonts w:cs="Calibri"/>
        </w:rPr>
        <w:t>limitation on</w:t>
      </w:r>
      <w:r w:rsidR="007F69B1">
        <w:rPr>
          <w:rFonts w:cs="Calibri"/>
        </w:rPr>
        <w:t xml:space="preserve"> the right to freedom of expression is to support community safety, </w:t>
      </w:r>
      <w:r w:rsidR="00691A9F">
        <w:rPr>
          <w:rFonts w:cs="Calibri"/>
        </w:rPr>
        <w:t>by mitigating the risks of exposure to loose-fill asbestos, and support</w:t>
      </w:r>
      <w:r w:rsidR="0002247E">
        <w:rPr>
          <w:rFonts w:cs="Calibri"/>
        </w:rPr>
        <w:t>ing</w:t>
      </w:r>
      <w:r w:rsidR="00691A9F">
        <w:rPr>
          <w:rFonts w:cs="Calibri"/>
        </w:rPr>
        <w:t xml:space="preserve"> the phase-out of affected residential properties in the ACT. </w:t>
      </w:r>
    </w:p>
    <w:p w14:paraId="055C66E7" w14:textId="64E8F1A0" w:rsidR="007F69B1" w:rsidRPr="00156A1B" w:rsidRDefault="007F69B1" w:rsidP="00A1268E">
      <w:pPr>
        <w:pStyle w:val="ListParagraph"/>
        <w:keepNext/>
        <w:numPr>
          <w:ilvl w:val="0"/>
          <w:numId w:val="19"/>
        </w:numPr>
        <w:autoSpaceDE w:val="0"/>
        <w:autoSpaceDN w:val="0"/>
        <w:adjustRightInd w:val="0"/>
        <w:spacing w:before="240" w:after="240" w:line="360" w:lineRule="auto"/>
        <w:rPr>
          <w:rFonts w:ascii="Arial" w:hAnsi="Arial" w:cs="Arial"/>
          <w:b/>
          <w:bCs/>
          <w:i/>
          <w:szCs w:val="24"/>
        </w:rPr>
      </w:pPr>
      <w:r w:rsidRPr="00156A1B">
        <w:rPr>
          <w:rFonts w:ascii="Arial" w:hAnsi="Arial" w:cs="Arial"/>
          <w:b/>
          <w:bCs/>
          <w:i/>
          <w:szCs w:val="24"/>
        </w:rPr>
        <w:t>Rational connection between the limitation and the purpose (s28(d))</w:t>
      </w:r>
    </w:p>
    <w:p w14:paraId="2C063BE1" w14:textId="74BC530E" w:rsidR="007F69B1" w:rsidRPr="00A1268E" w:rsidRDefault="007F69B1" w:rsidP="00A1268E">
      <w:pPr>
        <w:keepNext/>
        <w:autoSpaceDE w:val="0"/>
        <w:autoSpaceDN w:val="0"/>
        <w:adjustRightInd w:val="0"/>
        <w:spacing w:before="240" w:after="240" w:line="360" w:lineRule="auto"/>
        <w:rPr>
          <w:rFonts w:asciiTheme="minorHAnsi" w:hAnsiTheme="minorHAnsi" w:cstheme="minorHAnsi"/>
        </w:rPr>
      </w:pPr>
      <w:r w:rsidRPr="00A1268E">
        <w:rPr>
          <w:rFonts w:asciiTheme="minorHAnsi" w:hAnsiTheme="minorHAnsi" w:cstheme="minorHAnsi"/>
        </w:rPr>
        <w:t xml:space="preserve">The amendments limiting the right to freedom of </w:t>
      </w:r>
      <w:r>
        <w:rPr>
          <w:rFonts w:asciiTheme="minorHAnsi" w:hAnsiTheme="minorHAnsi" w:cstheme="minorHAnsi"/>
        </w:rPr>
        <w:t>expression</w:t>
      </w:r>
      <w:r w:rsidRPr="00A1268E">
        <w:rPr>
          <w:rFonts w:asciiTheme="minorHAnsi" w:hAnsiTheme="minorHAnsi" w:cstheme="minorHAnsi"/>
        </w:rPr>
        <w:t xml:space="preserve"> are capable of achieving the purposes of the Bill</w:t>
      </w:r>
      <w:r w:rsidR="00462156">
        <w:rPr>
          <w:rFonts w:asciiTheme="minorHAnsi" w:hAnsiTheme="minorHAnsi" w:cstheme="minorHAnsi"/>
        </w:rPr>
        <w:t>.  B</w:t>
      </w:r>
      <w:r w:rsidRPr="00A1268E">
        <w:rPr>
          <w:rFonts w:asciiTheme="minorHAnsi" w:hAnsiTheme="minorHAnsi" w:cstheme="minorHAnsi"/>
        </w:rPr>
        <w:t xml:space="preserve">y restricting works that can be undertaken on affected properties, </w:t>
      </w:r>
      <w:r>
        <w:rPr>
          <w:rFonts w:asciiTheme="minorHAnsi" w:hAnsiTheme="minorHAnsi" w:cstheme="minorHAnsi"/>
        </w:rPr>
        <w:t xml:space="preserve">and </w:t>
      </w:r>
      <w:r w:rsidR="00462156">
        <w:rPr>
          <w:rFonts w:asciiTheme="minorHAnsi" w:hAnsiTheme="minorHAnsi" w:cstheme="minorHAnsi"/>
        </w:rPr>
        <w:t xml:space="preserve">making AMP information visible and accessible, </w:t>
      </w:r>
      <w:r w:rsidR="00554A81">
        <w:rPr>
          <w:rFonts w:asciiTheme="minorHAnsi" w:hAnsiTheme="minorHAnsi" w:cstheme="minorHAnsi"/>
        </w:rPr>
        <w:t xml:space="preserve">the purposes of </w:t>
      </w:r>
      <w:r w:rsidRPr="00A1268E">
        <w:rPr>
          <w:rFonts w:asciiTheme="minorHAnsi" w:hAnsiTheme="minorHAnsi" w:cstheme="minorHAnsi"/>
        </w:rPr>
        <w:t xml:space="preserve">phase-out of affected properties in the ACT and </w:t>
      </w:r>
      <w:r w:rsidR="00554A81">
        <w:rPr>
          <w:rFonts w:asciiTheme="minorHAnsi" w:hAnsiTheme="minorHAnsi" w:cstheme="minorHAnsi"/>
        </w:rPr>
        <w:t>minimising</w:t>
      </w:r>
      <w:r w:rsidRPr="00A1268E">
        <w:rPr>
          <w:rFonts w:asciiTheme="minorHAnsi" w:hAnsiTheme="minorHAnsi" w:cstheme="minorHAnsi"/>
        </w:rPr>
        <w:t xml:space="preserve"> risks of exposure to loose-fill asbestos are </w:t>
      </w:r>
      <w:r w:rsidR="00554A81">
        <w:rPr>
          <w:rFonts w:asciiTheme="minorHAnsi" w:hAnsiTheme="minorHAnsi" w:cstheme="minorHAnsi"/>
        </w:rPr>
        <w:t xml:space="preserve">supported. </w:t>
      </w:r>
    </w:p>
    <w:p w14:paraId="49464176" w14:textId="4CF382F6" w:rsidR="00462156" w:rsidRDefault="00462156">
      <w:pPr>
        <w:spacing w:before="0" w:after="160" w:line="259" w:lineRule="auto"/>
        <w:rPr>
          <w:rFonts w:ascii="Arial" w:hAnsi="Arial" w:cs="Arial"/>
          <w:b/>
          <w:bCs/>
          <w:i/>
          <w:szCs w:val="24"/>
        </w:rPr>
      </w:pPr>
    </w:p>
    <w:p w14:paraId="22263B69" w14:textId="77CB31E6" w:rsidR="000F554E" w:rsidRPr="00FD77E9" w:rsidRDefault="000F554E" w:rsidP="00A1268E">
      <w:pPr>
        <w:pStyle w:val="ListParagraph"/>
        <w:numPr>
          <w:ilvl w:val="0"/>
          <w:numId w:val="19"/>
        </w:numPr>
        <w:spacing w:before="0"/>
        <w:rPr>
          <w:rFonts w:ascii="Arial" w:hAnsi="Arial" w:cs="Arial"/>
          <w:b/>
          <w:bCs/>
          <w:i/>
          <w:szCs w:val="24"/>
        </w:rPr>
      </w:pPr>
      <w:r w:rsidRPr="00FD77E9">
        <w:rPr>
          <w:rFonts w:ascii="Arial" w:hAnsi="Arial" w:cs="Arial"/>
          <w:b/>
          <w:bCs/>
          <w:i/>
          <w:szCs w:val="24"/>
        </w:rPr>
        <w:t>Proportionality (s28 (e))</w:t>
      </w:r>
    </w:p>
    <w:p w14:paraId="275F50F3" w14:textId="77777777" w:rsidR="00500104" w:rsidRDefault="000F554E" w:rsidP="00B711D6">
      <w:pPr>
        <w:keepNext/>
        <w:autoSpaceDE w:val="0"/>
        <w:autoSpaceDN w:val="0"/>
        <w:adjustRightInd w:val="0"/>
        <w:spacing w:before="240" w:after="240" w:line="360" w:lineRule="auto"/>
        <w:rPr>
          <w:rFonts w:cs="Calibri"/>
        </w:rPr>
      </w:pPr>
      <w:r w:rsidRPr="00F8584C">
        <w:rPr>
          <w:rFonts w:cs="Calibri"/>
        </w:rPr>
        <w:t xml:space="preserve">The provisions in the Bill that limit the right to freedom of </w:t>
      </w:r>
      <w:r>
        <w:rPr>
          <w:rFonts w:cs="Calibri"/>
        </w:rPr>
        <w:t>expression</w:t>
      </w:r>
      <w:r w:rsidRPr="00F8584C">
        <w:rPr>
          <w:rFonts w:cs="Calibri"/>
        </w:rPr>
        <w:t xml:space="preserve"> are the least restrictive means reasonably available to achieve the purposes of the Bill. </w:t>
      </w:r>
    </w:p>
    <w:p w14:paraId="3433E05A" w14:textId="37BB0042" w:rsidR="00962343" w:rsidRDefault="00500104" w:rsidP="00B711D6">
      <w:pPr>
        <w:keepNext/>
        <w:autoSpaceDE w:val="0"/>
        <w:autoSpaceDN w:val="0"/>
        <w:adjustRightInd w:val="0"/>
        <w:spacing w:before="240" w:after="240" w:line="360" w:lineRule="auto"/>
        <w:rPr>
          <w:rFonts w:cs="Calibri"/>
        </w:rPr>
      </w:pPr>
      <w:r>
        <w:rPr>
          <w:rFonts w:cs="Calibri"/>
        </w:rPr>
        <w:t xml:space="preserve">The current, </w:t>
      </w:r>
      <w:r w:rsidR="000F554E">
        <w:rPr>
          <w:rFonts w:cs="Calibri"/>
        </w:rPr>
        <w:t>less restrictive</w:t>
      </w:r>
      <w:r>
        <w:rPr>
          <w:rFonts w:cs="Calibri"/>
        </w:rPr>
        <w:t xml:space="preserve">, requirements are to </w:t>
      </w:r>
      <w:r w:rsidR="0002247E">
        <w:rPr>
          <w:rFonts w:cs="Calibri"/>
        </w:rPr>
        <w:t>place a</w:t>
      </w:r>
      <w:r w:rsidR="000F554E">
        <w:rPr>
          <w:rFonts w:cs="Calibri"/>
        </w:rPr>
        <w:t xml:space="preserve"> warning sticker in the meter box of </w:t>
      </w:r>
      <w:r w:rsidR="00BE0E32">
        <w:rPr>
          <w:rFonts w:cs="Calibri"/>
        </w:rPr>
        <w:t xml:space="preserve">an affected </w:t>
      </w:r>
      <w:r w:rsidR="001B5F83">
        <w:rPr>
          <w:rFonts w:cs="Calibri"/>
        </w:rPr>
        <w:t>property</w:t>
      </w:r>
      <w:r w:rsidR="0002247E">
        <w:rPr>
          <w:rFonts w:cs="Calibri"/>
        </w:rPr>
        <w:t xml:space="preserve">, and </w:t>
      </w:r>
      <w:r>
        <w:rPr>
          <w:rFonts w:cs="Calibri"/>
        </w:rPr>
        <w:t xml:space="preserve">for </w:t>
      </w:r>
      <w:r w:rsidR="00BE0E32">
        <w:rPr>
          <w:rFonts w:cs="Calibri"/>
        </w:rPr>
        <w:t xml:space="preserve">homeowners </w:t>
      </w:r>
      <w:r>
        <w:rPr>
          <w:rFonts w:cs="Calibri"/>
        </w:rPr>
        <w:t xml:space="preserve">to </w:t>
      </w:r>
      <w:r w:rsidR="00BE0E32">
        <w:rPr>
          <w:rFonts w:cs="Calibri"/>
        </w:rPr>
        <w:t xml:space="preserve">advise people entering the house of the </w:t>
      </w:r>
      <w:r>
        <w:rPr>
          <w:rFonts w:cs="Calibri"/>
        </w:rPr>
        <w:t>asbestos</w:t>
      </w:r>
      <w:r w:rsidR="00BE0E32">
        <w:rPr>
          <w:rFonts w:cs="Calibri"/>
        </w:rPr>
        <w:t xml:space="preserve"> </w:t>
      </w:r>
      <w:r>
        <w:rPr>
          <w:rFonts w:cs="Calibri"/>
        </w:rPr>
        <w:t>contamination; and</w:t>
      </w:r>
      <w:r w:rsidR="00BE0E32">
        <w:rPr>
          <w:rFonts w:cs="Calibri"/>
        </w:rPr>
        <w:t xml:space="preserve"> make a copy of the AMP available</w:t>
      </w:r>
      <w:r>
        <w:rPr>
          <w:rFonts w:cs="Calibri"/>
        </w:rPr>
        <w:t>.</w:t>
      </w:r>
      <w:r w:rsidR="00BE0E32">
        <w:rPr>
          <w:rFonts w:cs="Calibri"/>
        </w:rPr>
        <w:t xml:space="preserve"> It is understood that these requirements are not always followed. The purpose of supporting community safety is better </w:t>
      </w:r>
      <w:r w:rsidR="00BE0E32">
        <w:rPr>
          <w:rFonts w:cs="Calibri"/>
        </w:rPr>
        <w:lastRenderedPageBreak/>
        <w:t>met by requiring the AMP to be clearly displayed at a property, to ensure those required to enter or conduct work in the property are fully informed</w:t>
      </w:r>
      <w:r w:rsidR="00A25C0E">
        <w:rPr>
          <w:rFonts w:cs="Calibri"/>
        </w:rPr>
        <w:t>.</w:t>
      </w:r>
    </w:p>
    <w:p w14:paraId="15F9EB1B" w14:textId="0F6DA848" w:rsidR="007F69B1" w:rsidRPr="00A1268E" w:rsidRDefault="00F20A91" w:rsidP="00B711D6">
      <w:pPr>
        <w:keepNext/>
        <w:autoSpaceDE w:val="0"/>
        <w:autoSpaceDN w:val="0"/>
        <w:adjustRightInd w:val="0"/>
        <w:spacing w:before="240" w:after="240" w:line="360" w:lineRule="auto"/>
        <w:rPr>
          <w:rFonts w:cs="Calibri"/>
        </w:rPr>
      </w:pPr>
      <w:r w:rsidRPr="00F8584C">
        <w:rPr>
          <w:rFonts w:cs="Calibri"/>
        </w:rPr>
        <w:t xml:space="preserve">The limitation on works that can be undertaken is considered a proportionate means to achieve the objectives of the Bill. </w:t>
      </w:r>
      <w:r w:rsidR="00500104">
        <w:rPr>
          <w:rFonts w:cs="Calibri"/>
        </w:rPr>
        <w:t xml:space="preserve">The </w:t>
      </w:r>
      <w:r w:rsidR="00D7349B">
        <w:rPr>
          <w:rFonts w:cs="Calibri"/>
        </w:rPr>
        <w:t xml:space="preserve">less restrictive measure </w:t>
      </w:r>
      <w:r w:rsidR="00500104">
        <w:rPr>
          <w:rFonts w:cs="Calibri"/>
        </w:rPr>
        <w:t xml:space="preserve">allowing a broader range of building works to continue to be undertaken at affected premises does not effectively meet the purpose of the Bill. Allowing development and improvements does not support the goal of phasing our affected </w:t>
      </w:r>
      <w:r w:rsidR="00B46B51">
        <w:rPr>
          <w:rFonts w:cs="Calibri"/>
        </w:rPr>
        <w:t xml:space="preserve">residential </w:t>
      </w:r>
      <w:r w:rsidR="00500104">
        <w:rPr>
          <w:rFonts w:cs="Calibri"/>
        </w:rPr>
        <w:t>premises from Canberra’s suburbs.</w:t>
      </w:r>
      <w:r w:rsidR="000F554E" w:rsidRPr="00F8584C">
        <w:rPr>
          <w:rFonts w:cs="Calibri"/>
        </w:rPr>
        <w:t xml:space="preserve"> </w:t>
      </w:r>
      <w:r w:rsidR="00500104">
        <w:rPr>
          <w:rFonts w:cs="Calibri"/>
        </w:rPr>
        <w:t xml:space="preserve"> Further, allowing non</w:t>
      </w:r>
      <w:r w:rsidR="00B46B51">
        <w:rPr>
          <w:rFonts w:cs="Calibri"/>
        </w:rPr>
        <w:noBreakHyphen/>
      </w:r>
      <w:r w:rsidR="00500104">
        <w:rPr>
          <w:rFonts w:cs="Calibri"/>
        </w:rPr>
        <w:t xml:space="preserve">essential works to be undertaken increases the potential risk of asbestos exposure for tradespeople, thereby less effectively meeting the community safety purpose of the Bill. </w:t>
      </w:r>
    </w:p>
    <w:p w14:paraId="15E252FB" w14:textId="1BDA4089" w:rsidR="006373F0" w:rsidRPr="006D49BD" w:rsidRDefault="006373F0" w:rsidP="006373F0">
      <w:pPr>
        <w:pageBreakBefore/>
        <w:rPr>
          <w:rFonts w:ascii="Arial" w:hAnsi="Arial" w:cs="Arial"/>
          <w:b/>
          <w:bCs/>
          <w:szCs w:val="24"/>
        </w:rPr>
      </w:pPr>
    </w:p>
    <w:p w14:paraId="269614E4" w14:textId="77777777" w:rsidR="006373F0" w:rsidRDefault="006373F0" w:rsidP="006373F0">
      <w:pPr>
        <w:pStyle w:val="Heading2"/>
        <w:ind w:left="-108"/>
        <w:jc w:val="center"/>
        <w:rPr>
          <w:rFonts w:asciiTheme="minorHAnsi" w:hAnsiTheme="minorHAnsi" w:cs="Arial"/>
          <w:b w:val="0"/>
          <w:sz w:val="28"/>
          <w:szCs w:val="28"/>
        </w:rPr>
      </w:pPr>
    </w:p>
    <w:p w14:paraId="66AC4106" w14:textId="6A9CA529" w:rsidR="006373F0" w:rsidRPr="00943C7F" w:rsidRDefault="008658D4" w:rsidP="006373F0">
      <w:pPr>
        <w:pStyle w:val="Heading2"/>
        <w:ind w:left="-108"/>
        <w:jc w:val="center"/>
        <w:rPr>
          <w:rFonts w:asciiTheme="minorHAnsi" w:hAnsiTheme="minorHAnsi" w:cs="Arial"/>
          <w:b w:val="0"/>
          <w:bCs w:val="0"/>
          <w:i/>
          <w:iCs w:val="0"/>
          <w:sz w:val="28"/>
          <w:szCs w:val="28"/>
        </w:rPr>
      </w:pPr>
      <w:r>
        <w:rPr>
          <w:rFonts w:asciiTheme="minorHAnsi" w:hAnsiTheme="minorHAnsi" w:cs="Arial"/>
          <w:b w:val="0"/>
          <w:sz w:val="28"/>
          <w:szCs w:val="28"/>
        </w:rPr>
        <w:t xml:space="preserve">Loose-fill Asbestos </w:t>
      </w:r>
      <w:r w:rsidR="00F40B44">
        <w:rPr>
          <w:rFonts w:asciiTheme="minorHAnsi" w:hAnsiTheme="minorHAnsi" w:cs="Arial"/>
          <w:b w:val="0"/>
          <w:sz w:val="28"/>
          <w:szCs w:val="28"/>
        </w:rPr>
        <w:t xml:space="preserve">Legislation </w:t>
      </w:r>
      <w:r>
        <w:rPr>
          <w:rFonts w:asciiTheme="minorHAnsi" w:hAnsiTheme="minorHAnsi" w:cs="Arial"/>
          <w:b w:val="0"/>
          <w:sz w:val="28"/>
          <w:szCs w:val="28"/>
        </w:rPr>
        <w:t>Amendment Bill 2020</w:t>
      </w:r>
    </w:p>
    <w:p w14:paraId="794766FB" w14:textId="77777777" w:rsidR="006373F0" w:rsidRPr="003E5EE6" w:rsidRDefault="006373F0" w:rsidP="006373F0">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4346A94A" w14:textId="77777777" w:rsidR="006373F0" w:rsidRDefault="006373F0" w:rsidP="006373F0"/>
    <w:p w14:paraId="08D94A56" w14:textId="77777777" w:rsidR="006373F0" w:rsidRPr="00D77995" w:rsidRDefault="006373F0" w:rsidP="006373F0"/>
    <w:p w14:paraId="13057F8A" w14:textId="763A842B" w:rsidR="006373F0" w:rsidRDefault="006373F0" w:rsidP="006373F0">
      <w:pPr>
        <w:jc w:val="both"/>
      </w:pPr>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8658D4">
        <w:rPr>
          <w:rFonts w:asciiTheme="minorHAnsi" w:hAnsiTheme="minorHAnsi"/>
          <w:b/>
        </w:rPr>
        <w:t>Loose-</w:t>
      </w:r>
      <w:r w:rsidR="00D47367">
        <w:rPr>
          <w:rFonts w:asciiTheme="minorHAnsi" w:hAnsiTheme="minorHAnsi"/>
          <w:b/>
        </w:rPr>
        <w:t>f</w:t>
      </w:r>
      <w:r w:rsidR="008658D4">
        <w:rPr>
          <w:rFonts w:asciiTheme="minorHAnsi" w:hAnsiTheme="minorHAnsi"/>
          <w:b/>
        </w:rPr>
        <w:t xml:space="preserve">ill Asbestos </w:t>
      </w:r>
      <w:r w:rsidR="00F40B44">
        <w:rPr>
          <w:rFonts w:asciiTheme="minorHAnsi" w:hAnsiTheme="minorHAnsi"/>
          <w:b/>
        </w:rPr>
        <w:t xml:space="preserve">Legislation </w:t>
      </w:r>
      <w:r w:rsidR="008658D4">
        <w:rPr>
          <w:rFonts w:asciiTheme="minorHAnsi" w:hAnsiTheme="minorHAnsi"/>
          <w:b/>
        </w:rPr>
        <w:t>Amendment Bill 2020</w:t>
      </w:r>
      <w:r w:rsidRPr="00521950">
        <w:rPr>
          <w:rFonts w:asciiTheme="minorHAnsi" w:hAnsiTheme="minorHAnsi"/>
        </w:rPr>
        <w:t>.  In my opinion,</w:t>
      </w:r>
      <w:r>
        <w:rPr>
          <w:rFonts w:asciiTheme="minorHAnsi" w:hAnsiTheme="minorHAnsi"/>
        </w:rPr>
        <w:t xml:space="preserve"> having regard to the outline of the policy considerations and justification of any limitations on rights outlined in this explanatory statement, </w:t>
      </w:r>
      <w:r w:rsidRPr="00521950">
        <w:rPr>
          <w:rFonts w:asciiTheme="minorHAnsi" w:hAnsiTheme="minorHAnsi"/>
        </w:rPr>
        <w:t>the Bill</w:t>
      </w:r>
      <w:r w:rsidRPr="005162FA">
        <w:rPr>
          <w:rFonts w:asciiTheme="minorHAnsi" w:hAnsiTheme="minorHAnsi"/>
        </w:rPr>
        <w:t xml:space="preserve"> </w:t>
      </w:r>
      <w:r w:rsidRPr="00521950">
        <w:rPr>
          <w:rFonts w:asciiTheme="minorHAnsi" w:hAnsiTheme="minorHAnsi"/>
        </w:rPr>
        <w:t xml:space="preserve">as presented </w:t>
      </w:r>
      <w:r>
        <w:rPr>
          <w:rFonts w:asciiTheme="minorHAnsi" w:hAnsiTheme="minorHAnsi"/>
        </w:rPr>
        <w:t xml:space="preserve">to the </w:t>
      </w:r>
      <w:r w:rsidRPr="008658D4">
        <w:rPr>
          <w:rFonts w:asciiTheme="minorHAnsi" w:hAnsiTheme="minorHAnsi"/>
        </w:rPr>
        <w:t>Legislative Assembly</w:t>
      </w:r>
      <w:r w:rsidRPr="008658D4">
        <w:rPr>
          <w:rFonts w:asciiTheme="minorHAnsi" w:hAnsiTheme="minorHAnsi"/>
          <w:b/>
        </w:rPr>
        <w:t xml:space="preserve"> </w:t>
      </w:r>
      <w:r w:rsidRPr="00F40B44">
        <w:rPr>
          <w:rFonts w:asciiTheme="minorHAnsi" w:hAnsiTheme="minorHAnsi"/>
          <w:bCs/>
        </w:rPr>
        <w:t>is</w:t>
      </w:r>
      <w:r w:rsidRPr="008658D4">
        <w:rPr>
          <w:rFonts w:asciiTheme="minorHAnsi" w:hAnsiTheme="minorHAnsi"/>
          <w:b/>
        </w:rPr>
        <w:t xml:space="preserve"> </w:t>
      </w:r>
      <w:r w:rsidRPr="008658D4">
        <w:rPr>
          <w:rFonts w:asciiTheme="minorHAnsi" w:hAnsiTheme="minorHAnsi"/>
        </w:rPr>
        <w:t xml:space="preserve">consistent with the </w:t>
      </w:r>
      <w:r w:rsidRPr="008658D4">
        <w:rPr>
          <w:rFonts w:asciiTheme="minorHAnsi" w:hAnsiTheme="minorHAnsi"/>
          <w:i/>
          <w:iCs/>
        </w:rPr>
        <w:t>Human</w:t>
      </w:r>
      <w:r w:rsidR="00D47367">
        <w:rPr>
          <w:rFonts w:asciiTheme="minorHAnsi" w:hAnsiTheme="minorHAnsi"/>
          <w:i/>
          <w:iCs/>
        </w:rPr>
        <w:t> </w:t>
      </w:r>
      <w:r w:rsidRPr="008658D4">
        <w:rPr>
          <w:rFonts w:asciiTheme="minorHAnsi" w:hAnsiTheme="minorHAnsi"/>
          <w:i/>
          <w:iCs/>
        </w:rPr>
        <w:t>Rights</w:t>
      </w:r>
      <w:r w:rsidR="00D47367">
        <w:rPr>
          <w:rFonts w:asciiTheme="minorHAnsi" w:hAnsiTheme="minorHAnsi"/>
          <w:i/>
          <w:iCs/>
        </w:rPr>
        <w:t> </w:t>
      </w:r>
      <w:r w:rsidRPr="008658D4">
        <w:rPr>
          <w:rFonts w:asciiTheme="minorHAnsi" w:hAnsiTheme="minorHAnsi"/>
          <w:i/>
          <w:iCs/>
        </w:rPr>
        <w:t>Act 2004.</w:t>
      </w:r>
    </w:p>
    <w:p w14:paraId="54FA90BF" w14:textId="77777777" w:rsidR="006373F0" w:rsidRDefault="006373F0" w:rsidP="006373F0">
      <w:pPr>
        <w:rPr>
          <w:rFonts w:asciiTheme="minorHAnsi" w:hAnsiTheme="minorHAnsi" w:cstheme="minorHAnsi"/>
        </w:rPr>
      </w:pPr>
    </w:p>
    <w:p w14:paraId="2B8FD165" w14:textId="77777777" w:rsidR="006373F0" w:rsidRDefault="006373F0" w:rsidP="006373F0">
      <w:pPr>
        <w:rPr>
          <w:rFonts w:asciiTheme="minorHAnsi" w:hAnsiTheme="minorHAnsi" w:cstheme="minorHAnsi"/>
        </w:rPr>
      </w:pPr>
    </w:p>
    <w:p w14:paraId="4760D9A5" w14:textId="77777777" w:rsidR="006373F0" w:rsidRDefault="006373F0" w:rsidP="006373F0">
      <w:pPr>
        <w:rPr>
          <w:rFonts w:asciiTheme="minorHAnsi" w:hAnsiTheme="minorHAnsi" w:cstheme="minorHAnsi"/>
        </w:rPr>
      </w:pPr>
      <w:r>
        <w:rPr>
          <w:rFonts w:asciiTheme="minorHAnsi" w:hAnsiTheme="minorHAnsi" w:cstheme="minorHAnsi"/>
        </w:rPr>
        <w:t>………………………………………………….</w:t>
      </w:r>
    </w:p>
    <w:p w14:paraId="3D6EC3A1" w14:textId="4803C08E" w:rsidR="00016330" w:rsidRDefault="006373F0" w:rsidP="006373F0">
      <w:pPr>
        <w:rPr>
          <w:b/>
          <w:sz w:val="36"/>
          <w:szCs w:val="36"/>
        </w:rPr>
      </w:pPr>
      <w:r>
        <w:rPr>
          <w:rFonts w:asciiTheme="minorHAnsi" w:hAnsiTheme="minorHAnsi" w:cstheme="minorHAnsi"/>
        </w:rPr>
        <w:t>Gordon Ramsay MLA</w:t>
      </w:r>
      <w:r>
        <w:rPr>
          <w:rFonts w:asciiTheme="minorHAnsi" w:hAnsiTheme="minorHAnsi" w:cstheme="minorHAnsi"/>
        </w:rPr>
        <w:br/>
        <w:t>Attorney-General</w:t>
      </w:r>
    </w:p>
    <w:p w14:paraId="7133D079" w14:textId="52FEE95E" w:rsidR="001E5186" w:rsidRDefault="001E5186">
      <w:pPr>
        <w:spacing w:before="0" w:after="160" w:line="259" w:lineRule="auto"/>
        <w:rPr>
          <w:b/>
          <w:sz w:val="36"/>
          <w:szCs w:val="36"/>
        </w:rPr>
      </w:pPr>
      <w:r>
        <w:rPr>
          <w:b/>
          <w:sz w:val="36"/>
          <w:szCs w:val="36"/>
        </w:rPr>
        <w:br w:type="page"/>
      </w:r>
    </w:p>
    <w:p w14:paraId="01852A47" w14:textId="7F7356CD" w:rsidR="00B714D7" w:rsidRPr="00A36E0B" w:rsidRDefault="00984E56" w:rsidP="00420252">
      <w:pPr>
        <w:keepNext/>
        <w:autoSpaceDE w:val="0"/>
        <w:autoSpaceDN w:val="0"/>
        <w:adjustRightInd w:val="0"/>
        <w:spacing w:before="240" w:after="240" w:line="360" w:lineRule="auto"/>
        <w:rPr>
          <w:b/>
          <w:sz w:val="36"/>
          <w:szCs w:val="36"/>
        </w:rPr>
      </w:pPr>
      <w:r>
        <w:rPr>
          <w:b/>
          <w:sz w:val="36"/>
          <w:szCs w:val="36"/>
        </w:rPr>
        <w:lastRenderedPageBreak/>
        <w:t>Clause notes</w:t>
      </w:r>
    </w:p>
    <w:p w14:paraId="2940A114" w14:textId="3F78A5A7" w:rsidR="00361E51" w:rsidRPr="001A0E62" w:rsidRDefault="00361E51" w:rsidP="00420252">
      <w:pPr>
        <w:keepNext/>
        <w:autoSpaceDE w:val="0"/>
        <w:autoSpaceDN w:val="0"/>
        <w:adjustRightInd w:val="0"/>
        <w:spacing w:before="240" w:after="240" w:line="360" w:lineRule="auto"/>
        <w:rPr>
          <w:b/>
          <w:sz w:val="36"/>
          <w:szCs w:val="36"/>
        </w:rPr>
      </w:pPr>
      <w:r w:rsidRPr="001A0E62">
        <w:rPr>
          <w:b/>
          <w:sz w:val="36"/>
          <w:szCs w:val="36"/>
        </w:rPr>
        <w:t xml:space="preserve">Part 1 </w:t>
      </w:r>
    </w:p>
    <w:p w14:paraId="6CB3A8DA" w14:textId="7A3047D5" w:rsidR="00B714D7" w:rsidRPr="00694EC7" w:rsidRDefault="00B714D7" w:rsidP="004B4779">
      <w:pPr>
        <w:pStyle w:val="Heading2"/>
      </w:pPr>
      <w:r w:rsidRPr="00694EC7">
        <w:t xml:space="preserve">Clause 1 </w:t>
      </w:r>
      <w:r w:rsidRPr="00694EC7">
        <w:tab/>
        <w:t>Name of Act</w:t>
      </w:r>
    </w:p>
    <w:p w14:paraId="4361A2D7" w14:textId="1D4F6133" w:rsidR="00B714D7" w:rsidRPr="00A36E0B" w:rsidRDefault="00B714D7" w:rsidP="00420252">
      <w:pPr>
        <w:pStyle w:val="Default"/>
        <w:spacing w:after="240" w:line="360" w:lineRule="auto"/>
        <w:rPr>
          <w:rFonts w:ascii="Calibri" w:hAnsi="Calibri" w:cs="Calibri"/>
          <w:color w:val="auto"/>
        </w:rPr>
      </w:pPr>
      <w:r w:rsidRPr="00A36E0B">
        <w:rPr>
          <w:rFonts w:ascii="Calibri" w:hAnsi="Calibri" w:cs="Calibri"/>
          <w:color w:val="auto"/>
        </w:rPr>
        <w:t xml:space="preserve">This clause names the Act as the </w:t>
      </w:r>
      <w:r w:rsidR="00361E51">
        <w:rPr>
          <w:rFonts w:ascii="Calibri" w:hAnsi="Calibri" w:cs="Calibri"/>
          <w:i/>
          <w:color w:val="auto"/>
        </w:rPr>
        <w:t>Loose-fill Asbestos Legislation Amendment Act 2020.</w:t>
      </w:r>
    </w:p>
    <w:p w14:paraId="13B0E9D9" w14:textId="77777777" w:rsidR="00B714D7" w:rsidRPr="000E41DC" w:rsidRDefault="00B714D7" w:rsidP="004B4779">
      <w:pPr>
        <w:pStyle w:val="Heading2"/>
      </w:pPr>
      <w:r w:rsidRPr="000E41DC">
        <w:t>Clause 2</w:t>
      </w:r>
      <w:r w:rsidRPr="000E41DC">
        <w:tab/>
        <w:t>Commencement</w:t>
      </w:r>
    </w:p>
    <w:p w14:paraId="1DC9E2F2" w14:textId="420EC67F" w:rsidR="00B714D7" w:rsidRPr="000E41DC" w:rsidRDefault="00B714D7" w:rsidP="00420252">
      <w:pPr>
        <w:pStyle w:val="Default"/>
        <w:spacing w:after="240" w:line="360" w:lineRule="auto"/>
        <w:rPr>
          <w:rFonts w:ascii="Calibri" w:hAnsi="Calibri" w:cs="Calibri"/>
          <w:color w:val="auto"/>
        </w:rPr>
      </w:pPr>
      <w:r w:rsidRPr="000E41DC">
        <w:rPr>
          <w:rFonts w:ascii="Calibri" w:hAnsi="Calibri" w:cs="Calibri"/>
          <w:color w:val="auto"/>
        </w:rPr>
        <w:t>This clause provides for the commencement of the Act.</w:t>
      </w:r>
      <w:r w:rsidR="00766E49">
        <w:rPr>
          <w:rFonts w:ascii="Calibri" w:hAnsi="Calibri" w:cs="Calibri"/>
          <w:color w:val="auto"/>
        </w:rPr>
        <w:t xml:space="preserve"> </w:t>
      </w:r>
      <w:r w:rsidR="00361E51">
        <w:rPr>
          <w:rFonts w:ascii="Calibri" w:hAnsi="Calibri" w:cs="Calibri"/>
          <w:color w:val="auto"/>
        </w:rPr>
        <w:t>The Act commences on 1 July 2020</w:t>
      </w:r>
      <w:r w:rsidRPr="000E41DC">
        <w:rPr>
          <w:rFonts w:ascii="Calibri" w:hAnsi="Calibri" w:cs="Calibri"/>
          <w:color w:val="auto"/>
        </w:rPr>
        <w:t xml:space="preserve">. </w:t>
      </w:r>
    </w:p>
    <w:p w14:paraId="505BBEF0" w14:textId="77777777" w:rsidR="00B714D7" w:rsidRPr="00A36E0B" w:rsidRDefault="00B714D7" w:rsidP="004B4779">
      <w:pPr>
        <w:pStyle w:val="Heading2"/>
      </w:pPr>
      <w:r w:rsidRPr="00A36E0B">
        <w:t>Clause 3</w:t>
      </w:r>
      <w:r w:rsidRPr="00A36E0B">
        <w:tab/>
        <w:t>Legislation amended</w:t>
      </w:r>
    </w:p>
    <w:p w14:paraId="6AB8CAA9" w14:textId="635D354E" w:rsidR="00B714D7" w:rsidRDefault="00B714D7" w:rsidP="00420252">
      <w:pPr>
        <w:pStyle w:val="Default"/>
        <w:spacing w:after="240" w:line="360" w:lineRule="auto"/>
        <w:rPr>
          <w:rFonts w:ascii="Calibri" w:hAnsi="Calibri" w:cs="Calibri"/>
          <w:color w:val="auto"/>
        </w:rPr>
      </w:pPr>
      <w:r>
        <w:rPr>
          <w:rFonts w:ascii="Calibri" w:hAnsi="Calibri" w:cs="Calibri"/>
          <w:color w:val="auto"/>
        </w:rPr>
        <w:t>This clause p</w:t>
      </w:r>
      <w:r w:rsidRPr="00A36E0B">
        <w:rPr>
          <w:rFonts w:ascii="Calibri" w:hAnsi="Calibri" w:cs="Calibri"/>
          <w:color w:val="auto"/>
        </w:rPr>
        <w:t xml:space="preserve">rovides that the Act </w:t>
      </w:r>
      <w:r w:rsidR="00361E51">
        <w:rPr>
          <w:rFonts w:ascii="Calibri" w:hAnsi="Calibri" w:cs="Calibri"/>
          <w:color w:val="auto"/>
        </w:rPr>
        <w:t xml:space="preserve">amends a number of pieces of legislation. </w:t>
      </w:r>
    </w:p>
    <w:p w14:paraId="09D2E1E2" w14:textId="21A03DDA" w:rsidR="00361E51" w:rsidRPr="001A0E62" w:rsidRDefault="00361E51" w:rsidP="00420252">
      <w:pPr>
        <w:keepNext/>
        <w:autoSpaceDE w:val="0"/>
        <w:autoSpaceDN w:val="0"/>
        <w:adjustRightInd w:val="0"/>
        <w:spacing w:before="240" w:after="240" w:line="360" w:lineRule="auto"/>
        <w:rPr>
          <w:b/>
          <w:sz w:val="36"/>
          <w:szCs w:val="36"/>
        </w:rPr>
      </w:pPr>
      <w:r w:rsidRPr="001A0E62">
        <w:rPr>
          <w:b/>
          <w:sz w:val="36"/>
          <w:szCs w:val="36"/>
        </w:rPr>
        <w:t>Part 2</w:t>
      </w:r>
      <w:r w:rsidRPr="001A0E62">
        <w:rPr>
          <w:b/>
          <w:sz w:val="36"/>
          <w:szCs w:val="36"/>
        </w:rPr>
        <w:tab/>
        <w:t xml:space="preserve">Building </w:t>
      </w:r>
      <w:r w:rsidR="00AC0C47">
        <w:rPr>
          <w:b/>
          <w:sz w:val="36"/>
          <w:szCs w:val="36"/>
        </w:rPr>
        <w:t>(General) Regulation 2008</w:t>
      </w:r>
    </w:p>
    <w:p w14:paraId="65D0EE42" w14:textId="4C4E38F1" w:rsidR="003745A5" w:rsidRPr="0049016C" w:rsidRDefault="003745A5" w:rsidP="003745A5">
      <w:pPr>
        <w:keepNext/>
        <w:rPr>
          <w:b/>
          <w:szCs w:val="24"/>
        </w:rPr>
      </w:pPr>
      <w:r w:rsidRPr="0049016C">
        <w:rPr>
          <w:b/>
          <w:szCs w:val="24"/>
        </w:rPr>
        <w:t xml:space="preserve">Clause </w:t>
      </w:r>
      <w:r>
        <w:rPr>
          <w:b/>
          <w:szCs w:val="24"/>
        </w:rPr>
        <w:t>4</w:t>
      </w:r>
      <w:r w:rsidRPr="0049016C">
        <w:rPr>
          <w:b/>
          <w:szCs w:val="24"/>
        </w:rPr>
        <w:tab/>
      </w:r>
      <w:r>
        <w:rPr>
          <w:b/>
          <w:szCs w:val="24"/>
        </w:rPr>
        <w:t xml:space="preserve">Exempt buildings </w:t>
      </w:r>
      <w:r w:rsidRPr="003745A5">
        <w:rPr>
          <w:b/>
          <w:bCs/>
        </w:rPr>
        <w:t>and building work generally- Act, s152(2)</w:t>
      </w:r>
    </w:p>
    <w:p w14:paraId="1B513C96" w14:textId="06CCEB3D" w:rsidR="003745A5" w:rsidRPr="0049016C" w:rsidRDefault="003745A5" w:rsidP="003745A5">
      <w:pPr>
        <w:keepNext/>
        <w:spacing w:after="120"/>
        <w:ind w:left="720" w:firstLine="720"/>
        <w:rPr>
          <w:b/>
          <w:szCs w:val="24"/>
        </w:rPr>
      </w:pPr>
      <w:r w:rsidRPr="0049016C">
        <w:rPr>
          <w:b/>
          <w:szCs w:val="24"/>
        </w:rPr>
        <w:t xml:space="preserve">New section </w:t>
      </w:r>
      <w:r>
        <w:rPr>
          <w:b/>
          <w:szCs w:val="24"/>
        </w:rPr>
        <w:t>6</w:t>
      </w:r>
      <w:r w:rsidR="00DD5520">
        <w:rPr>
          <w:b/>
          <w:szCs w:val="24"/>
        </w:rPr>
        <w:t xml:space="preserve"> </w:t>
      </w:r>
      <w:r>
        <w:rPr>
          <w:b/>
          <w:szCs w:val="24"/>
        </w:rPr>
        <w:t>(1A</w:t>
      </w:r>
      <w:r w:rsidRPr="0049016C">
        <w:rPr>
          <w:b/>
          <w:szCs w:val="24"/>
        </w:rPr>
        <w:t>)</w:t>
      </w:r>
    </w:p>
    <w:p w14:paraId="39B762F6" w14:textId="766A85DE" w:rsidR="000D5F4E" w:rsidRDefault="00B714D7" w:rsidP="00420252">
      <w:pPr>
        <w:pStyle w:val="Default"/>
        <w:spacing w:after="240" w:line="360" w:lineRule="auto"/>
        <w:rPr>
          <w:rFonts w:ascii="Calibri" w:hAnsi="Calibri"/>
          <w:color w:val="auto"/>
        </w:rPr>
      </w:pPr>
      <w:r>
        <w:rPr>
          <w:rFonts w:ascii="Calibri" w:hAnsi="Calibri"/>
          <w:color w:val="auto"/>
        </w:rPr>
        <w:t xml:space="preserve">This clause introduces a new section </w:t>
      </w:r>
      <w:r w:rsidR="000D5F4E">
        <w:rPr>
          <w:rFonts w:ascii="Calibri" w:hAnsi="Calibri"/>
          <w:color w:val="auto"/>
        </w:rPr>
        <w:t xml:space="preserve">to provide that </w:t>
      </w:r>
      <w:r w:rsidR="00D9482F">
        <w:rPr>
          <w:rFonts w:ascii="Calibri" w:hAnsi="Calibri"/>
          <w:color w:val="auto"/>
        </w:rPr>
        <w:t>items 2 - 15</w:t>
      </w:r>
      <w:r w:rsidR="00133749">
        <w:rPr>
          <w:rFonts w:ascii="Calibri" w:hAnsi="Calibri"/>
          <w:color w:val="auto"/>
        </w:rPr>
        <w:t xml:space="preserve"> in part 1.2 of schedule</w:t>
      </w:r>
      <w:r w:rsidR="00E76AF0">
        <w:rPr>
          <w:rFonts w:ascii="Calibri" w:hAnsi="Calibri"/>
          <w:color w:val="auto"/>
        </w:rPr>
        <w:t> </w:t>
      </w:r>
      <w:r w:rsidR="00133749">
        <w:rPr>
          <w:rFonts w:ascii="Calibri" w:hAnsi="Calibri"/>
          <w:color w:val="auto"/>
        </w:rPr>
        <w:t xml:space="preserve">1, which are exempted from the provisions of the </w:t>
      </w:r>
      <w:r w:rsidR="00133749" w:rsidRPr="00133749">
        <w:rPr>
          <w:rFonts w:ascii="Calibri" w:hAnsi="Calibri"/>
          <w:i/>
          <w:iCs/>
          <w:color w:val="auto"/>
        </w:rPr>
        <w:t>Building Act 2004</w:t>
      </w:r>
      <w:r w:rsidR="00133749">
        <w:rPr>
          <w:rFonts w:ascii="Calibri" w:hAnsi="Calibri"/>
          <w:color w:val="auto"/>
        </w:rPr>
        <w:t xml:space="preserve">, are not exempt </w:t>
      </w:r>
      <w:r w:rsidR="000D5F4E">
        <w:rPr>
          <w:rFonts w:ascii="Calibri" w:hAnsi="Calibri"/>
          <w:color w:val="auto"/>
        </w:rPr>
        <w:t>if the building is erected at affected residential premises.</w:t>
      </w:r>
    </w:p>
    <w:p w14:paraId="0B882FE8" w14:textId="3D0FB86B" w:rsidR="00312990" w:rsidRDefault="00D9482F" w:rsidP="00420252">
      <w:pPr>
        <w:pStyle w:val="Default"/>
        <w:spacing w:after="240" w:line="360" w:lineRule="auto"/>
        <w:rPr>
          <w:rFonts w:ascii="Calibri" w:hAnsi="Calibri"/>
          <w:color w:val="auto"/>
        </w:rPr>
      </w:pPr>
      <w:r>
        <w:rPr>
          <w:rFonts w:ascii="Calibri" w:hAnsi="Calibri"/>
          <w:color w:val="auto"/>
        </w:rPr>
        <w:t xml:space="preserve">Items 2 – 15 in </w:t>
      </w:r>
      <w:r w:rsidR="00312990">
        <w:rPr>
          <w:rFonts w:ascii="Calibri" w:hAnsi="Calibri"/>
          <w:color w:val="auto"/>
        </w:rPr>
        <w:t>part 1.2</w:t>
      </w:r>
      <w:r>
        <w:rPr>
          <w:rFonts w:ascii="Calibri" w:hAnsi="Calibri"/>
          <w:color w:val="auto"/>
        </w:rPr>
        <w:t xml:space="preserve"> of schedule 1</w:t>
      </w:r>
      <w:r w:rsidR="00312990">
        <w:rPr>
          <w:rFonts w:ascii="Calibri" w:hAnsi="Calibri"/>
          <w:color w:val="auto"/>
        </w:rPr>
        <w:t xml:space="preserve"> include structures such as dams or water treatment works. It is not expected that these buildings will be located at affected premises, but the clause ensures that should any of these structures exist, they will not be exempt from building approval and therefore will only be approved if related to the demolition of loose-fill affected structures or required for essential </w:t>
      </w:r>
      <w:r w:rsidR="002232AB">
        <w:rPr>
          <w:rFonts w:ascii="Calibri" w:hAnsi="Calibri"/>
          <w:color w:val="auto"/>
        </w:rPr>
        <w:t>health, safety or reasonable living conditions.</w:t>
      </w:r>
      <w:r>
        <w:rPr>
          <w:rFonts w:ascii="Calibri" w:hAnsi="Calibri"/>
          <w:color w:val="auto"/>
        </w:rPr>
        <w:t xml:space="preserve"> Temporary buildings remain exempt as they may be needed to facilitate the demolition of an affected building.</w:t>
      </w:r>
    </w:p>
    <w:p w14:paraId="38F764A0" w14:textId="605D60D1" w:rsidR="00B714D7" w:rsidRPr="00AC0C47" w:rsidRDefault="00B714D7" w:rsidP="004B4779">
      <w:pPr>
        <w:pStyle w:val="Heading2"/>
      </w:pPr>
      <w:r w:rsidRPr="00312990">
        <w:t xml:space="preserve">Clause </w:t>
      </w:r>
      <w:r w:rsidR="00AC0C47" w:rsidRPr="00312990">
        <w:t>5</w:t>
      </w:r>
      <w:r w:rsidRPr="00312990">
        <w:tab/>
      </w:r>
      <w:r w:rsidR="00133749" w:rsidRPr="00312990">
        <w:t>New section 6 (5A)</w:t>
      </w:r>
      <w:r w:rsidRPr="00AC0C47">
        <w:t xml:space="preserve"> </w:t>
      </w:r>
    </w:p>
    <w:p w14:paraId="05DC1490" w14:textId="6608A280" w:rsidR="00B714D7" w:rsidRDefault="00B714D7" w:rsidP="00420252">
      <w:pPr>
        <w:pStyle w:val="Default"/>
        <w:spacing w:after="240" w:line="360" w:lineRule="auto"/>
        <w:rPr>
          <w:rFonts w:ascii="Calibri" w:hAnsi="Calibri"/>
          <w:color w:val="auto"/>
        </w:rPr>
      </w:pPr>
      <w:r w:rsidRPr="00AC0C47">
        <w:rPr>
          <w:rFonts w:ascii="Calibri" w:hAnsi="Calibri"/>
          <w:color w:val="auto"/>
        </w:rPr>
        <w:t xml:space="preserve">This clause </w:t>
      </w:r>
      <w:r w:rsidR="00133749" w:rsidRPr="00AC0C47">
        <w:rPr>
          <w:rFonts w:ascii="Calibri" w:hAnsi="Calibri"/>
          <w:color w:val="auto"/>
        </w:rPr>
        <w:t xml:space="preserve">introduces a new section to provide that </w:t>
      </w:r>
      <w:r w:rsidR="00DD5520">
        <w:rPr>
          <w:rFonts w:ascii="Calibri" w:hAnsi="Calibri"/>
          <w:color w:val="auto"/>
        </w:rPr>
        <w:t>several of</w:t>
      </w:r>
      <w:r w:rsidR="00C8632F" w:rsidRPr="00AC0C47">
        <w:rPr>
          <w:rFonts w:ascii="Calibri" w:hAnsi="Calibri"/>
          <w:color w:val="auto"/>
        </w:rPr>
        <w:t xml:space="preserve"> the</w:t>
      </w:r>
      <w:r w:rsidR="00133749" w:rsidRPr="00AC0C47">
        <w:rPr>
          <w:rFonts w:ascii="Calibri" w:hAnsi="Calibri"/>
          <w:color w:val="auto"/>
        </w:rPr>
        <w:t xml:space="preserve"> building works in part 1.3 of schedule 1, which are exempted from the provisions of the </w:t>
      </w:r>
      <w:r w:rsidR="00133749" w:rsidRPr="00AC0C47">
        <w:rPr>
          <w:rFonts w:ascii="Calibri" w:hAnsi="Calibri"/>
          <w:i/>
          <w:iCs/>
          <w:color w:val="auto"/>
        </w:rPr>
        <w:t>Building Act 2004</w:t>
      </w:r>
      <w:r w:rsidR="00133749" w:rsidRPr="00AC0C47">
        <w:rPr>
          <w:rFonts w:ascii="Calibri" w:hAnsi="Calibri"/>
          <w:color w:val="auto"/>
        </w:rPr>
        <w:t>, are not exempt if the building is erected at affected residential premises.</w:t>
      </w:r>
    </w:p>
    <w:p w14:paraId="48885D0F" w14:textId="4996D3F4" w:rsidR="00AC0C47" w:rsidRDefault="00C8632F" w:rsidP="00420252">
      <w:pPr>
        <w:pStyle w:val="Default"/>
        <w:spacing w:after="240" w:line="360" w:lineRule="auto"/>
        <w:rPr>
          <w:rFonts w:ascii="Calibri" w:hAnsi="Calibri"/>
          <w:color w:val="auto"/>
        </w:rPr>
      </w:pPr>
      <w:r w:rsidRPr="00AC0C47">
        <w:rPr>
          <w:rFonts w:ascii="Calibri" w:hAnsi="Calibri"/>
          <w:color w:val="auto"/>
        </w:rPr>
        <w:lastRenderedPageBreak/>
        <w:t>The building works that remain exempted are minor building works</w:t>
      </w:r>
      <w:r w:rsidR="00AC0C47" w:rsidRPr="00AC0C47">
        <w:rPr>
          <w:rFonts w:ascii="Calibri" w:hAnsi="Calibri"/>
          <w:color w:val="auto"/>
        </w:rPr>
        <w:t>, such as installing a fence, or a demountable pool</w:t>
      </w:r>
      <w:r w:rsidR="00AC0C47">
        <w:rPr>
          <w:rFonts w:ascii="Calibri" w:hAnsi="Calibri"/>
          <w:color w:val="auto"/>
        </w:rPr>
        <w:t>, which are unlikely to disturb loose-fill asbestos and will allow owners to undertake minor works on their properties</w:t>
      </w:r>
      <w:r w:rsidR="00DD5520">
        <w:rPr>
          <w:rFonts w:ascii="Calibri" w:hAnsi="Calibri"/>
          <w:color w:val="auto"/>
        </w:rPr>
        <w:t xml:space="preserve"> without needing to apply for a building approval</w:t>
      </w:r>
      <w:r w:rsidR="00AC0C47" w:rsidRPr="00AC0C47">
        <w:rPr>
          <w:rFonts w:ascii="Calibri" w:hAnsi="Calibri"/>
          <w:color w:val="auto"/>
        </w:rPr>
        <w:t>.</w:t>
      </w:r>
      <w:r w:rsidR="00AC0C47">
        <w:rPr>
          <w:rFonts w:ascii="Calibri" w:hAnsi="Calibri"/>
          <w:color w:val="auto"/>
        </w:rPr>
        <w:t xml:space="preserve"> </w:t>
      </w:r>
    </w:p>
    <w:p w14:paraId="605F44C4" w14:textId="0728CEDD" w:rsidR="00C8632F" w:rsidRPr="00CA0F1C" w:rsidRDefault="00AC0C47" w:rsidP="00420252">
      <w:pPr>
        <w:pStyle w:val="Default"/>
        <w:spacing w:after="240" w:line="360" w:lineRule="auto"/>
        <w:rPr>
          <w:rFonts w:ascii="Calibri" w:hAnsi="Calibri"/>
          <w:color w:val="auto"/>
        </w:rPr>
      </w:pPr>
      <w:r>
        <w:rPr>
          <w:rFonts w:ascii="Calibri" w:hAnsi="Calibri"/>
          <w:color w:val="auto"/>
        </w:rPr>
        <w:t>The exemptions that have been removed relate to works that are more likely to disturb loose</w:t>
      </w:r>
      <w:r w:rsidR="00B46B51">
        <w:rPr>
          <w:rFonts w:ascii="Calibri" w:hAnsi="Calibri"/>
          <w:color w:val="auto"/>
        </w:rPr>
        <w:noBreakHyphen/>
      </w:r>
      <w:r>
        <w:rPr>
          <w:rFonts w:ascii="Calibri" w:hAnsi="Calibri"/>
          <w:color w:val="auto"/>
        </w:rPr>
        <w:t xml:space="preserve">fill asbestos, such as installing photovoltaic panels, or internal alterations. </w:t>
      </w:r>
      <w:r w:rsidR="00267F7C">
        <w:rPr>
          <w:rFonts w:ascii="Calibri" w:hAnsi="Calibri"/>
          <w:color w:val="auto"/>
        </w:rPr>
        <w:t>An owner</w:t>
      </w:r>
      <w:r>
        <w:rPr>
          <w:rFonts w:ascii="Calibri" w:hAnsi="Calibri"/>
          <w:color w:val="auto"/>
        </w:rPr>
        <w:t xml:space="preserve"> of </w:t>
      </w:r>
      <w:r w:rsidR="00267F7C">
        <w:rPr>
          <w:rFonts w:ascii="Calibri" w:hAnsi="Calibri"/>
          <w:color w:val="auto"/>
        </w:rPr>
        <w:t xml:space="preserve">an affected property </w:t>
      </w:r>
      <w:r>
        <w:rPr>
          <w:rFonts w:ascii="Calibri" w:hAnsi="Calibri"/>
          <w:color w:val="auto"/>
        </w:rPr>
        <w:t xml:space="preserve">wishing to undertake works that have been removed from the exemptions will be required to submit </w:t>
      </w:r>
      <w:r w:rsidR="00267F7C">
        <w:rPr>
          <w:rFonts w:ascii="Calibri" w:hAnsi="Calibri"/>
          <w:color w:val="auto"/>
        </w:rPr>
        <w:t>an application for building approval</w:t>
      </w:r>
      <w:r>
        <w:rPr>
          <w:rFonts w:ascii="Calibri" w:hAnsi="Calibri"/>
          <w:color w:val="auto"/>
        </w:rPr>
        <w:t xml:space="preserve"> following the process provided for in the </w:t>
      </w:r>
      <w:r>
        <w:rPr>
          <w:rFonts w:ascii="Calibri" w:hAnsi="Calibri"/>
          <w:i/>
          <w:iCs/>
          <w:color w:val="auto"/>
        </w:rPr>
        <w:t>Building Act 2004</w:t>
      </w:r>
      <w:r>
        <w:rPr>
          <w:rFonts w:ascii="Calibri" w:hAnsi="Calibri"/>
          <w:color w:val="auto"/>
        </w:rPr>
        <w:t xml:space="preserve">. </w:t>
      </w:r>
      <w:r w:rsidR="00312990">
        <w:rPr>
          <w:rFonts w:ascii="Calibri" w:hAnsi="Calibri"/>
          <w:color w:val="auto"/>
        </w:rPr>
        <w:t xml:space="preserve"> These works will then be assessed and only approved if they are required for essential </w:t>
      </w:r>
      <w:r w:rsidR="002232AB">
        <w:rPr>
          <w:rFonts w:ascii="Calibri" w:hAnsi="Calibri"/>
          <w:color w:val="auto"/>
        </w:rPr>
        <w:t xml:space="preserve">health, safety or reasonable living conditions </w:t>
      </w:r>
      <w:r w:rsidR="00312990">
        <w:rPr>
          <w:rFonts w:ascii="Calibri" w:hAnsi="Calibri"/>
          <w:color w:val="auto"/>
        </w:rPr>
        <w:t>or relate to the demolition of the loose-fill affected structures</w:t>
      </w:r>
      <w:r w:rsidR="00CD7F8F">
        <w:rPr>
          <w:rFonts w:ascii="Calibri" w:hAnsi="Calibri"/>
          <w:color w:val="auto"/>
        </w:rPr>
        <w:t>.</w:t>
      </w:r>
    </w:p>
    <w:p w14:paraId="670D81E5" w14:textId="1C3A3993" w:rsidR="00B714D7" w:rsidRDefault="00B714D7" w:rsidP="004B4779">
      <w:pPr>
        <w:pStyle w:val="Heading2"/>
      </w:pPr>
      <w:r w:rsidRPr="00A36E0B">
        <w:t xml:space="preserve">Clause </w:t>
      </w:r>
      <w:r w:rsidR="003768AF">
        <w:t>6</w:t>
      </w:r>
      <w:r>
        <w:tab/>
      </w:r>
      <w:r w:rsidR="0025430E">
        <w:t>Section 15A</w:t>
      </w:r>
      <w:r>
        <w:t xml:space="preserve"> </w:t>
      </w:r>
    </w:p>
    <w:p w14:paraId="0C137BC5" w14:textId="3404460F" w:rsidR="0025430E" w:rsidRDefault="0025430E" w:rsidP="00420252">
      <w:pPr>
        <w:pStyle w:val="Default"/>
        <w:spacing w:after="240" w:line="360" w:lineRule="auto"/>
        <w:rPr>
          <w:rFonts w:ascii="Calibri" w:hAnsi="Calibri"/>
          <w:color w:val="auto"/>
        </w:rPr>
      </w:pPr>
      <w:r>
        <w:rPr>
          <w:rFonts w:ascii="Calibri" w:hAnsi="Calibri"/>
          <w:color w:val="auto"/>
        </w:rPr>
        <w:t>This clause amends section 15A</w:t>
      </w:r>
      <w:r w:rsidR="003745A5">
        <w:rPr>
          <w:rFonts w:ascii="Calibri" w:hAnsi="Calibri"/>
          <w:color w:val="auto"/>
        </w:rPr>
        <w:t xml:space="preserve"> </w:t>
      </w:r>
      <w:r>
        <w:rPr>
          <w:rFonts w:ascii="Calibri" w:hAnsi="Calibri"/>
          <w:color w:val="auto"/>
        </w:rPr>
        <w:t>to make clear that an application for building approval in relation to affected residential premises must include a copy of the current asbestos contamination report</w:t>
      </w:r>
      <w:r w:rsidR="00B714D7">
        <w:rPr>
          <w:rFonts w:ascii="Calibri" w:hAnsi="Calibri"/>
          <w:color w:val="auto"/>
        </w:rPr>
        <w:t>.</w:t>
      </w:r>
      <w:r w:rsidR="00766E49">
        <w:rPr>
          <w:rFonts w:ascii="Calibri" w:hAnsi="Calibri"/>
          <w:color w:val="auto"/>
        </w:rPr>
        <w:t xml:space="preserve"> </w:t>
      </w:r>
    </w:p>
    <w:p w14:paraId="564A66E2" w14:textId="4BFD09A7" w:rsidR="003745A5" w:rsidRPr="0049016C" w:rsidRDefault="003745A5" w:rsidP="003745A5">
      <w:pPr>
        <w:keepNext/>
        <w:rPr>
          <w:b/>
          <w:szCs w:val="24"/>
        </w:rPr>
      </w:pPr>
      <w:r w:rsidRPr="0049016C">
        <w:rPr>
          <w:b/>
          <w:szCs w:val="24"/>
        </w:rPr>
        <w:t xml:space="preserve">Clause </w:t>
      </w:r>
      <w:r>
        <w:rPr>
          <w:b/>
          <w:szCs w:val="24"/>
        </w:rPr>
        <w:t>7</w:t>
      </w:r>
      <w:r w:rsidRPr="0049016C">
        <w:rPr>
          <w:b/>
          <w:szCs w:val="24"/>
        </w:rPr>
        <w:tab/>
      </w:r>
      <w:r>
        <w:rPr>
          <w:b/>
          <w:szCs w:val="24"/>
        </w:rPr>
        <w:t>Building approval applications- asbestos warning notices- Act, s152(3)(b)</w:t>
      </w:r>
      <w:r w:rsidRPr="0049016C">
        <w:rPr>
          <w:b/>
          <w:szCs w:val="24"/>
        </w:rPr>
        <w:t xml:space="preserve"> </w:t>
      </w:r>
    </w:p>
    <w:p w14:paraId="7F59D90B" w14:textId="09519DC9" w:rsidR="003745A5" w:rsidRPr="003745A5" w:rsidRDefault="003745A5" w:rsidP="003745A5">
      <w:pPr>
        <w:keepNext/>
        <w:spacing w:after="120"/>
        <w:ind w:left="720" w:firstLine="720"/>
        <w:rPr>
          <w:b/>
          <w:bCs/>
          <w:szCs w:val="24"/>
        </w:rPr>
      </w:pPr>
      <w:r w:rsidRPr="003745A5">
        <w:rPr>
          <w:b/>
          <w:bCs/>
        </w:rPr>
        <w:t>Section 18</w:t>
      </w:r>
      <w:r w:rsidR="00C85FE6" w:rsidRPr="003745A5">
        <w:rPr>
          <w:b/>
          <w:bCs/>
        </w:rPr>
        <w:t>A (</w:t>
      </w:r>
      <w:r w:rsidRPr="003745A5">
        <w:rPr>
          <w:b/>
          <w:bCs/>
        </w:rPr>
        <w:t xml:space="preserve">9), definition of </w:t>
      </w:r>
      <w:r w:rsidRPr="003745A5">
        <w:rPr>
          <w:b/>
          <w:bCs/>
          <w:i/>
        </w:rPr>
        <w:t>affected residential premises register</w:t>
      </w:r>
      <w:r w:rsidRPr="003745A5">
        <w:rPr>
          <w:b/>
          <w:bCs/>
          <w:szCs w:val="24"/>
        </w:rPr>
        <w:t xml:space="preserve"> </w:t>
      </w:r>
    </w:p>
    <w:p w14:paraId="555E1236" w14:textId="6503EB6D" w:rsidR="00044309" w:rsidRDefault="00044309" w:rsidP="00420252">
      <w:pPr>
        <w:pStyle w:val="Default"/>
        <w:spacing w:after="240" w:line="360" w:lineRule="auto"/>
        <w:rPr>
          <w:rFonts w:ascii="Calibri" w:hAnsi="Calibri"/>
          <w:color w:val="auto"/>
        </w:rPr>
      </w:pPr>
      <w:r>
        <w:rPr>
          <w:rFonts w:ascii="Calibri" w:hAnsi="Calibri"/>
          <w:color w:val="auto"/>
        </w:rPr>
        <w:t xml:space="preserve">This clause </w:t>
      </w:r>
      <w:r w:rsidR="003A50E2">
        <w:rPr>
          <w:rFonts w:ascii="Calibri" w:hAnsi="Calibri"/>
          <w:color w:val="auto"/>
        </w:rPr>
        <w:t>defines</w:t>
      </w:r>
      <w:r>
        <w:rPr>
          <w:rFonts w:ascii="Calibri" w:hAnsi="Calibri"/>
          <w:color w:val="auto"/>
        </w:rPr>
        <w:t xml:space="preserve"> </w:t>
      </w:r>
      <w:r>
        <w:rPr>
          <w:rFonts w:ascii="Calibri" w:hAnsi="Calibri"/>
          <w:i/>
          <w:iCs/>
          <w:color w:val="auto"/>
        </w:rPr>
        <w:t xml:space="preserve">affected residential premises register </w:t>
      </w:r>
      <w:r w:rsidR="003A50E2">
        <w:rPr>
          <w:rFonts w:ascii="Calibri" w:hAnsi="Calibri"/>
          <w:color w:val="auto"/>
        </w:rPr>
        <w:t>by reference to the ne</w:t>
      </w:r>
      <w:r>
        <w:rPr>
          <w:rFonts w:ascii="Calibri" w:hAnsi="Calibri"/>
          <w:color w:val="auto"/>
        </w:rPr>
        <w:t>w section 47</w:t>
      </w:r>
      <w:r w:rsidR="00E01DA4">
        <w:rPr>
          <w:rFonts w:ascii="Calibri" w:hAnsi="Calibri"/>
          <w:color w:val="auto"/>
        </w:rPr>
        <w:t>P</w:t>
      </w:r>
      <w:r>
        <w:rPr>
          <w:rFonts w:ascii="Calibri" w:hAnsi="Calibri"/>
          <w:color w:val="auto"/>
        </w:rPr>
        <w:t xml:space="preserve"> of the </w:t>
      </w:r>
      <w:r>
        <w:rPr>
          <w:rFonts w:ascii="Calibri" w:hAnsi="Calibri"/>
          <w:i/>
          <w:iCs/>
          <w:color w:val="auto"/>
        </w:rPr>
        <w:t>Dangerous Substances Act 2004.</w:t>
      </w:r>
      <w:r>
        <w:rPr>
          <w:rFonts w:ascii="Calibri" w:hAnsi="Calibri"/>
          <w:color w:val="auto"/>
        </w:rPr>
        <w:t xml:space="preserve"> </w:t>
      </w:r>
    </w:p>
    <w:p w14:paraId="2112D6E9" w14:textId="76229B84" w:rsidR="00B714D7" w:rsidRDefault="00B714D7" w:rsidP="004B4779">
      <w:pPr>
        <w:pStyle w:val="Heading2"/>
      </w:pPr>
      <w:r w:rsidRPr="00E01DA4">
        <w:t xml:space="preserve">Clause </w:t>
      </w:r>
      <w:r w:rsidR="003768AF" w:rsidRPr="00E01DA4">
        <w:t>8</w:t>
      </w:r>
      <w:r w:rsidRPr="00E01DA4">
        <w:tab/>
      </w:r>
      <w:r w:rsidR="00044309" w:rsidRPr="00E01DA4">
        <w:t>New section 29A</w:t>
      </w:r>
    </w:p>
    <w:p w14:paraId="75E5B77B" w14:textId="6B156DA6" w:rsidR="00871D0C" w:rsidRPr="000116AD" w:rsidRDefault="00044309" w:rsidP="00420252">
      <w:pPr>
        <w:pStyle w:val="Default"/>
        <w:spacing w:after="240" w:line="360" w:lineRule="auto"/>
        <w:rPr>
          <w:rFonts w:ascii="Calibri" w:hAnsi="Calibri"/>
          <w:color w:val="auto"/>
        </w:rPr>
      </w:pPr>
      <w:r>
        <w:rPr>
          <w:rFonts w:ascii="Calibri" w:hAnsi="Calibri"/>
          <w:color w:val="auto"/>
        </w:rPr>
        <w:t>This clause introduces a new section 29A</w:t>
      </w:r>
      <w:r w:rsidR="003745A5">
        <w:rPr>
          <w:rFonts w:ascii="Calibri" w:hAnsi="Calibri"/>
          <w:color w:val="auto"/>
        </w:rPr>
        <w:t xml:space="preserve"> (Building approvals not to be issued- Act, s30(2))</w:t>
      </w:r>
      <w:r>
        <w:rPr>
          <w:rFonts w:ascii="Calibri" w:hAnsi="Calibri"/>
          <w:color w:val="auto"/>
        </w:rPr>
        <w:t xml:space="preserve"> to provide that a building approval is not </w:t>
      </w:r>
      <w:r w:rsidR="00871D0C">
        <w:rPr>
          <w:rFonts w:ascii="Calibri" w:hAnsi="Calibri"/>
          <w:color w:val="auto"/>
        </w:rPr>
        <w:t xml:space="preserve">to be issued for work involving an affected building at affected residential premises unless the work is related to demolition of the affected building </w:t>
      </w:r>
      <w:r w:rsidR="003768AF">
        <w:rPr>
          <w:rFonts w:ascii="Calibri" w:hAnsi="Calibri"/>
          <w:color w:val="auto"/>
        </w:rPr>
        <w:t>(</w:t>
      </w:r>
      <w:r w:rsidR="00871D0C">
        <w:rPr>
          <w:rFonts w:ascii="Calibri" w:hAnsi="Calibri"/>
          <w:color w:val="auto"/>
        </w:rPr>
        <w:t>including asbestos removal</w:t>
      </w:r>
      <w:r w:rsidR="003768AF">
        <w:rPr>
          <w:rFonts w:ascii="Calibri" w:hAnsi="Calibri"/>
          <w:color w:val="auto"/>
        </w:rPr>
        <w:t>)</w:t>
      </w:r>
      <w:r w:rsidR="002232AB">
        <w:rPr>
          <w:rFonts w:ascii="Calibri" w:hAnsi="Calibri"/>
          <w:color w:val="auto"/>
        </w:rPr>
        <w:t>;</w:t>
      </w:r>
      <w:r w:rsidR="00871D0C">
        <w:rPr>
          <w:rFonts w:ascii="Calibri" w:hAnsi="Calibri"/>
          <w:color w:val="auto"/>
        </w:rPr>
        <w:t xml:space="preserve"> or </w:t>
      </w:r>
      <w:r w:rsidR="002232AB">
        <w:rPr>
          <w:rFonts w:ascii="Calibri" w:hAnsi="Calibri"/>
          <w:color w:val="auto"/>
        </w:rPr>
        <w:t>essential to support health, safety or reasonable living conditions</w:t>
      </w:r>
      <w:r w:rsidR="000116AD">
        <w:rPr>
          <w:rFonts w:ascii="Calibri" w:hAnsi="Calibri"/>
          <w:color w:val="auto"/>
        </w:rPr>
        <w:t xml:space="preserve">. </w:t>
      </w:r>
      <w:r w:rsidR="00431CA0">
        <w:rPr>
          <w:rFonts w:ascii="Calibri" w:hAnsi="Calibri"/>
          <w:color w:val="auto"/>
        </w:rPr>
        <w:t xml:space="preserve">Guidance on what constitutes </w:t>
      </w:r>
      <w:r w:rsidR="002232AB">
        <w:rPr>
          <w:rFonts w:ascii="Calibri" w:hAnsi="Calibri"/>
          <w:color w:val="auto"/>
        </w:rPr>
        <w:t xml:space="preserve">these </w:t>
      </w:r>
      <w:r w:rsidR="00431CA0">
        <w:rPr>
          <w:rFonts w:ascii="Calibri" w:hAnsi="Calibri"/>
          <w:color w:val="auto"/>
        </w:rPr>
        <w:t>e</w:t>
      </w:r>
      <w:r w:rsidR="000116AD">
        <w:rPr>
          <w:rFonts w:ascii="Calibri" w:hAnsi="Calibri"/>
          <w:color w:val="auto"/>
        </w:rPr>
        <w:t xml:space="preserve">ssential </w:t>
      </w:r>
      <w:r w:rsidR="002232AB">
        <w:rPr>
          <w:rFonts w:ascii="Calibri" w:hAnsi="Calibri"/>
          <w:color w:val="auto"/>
        </w:rPr>
        <w:t>works</w:t>
      </w:r>
      <w:r w:rsidR="000116AD">
        <w:rPr>
          <w:rFonts w:ascii="Calibri" w:hAnsi="Calibri"/>
          <w:color w:val="auto"/>
        </w:rPr>
        <w:t xml:space="preserve"> </w:t>
      </w:r>
      <w:r w:rsidR="00431CA0">
        <w:rPr>
          <w:rFonts w:ascii="Calibri" w:hAnsi="Calibri"/>
          <w:color w:val="auto"/>
        </w:rPr>
        <w:t>may</w:t>
      </w:r>
      <w:r w:rsidR="000116AD">
        <w:rPr>
          <w:rFonts w:ascii="Calibri" w:hAnsi="Calibri"/>
          <w:color w:val="auto"/>
        </w:rPr>
        <w:t xml:space="preserve"> be </w:t>
      </w:r>
      <w:r w:rsidR="00431CA0">
        <w:rPr>
          <w:rFonts w:ascii="Calibri" w:hAnsi="Calibri"/>
          <w:color w:val="auto"/>
        </w:rPr>
        <w:t xml:space="preserve">provided with guidelines made by the Minister (by way of notifiable instrument). This will provide </w:t>
      </w:r>
      <w:r w:rsidR="00371100">
        <w:rPr>
          <w:rFonts w:ascii="Calibri" w:hAnsi="Calibri"/>
          <w:color w:val="auto"/>
        </w:rPr>
        <w:t>information</w:t>
      </w:r>
      <w:r w:rsidR="00431CA0">
        <w:rPr>
          <w:rFonts w:ascii="Calibri" w:hAnsi="Calibri"/>
          <w:color w:val="auto"/>
        </w:rPr>
        <w:t xml:space="preserve"> to building surveyors and owners of affected residential properties on what kinds of works are permitted.</w:t>
      </w:r>
    </w:p>
    <w:p w14:paraId="18F2A7E8" w14:textId="52BDE754" w:rsidR="00B714D7" w:rsidRPr="00871D0C" w:rsidRDefault="00B714D7" w:rsidP="004B4779">
      <w:pPr>
        <w:pStyle w:val="Heading2"/>
      </w:pPr>
      <w:r w:rsidRPr="00EB78BE">
        <w:lastRenderedPageBreak/>
        <w:t>Clause</w:t>
      </w:r>
      <w:r>
        <w:t xml:space="preserve"> </w:t>
      </w:r>
      <w:r w:rsidR="003768AF">
        <w:t>9</w:t>
      </w:r>
      <w:r w:rsidRPr="00EB78BE">
        <w:tab/>
      </w:r>
      <w:r w:rsidR="00871D0C">
        <w:t xml:space="preserve">Dictionary, new definitions </w:t>
      </w:r>
    </w:p>
    <w:p w14:paraId="75613B04" w14:textId="4755C1C6" w:rsidR="00B714D7" w:rsidRDefault="00B714D7" w:rsidP="00420252">
      <w:pPr>
        <w:pStyle w:val="Default"/>
        <w:spacing w:after="240" w:line="360" w:lineRule="auto"/>
        <w:rPr>
          <w:rFonts w:ascii="Calibri" w:hAnsi="Calibri"/>
          <w:i/>
          <w:iCs/>
          <w:color w:val="auto"/>
        </w:rPr>
      </w:pPr>
      <w:r>
        <w:rPr>
          <w:rFonts w:ascii="Calibri" w:hAnsi="Calibri"/>
          <w:color w:val="auto"/>
        </w:rPr>
        <w:t xml:space="preserve">This clause </w:t>
      </w:r>
      <w:r w:rsidR="00370F05">
        <w:rPr>
          <w:rFonts w:ascii="Calibri" w:hAnsi="Calibri"/>
          <w:color w:val="auto"/>
        </w:rPr>
        <w:t>defines</w:t>
      </w:r>
      <w:r w:rsidR="00871D0C">
        <w:rPr>
          <w:rFonts w:ascii="Calibri" w:hAnsi="Calibri"/>
          <w:color w:val="auto"/>
        </w:rPr>
        <w:t xml:space="preserve"> </w:t>
      </w:r>
      <w:r w:rsidR="00871D0C">
        <w:rPr>
          <w:rFonts w:ascii="Calibri" w:hAnsi="Calibri"/>
          <w:i/>
          <w:iCs/>
          <w:color w:val="auto"/>
        </w:rPr>
        <w:t xml:space="preserve">affected building </w:t>
      </w:r>
      <w:r w:rsidR="00871D0C">
        <w:rPr>
          <w:rFonts w:ascii="Calibri" w:hAnsi="Calibri"/>
          <w:color w:val="auto"/>
        </w:rPr>
        <w:t xml:space="preserve">and </w:t>
      </w:r>
      <w:r w:rsidR="00871D0C">
        <w:rPr>
          <w:rFonts w:ascii="Calibri" w:hAnsi="Calibri"/>
          <w:i/>
          <w:iCs/>
          <w:color w:val="auto"/>
        </w:rPr>
        <w:t>affected residential premises</w:t>
      </w:r>
      <w:r w:rsidR="00370F05">
        <w:rPr>
          <w:rFonts w:ascii="Calibri" w:hAnsi="Calibri"/>
          <w:i/>
          <w:iCs/>
          <w:color w:val="auto"/>
        </w:rPr>
        <w:t xml:space="preserve"> </w:t>
      </w:r>
      <w:r w:rsidR="00871D0C">
        <w:rPr>
          <w:rFonts w:ascii="Calibri" w:hAnsi="Calibri"/>
          <w:color w:val="auto"/>
        </w:rPr>
        <w:t xml:space="preserve">by reference to section 47I of the </w:t>
      </w:r>
      <w:r w:rsidR="00871D0C">
        <w:rPr>
          <w:rFonts w:ascii="Calibri" w:hAnsi="Calibri"/>
          <w:i/>
          <w:iCs/>
          <w:color w:val="auto"/>
        </w:rPr>
        <w:t xml:space="preserve">Dangerous Substances Act 2004. </w:t>
      </w:r>
    </w:p>
    <w:p w14:paraId="765724E9" w14:textId="7EFA96A5" w:rsidR="0098240D" w:rsidRPr="00874E35" w:rsidRDefault="0098240D" w:rsidP="00420252">
      <w:pPr>
        <w:keepNext/>
        <w:autoSpaceDE w:val="0"/>
        <w:autoSpaceDN w:val="0"/>
        <w:adjustRightInd w:val="0"/>
        <w:spacing w:before="240" w:after="240" w:line="360" w:lineRule="auto"/>
        <w:rPr>
          <w:b/>
          <w:sz w:val="36"/>
          <w:szCs w:val="36"/>
        </w:rPr>
      </w:pPr>
      <w:r w:rsidRPr="00874E35">
        <w:rPr>
          <w:b/>
          <w:sz w:val="36"/>
          <w:szCs w:val="36"/>
        </w:rPr>
        <w:t>Part 3</w:t>
      </w:r>
      <w:r w:rsidRPr="00874E35">
        <w:rPr>
          <w:b/>
          <w:sz w:val="36"/>
          <w:szCs w:val="36"/>
        </w:rPr>
        <w:tab/>
        <w:t>Dangerous Substances Act 2004</w:t>
      </w:r>
    </w:p>
    <w:p w14:paraId="7DF0E9EF" w14:textId="43795820" w:rsidR="003745A5" w:rsidRPr="003405FC" w:rsidRDefault="003745A5" w:rsidP="003405FC">
      <w:pPr>
        <w:pStyle w:val="Heading2"/>
      </w:pPr>
      <w:r w:rsidRPr="00874E35">
        <w:t>Clause 10</w:t>
      </w:r>
      <w:r w:rsidRPr="00874E35">
        <w:tab/>
        <w:t>Failure to comply with safety duty- exposing people to substantial risk of death</w:t>
      </w:r>
      <w:r w:rsidR="007336AD">
        <w:t xml:space="preserve"> </w:t>
      </w:r>
      <w:r w:rsidRPr="00874E35">
        <w:t>or serious harm Section 43(1), examples 1 and 2</w:t>
      </w:r>
    </w:p>
    <w:p w14:paraId="6CEF7E44" w14:textId="33298923" w:rsidR="000B0157" w:rsidRDefault="00874E35" w:rsidP="00420252">
      <w:pPr>
        <w:pStyle w:val="Default"/>
        <w:spacing w:after="240" w:line="360" w:lineRule="auto"/>
        <w:rPr>
          <w:rFonts w:ascii="Calibri" w:hAnsi="Calibri"/>
          <w:color w:val="auto"/>
        </w:rPr>
      </w:pPr>
      <w:r>
        <w:rPr>
          <w:rFonts w:ascii="Calibri" w:hAnsi="Calibri"/>
          <w:color w:val="auto"/>
        </w:rPr>
        <w:t>Section 22A</w:t>
      </w:r>
      <w:r w:rsidR="007336AD">
        <w:rPr>
          <w:rFonts w:ascii="Calibri" w:hAnsi="Calibri"/>
          <w:color w:val="auto"/>
        </w:rPr>
        <w:t xml:space="preserve"> of the </w:t>
      </w:r>
      <w:r w:rsidR="007336AD">
        <w:rPr>
          <w:rFonts w:ascii="Calibri" w:hAnsi="Calibri"/>
          <w:i/>
          <w:iCs/>
          <w:color w:val="auto"/>
        </w:rPr>
        <w:t>Dangerous Substances Act 2004</w:t>
      </w:r>
      <w:r>
        <w:rPr>
          <w:rFonts w:ascii="Calibri" w:hAnsi="Calibri"/>
          <w:color w:val="auto"/>
        </w:rPr>
        <w:t xml:space="preserve"> provides that chapter 3 of the </w:t>
      </w:r>
      <w:r w:rsidR="007336AD">
        <w:rPr>
          <w:rFonts w:ascii="Calibri" w:hAnsi="Calibri"/>
          <w:color w:val="auto"/>
        </w:rPr>
        <w:t>Act</w:t>
      </w:r>
      <w:r>
        <w:rPr>
          <w:rFonts w:ascii="Calibri" w:hAnsi="Calibri"/>
          <w:color w:val="auto"/>
        </w:rPr>
        <w:t xml:space="preserve"> </w:t>
      </w:r>
      <w:r w:rsidRPr="00874E35">
        <w:rPr>
          <w:rFonts w:ascii="Calibri" w:hAnsi="Calibri"/>
          <w:color w:val="auto"/>
        </w:rPr>
        <w:t>does</w:t>
      </w:r>
      <w:r>
        <w:rPr>
          <w:rFonts w:ascii="Calibri" w:hAnsi="Calibri"/>
          <w:color w:val="auto"/>
        </w:rPr>
        <w:t xml:space="preserve"> not apply to asbestos. Examples 1 and 2 in section 43(1), which falls under chapter 3, relate to asbestos. This clause corrects this pre-existing error in the Act by removing these examples.   </w:t>
      </w:r>
    </w:p>
    <w:p w14:paraId="74BEBCC8" w14:textId="37C665E2" w:rsidR="00B714D7" w:rsidRDefault="00B714D7" w:rsidP="004B4779">
      <w:pPr>
        <w:pStyle w:val="Heading2"/>
      </w:pPr>
      <w:r w:rsidRPr="00A36E0B">
        <w:t>Clause</w:t>
      </w:r>
      <w:r>
        <w:t xml:space="preserve"> 1</w:t>
      </w:r>
      <w:r w:rsidR="003768AF">
        <w:t>1</w:t>
      </w:r>
      <w:r>
        <w:tab/>
      </w:r>
      <w:r w:rsidR="000B0157">
        <w:t>Chapter 3A</w:t>
      </w:r>
    </w:p>
    <w:p w14:paraId="6CF9D14D" w14:textId="77777777" w:rsidR="00202DDE" w:rsidRDefault="00B714D7" w:rsidP="00420252">
      <w:pPr>
        <w:pStyle w:val="Default"/>
        <w:spacing w:after="240" w:line="360" w:lineRule="auto"/>
        <w:rPr>
          <w:rFonts w:ascii="Calibri" w:hAnsi="Calibri"/>
          <w:color w:val="auto"/>
        </w:rPr>
      </w:pPr>
      <w:r>
        <w:rPr>
          <w:rFonts w:ascii="Calibri" w:hAnsi="Calibri"/>
          <w:color w:val="auto"/>
        </w:rPr>
        <w:t xml:space="preserve">This clause </w:t>
      </w:r>
      <w:r w:rsidR="000B0157">
        <w:rPr>
          <w:rFonts w:ascii="Calibri" w:hAnsi="Calibri"/>
          <w:color w:val="auto"/>
        </w:rPr>
        <w:t xml:space="preserve">substitutes chapter 3A of the Act. </w:t>
      </w:r>
    </w:p>
    <w:p w14:paraId="032B8ADC" w14:textId="2EA6A1AC" w:rsidR="00202DDE" w:rsidRDefault="00202DDE" w:rsidP="00420252">
      <w:pPr>
        <w:pStyle w:val="Default"/>
        <w:spacing w:after="240" w:line="360" w:lineRule="auto"/>
        <w:rPr>
          <w:rFonts w:ascii="Calibri" w:hAnsi="Calibri"/>
          <w:color w:val="auto"/>
        </w:rPr>
      </w:pPr>
      <w:r>
        <w:rPr>
          <w:rFonts w:ascii="Calibri" w:hAnsi="Calibri"/>
          <w:color w:val="auto"/>
        </w:rPr>
        <w:t>The provisions of chapter 3A which are not amended by this Bill are sections 47K</w:t>
      </w:r>
      <w:r w:rsidR="001C6A02">
        <w:rPr>
          <w:rFonts w:ascii="Calibri" w:hAnsi="Calibri"/>
          <w:color w:val="auto"/>
        </w:rPr>
        <w:t xml:space="preserve"> and</w:t>
      </w:r>
      <w:r>
        <w:rPr>
          <w:rFonts w:ascii="Calibri" w:hAnsi="Calibri"/>
          <w:color w:val="auto"/>
        </w:rPr>
        <w:t xml:space="preserve"> 47L</w:t>
      </w:r>
      <w:r w:rsidR="001C6A02">
        <w:rPr>
          <w:rFonts w:ascii="Calibri" w:hAnsi="Calibri"/>
          <w:color w:val="auto"/>
        </w:rPr>
        <w:t xml:space="preserve">. </w:t>
      </w:r>
    </w:p>
    <w:p w14:paraId="42BDA38F" w14:textId="1C7DF96D" w:rsidR="00202DDE" w:rsidRDefault="003745A5" w:rsidP="00420252">
      <w:pPr>
        <w:pStyle w:val="Default"/>
        <w:spacing w:after="240" w:line="360" w:lineRule="auto"/>
        <w:rPr>
          <w:rFonts w:ascii="Calibri" w:hAnsi="Calibri"/>
          <w:color w:val="auto"/>
        </w:rPr>
      </w:pPr>
      <w:r>
        <w:rPr>
          <w:rFonts w:ascii="Calibri" w:hAnsi="Calibri"/>
          <w:color w:val="auto"/>
        </w:rPr>
        <w:t>A minor</w:t>
      </w:r>
      <w:r w:rsidR="00202DDE">
        <w:rPr>
          <w:rFonts w:ascii="Calibri" w:hAnsi="Calibri"/>
          <w:color w:val="auto"/>
        </w:rPr>
        <w:t xml:space="preserve"> </w:t>
      </w:r>
      <w:r>
        <w:rPr>
          <w:rFonts w:ascii="Calibri" w:hAnsi="Calibri"/>
          <w:color w:val="auto"/>
        </w:rPr>
        <w:t>amendment is</w:t>
      </w:r>
      <w:r w:rsidR="00202DDE">
        <w:rPr>
          <w:rFonts w:ascii="Calibri" w:hAnsi="Calibri"/>
          <w:color w:val="auto"/>
        </w:rPr>
        <w:t xml:space="preserve"> made to </w:t>
      </w:r>
      <w:r>
        <w:rPr>
          <w:rFonts w:ascii="Calibri" w:hAnsi="Calibri"/>
          <w:color w:val="auto"/>
        </w:rPr>
        <w:t>section 47M to provide that</w:t>
      </w:r>
      <w:r w:rsidR="00202DDE">
        <w:rPr>
          <w:rFonts w:ascii="Calibri" w:hAnsi="Calibri"/>
          <w:color w:val="auto"/>
        </w:rPr>
        <w:t xml:space="preserve"> an advice of the Minister is now termed “advice” rather than “asbestos advice</w:t>
      </w:r>
      <w:r w:rsidR="00874E35">
        <w:rPr>
          <w:rFonts w:ascii="Calibri" w:hAnsi="Calibri"/>
          <w:color w:val="auto"/>
        </w:rPr>
        <w:t>;</w:t>
      </w:r>
      <w:r w:rsidR="00202DDE">
        <w:rPr>
          <w:rFonts w:ascii="Calibri" w:hAnsi="Calibri"/>
          <w:color w:val="auto"/>
        </w:rPr>
        <w:t>”</w:t>
      </w:r>
      <w:r w:rsidR="00874E35">
        <w:rPr>
          <w:rFonts w:ascii="Calibri" w:hAnsi="Calibri"/>
          <w:color w:val="auto"/>
        </w:rPr>
        <w:t xml:space="preserve"> this is a stylistic drafting amendment. </w:t>
      </w:r>
    </w:p>
    <w:p w14:paraId="4617834D" w14:textId="15B3D3D6" w:rsidR="00202DDE" w:rsidRDefault="00202DDE" w:rsidP="00420252">
      <w:pPr>
        <w:pStyle w:val="Default"/>
        <w:spacing w:after="240" w:line="360" w:lineRule="auto"/>
        <w:rPr>
          <w:rFonts w:ascii="Calibri" w:hAnsi="Calibri"/>
          <w:color w:val="auto"/>
        </w:rPr>
      </w:pPr>
      <w:r>
        <w:rPr>
          <w:rFonts w:ascii="Calibri" w:hAnsi="Calibri"/>
          <w:color w:val="auto"/>
        </w:rPr>
        <w:t>New provisions which have been introduced or which are substantially amended by this Bill are discussed in detail below.</w:t>
      </w:r>
    </w:p>
    <w:p w14:paraId="579974E3" w14:textId="3FFE566D" w:rsidR="00076DD3" w:rsidRPr="00202DDE" w:rsidRDefault="00076DD3" w:rsidP="004B4779">
      <w:pPr>
        <w:pStyle w:val="Heading2"/>
      </w:pPr>
      <w:r w:rsidRPr="00202DDE">
        <w:t>47I</w:t>
      </w:r>
      <w:r w:rsidR="001C5A55">
        <w:tab/>
      </w:r>
      <w:r w:rsidR="00202DDE">
        <w:t>Definitions- ch 3A</w:t>
      </w:r>
      <w:r w:rsidRPr="00202DDE">
        <w:tab/>
      </w:r>
    </w:p>
    <w:p w14:paraId="1843E2AC" w14:textId="2DA534C8" w:rsidR="0043037D" w:rsidRPr="00076DD3" w:rsidRDefault="00A43F47" w:rsidP="00420252">
      <w:pPr>
        <w:pStyle w:val="Default"/>
        <w:spacing w:after="240" w:line="360" w:lineRule="auto"/>
        <w:rPr>
          <w:rFonts w:ascii="Calibri" w:hAnsi="Calibri"/>
          <w:color w:val="auto"/>
        </w:rPr>
      </w:pPr>
      <w:r>
        <w:rPr>
          <w:rFonts w:ascii="Calibri" w:hAnsi="Calibri"/>
          <w:color w:val="auto"/>
        </w:rPr>
        <w:t xml:space="preserve">This section </w:t>
      </w:r>
      <w:r w:rsidR="00954FD6">
        <w:rPr>
          <w:rFonts w:ascii="Calibri" w:hAnsi="Calibri"/>
          <w:color w:val="auto"/>
        </w:rPr>
        <w:t>introduces definitions for chapter 3A. Some of these definitions were previously defined in the Dictionary section</w:t>
      </w:r>
      <w:r w:rsidR="00076DD3">
        <w:rPr>
          <w:rFonts w:ascii="Calibri" w:hAnsi="Calibri"/>
          <w:color w:val="auto"/>
        </w:rPr>
        <w:t xml:space="preserve"> or particular provisions of chapter 3A</w:t>
      </w:r>
      <w:r w:rsidR="00954FD6">
        <w:rPr>
          <w:rFonts w:ascii="Calibri" w:hAnsi="Calibri"/>
          <w:color w:val="auto"/>
        </w:rPr>
        <w:t>, however including</w:t>
      </w:r>
      <w:r w:rsidR="00076DD3">
        <w:rPr>
          <w:rFonts w:ascii="Calibri" w:hAnsi="Calibri"/>
          <w:color w:val="auto"/>
        </w:rPr>
        <w:t xml:space="preserve"> a</w:t>
      </w:r>
      <w:r>
        <w:rPr>
          <w:rFonts w:ascii="Calibri" w:hAnsi="Calibri"/>
          <w:color w:val="auto"/>
        </w:rPr>
        <w:t>n overarching</w:t>
      </w:r>
      <w:r w:rsidR="00076DD3">
        <w:rPr>
          <w:rFonts w:ascii="Calibri" w:hAnsi="Calibri"/>
          <w:color w:val="auto"/>
        </w:rPr>
        <w:t xml:space="preserve"> definitions section for </w:t>
      </w:r>
      <w:r w:rsidR="003768AF">
        <w:rPr>
          <w:rFonts w:ascii="Calibri" w:hAnsi="Calibri"/>
          <w:color w:val="auto"/>
        </w:rPr>
        <w:t xml:space="preserve">the chapter </w:t>
      </w:r>
      <w:r w:rsidR="00954FD6">
        <w:rPr>
          <w:rFonts w:ascii="Calibri" w:hAnsi="Calibri"/>
          <w:color w:val="auto"/>
        </w:rPr>
        <w:t xml:space="preserve">is intended to enhance clarity. </w:t>
      </w:r>
    </w:p>
    <w:p w14:paraId="6210CA6C" w14:textId="14E72C78" w:rsidR="00076DD3" w:rsidRPr="00076DD3" w:rsidRDefault="00076DD3" w:rsidP="004B4779">
      <w:pPr>
        <w:pStyle w:val="Heading2"/>
      </w:pPr>
      <w:r>
        <w:t>47J</w:t>
      </w:r>
      <w:r>
        <w:tab/>
        <w:t xml:space="preserve">Meaning of asbestos </w:t>
      </w:r>
      <w:r w:rsidR="003768AF">
        <w:t>contamination report and current asbestos contamination</w:t>
      </w:r>
      <w:r>
        <w:t xml:space="preserve"> report</w:t>
      </w:r>
    </w:p>
    <w:p w14:paraId="12129728" w14:textId="6DDA0C1A" w:rsidR="003768AF" w:rsidRDefault="00A318B9" w:rsidP="00420252">
      <w:pPr>
        <w:pStyle w:val="Default"/>
        <w:spacing w:line="360" w:lineRule="auto"/>
        <w:rPr>
          <w:rFonts w:ascii="Calibri" w:hAnsi="Calibri"/>
          <w:color w:val="auto"/>
        </w:rPr>
      </w:pPr>
      <w:r>
        <w:rPr>
          <w:rFonts w:ascii="Calibri" w:hAnsi="Calibri"/>
          <w:color w:val="auto"/>
        </w:rPr>
        <w:t>T</w:t>
      </w:r>
      <w:r w:rsidR="0043037D">
        <w:rPr>
          <w:rFonts w:ascii="Calibri" w:hAnsi="Calibri"/>
          <w:color w:val="auto"/>
        </w:rPr>
        <w:t xml:space="preserve">his section provides that an asbestos contamination report is prepared by a licensed asbestos assessor and expires after a defined period stated by the assessor in the report, between 6 months and 2 years, or after building work or structural damage disturbs asbestos </w:t>
      </w:r>
      <w:r w:rsidR="0043037D">
        <w:rPr>
          <w:rFonts w:ascii="Calibri" w:hAnsi="Calibri"/>
          <w:color w:val="auto"/>
        </w:rPr>
        <w:lastRenderedPageBreak/>
        <w:t>contamination.</w:t>
      </w:r>
      <w:r w:rsidR="003768AF">
        <w:rPr>
          <w:rFonts w:ascii="Calibri" w:hAnsi="Calibri"/>
          <w:color w:val="auto"/>
        </w:rPr>
        <w:t xml:space="preserve"> Previously the validity period of an asbestos contamination report was 24</w:t>
      </w:r>
      <w:r w:rsidR="00E01DA4">
        <w:rPr>
          <w:rFonts w:ascii="Calibri" w:hAnsi="Calibri"/>
          <w:color w:val="auto"/>
        </w:rPr>
        <w:t> </w:t>
      </w:r>
      <w:r w:rsidR="003768AF">
        <w:rPr>
          <w:rFonts w:ascii="Calibri" w:hAnsi="Calibri"/>
          <w:color w:val="auto"/>
        </w:rPr>
        <w:t>months.</w:t>
      </w:r>
    </w:p>
    <w:p w14:paraId="3E2F6D72" w14:textId="543AFF23" w:rsidR="00202DDE" w:rsidRPr="00202DDE" w:rsidRDefault="0043037D" w:rsidP="00202DDE">
      <w:pPr>
        <w:pStyle w:val="Default"/>
        <w:spacing w:line="360" w:lineRule="auto"/>
        <w:rPr>
          <w:rFonts w:ascii="Calibri" w:hAnsi="Calibri"/>
          <w:color w:val="auto"/>
        </w:rPr>
      </w:pPr>
      <w:r>
        <w:rPr>
          <w:rFonts w:ascii="Calibri" w:hAnsi="Calibri"/>
          <w:color w:val="auto"/>
        </w:rPr>
        <w:t>A current contamination report is defined by section 47</w:t>
      </w:r>
      <w:r w:rsidR="00E01DA4">
        <w:rPr>
          <w:rFonts w:ascii="Calibri" w:hAnsi="Calibri"/>
          <w:color w:val="auto"/>
        </w:rPr>
        <w:t>J (</w:t>
      </w:r>
      <w:r>
        <w:rPr>
          <w:rFonts w:ascii="Calibri" w:hAnsi="Calibri"/>
          <w:color w:val="auto"/>
        </w:rPr>
        <w:t xml:space="preserve">2) as a report that has not expired. This section is intended to allow licensed asbestos assessors to </w:t>
      </w:r>
      <w:r w:rsidR="003768AF">
        <w:rPr>
          <w:rFonts w:ascii="Calibri" w:hAnsi="Calibri"/>
          <w:color w:val="auto"/>
        </w:rPr>
        <w:t>determine</w:t>
      </w:r>
      <w:r>
        <w:rPr>
          <w:rFonts w:ascii="Calibri" w:hAnsi="Calibri"/>
          <w:color w:val="auto"/>
        </w:rPr>
        <w:t xml:space="preserve"> the appropriate period for the validity of an asbestos </w:t>
      </w:r>
      <w:r w:rsidR="00A318B9">
        <w:rPr>
          <w:rFonts w:ascii="Calibri" w:hAnsi="Calibri"/>
          <w:color w:val="auto"/>
        </w:rPr>
        <w:t>contamination report</w:t>
      </w:r>
      <w:r w:rsidR="00AC1140">
        <w:rPr>
          <w:rFonts w:ascii="Calibri" w:hAnsi="Calibri"/>
          <w:color w:val="auto"/>
        </w:rPr>
        <w:t>, on a case-by-case basis.</w:t>
      </w:r>
    </w:p>
    <w:p w14:paraId="5BC57B09" w14:textId="7BFADD63" w:rsidR="0024255E" w:rsidRDefault="0024255E" w:rsidP="004B4779">
      <w:pPr>
        <w:pStyle w:val="Heading2"/>
      </w:pPr>
      <w:r w:rsidRPr="000A45CB">
        <w:t>47N</w:t>
      </w:r>
      <w:r w:rsidRPr="000A45CB">
        <w:tab/>
        <w:t>Requirement to give asbestos assessment report</w:t>
      </w:r>
      <w:r>
        <w:t xml:space="preserve"> </w:t>
      </w:r>
    </w:p>
    <w:p w14:paraId="3DC70414" w14:textId="245E688B" w:rsidR="00874E35" w:rsidRDefault="0024255E" w:rsidP="00420252">
      <w:pPr>
        <w:spacing w:line="360" w:lineRule="auto"/>
      </w:pPr>
      <w:r>
        <w:t xml:space="preserve">This section substitutes section 47L of the Act. The section makes a minor amendment to provide that an engager (any person who engages work on a property) must tell the worker </w:t>
      </w:r>
      <w:r w:rsidR="00FF5D22">
        <w:t xml:space="preserve">who has been engaged to do the work </w:t>
      </w:r>
      <w:r>
        <w:t xml:space="preserve">about the asbestos at the premises, and give the worker a copy of the asbestos assessment report for the premises. </w:t>
      </w:r>
      <w:r w:rsidR="00874E35">
        <w:t xml:space="preserve">Previously section 47L placed this obligation only on the </w:t>
      </w:r>
      <w:r w:rsidR="003405FC">
        <w:t>“</w:t>
      </w:r>
      <w:r w:rsidR="00874E35">
        <w:t>owner</w:t>
      </w:r>
      <w:r w:rsidR="003405FC">
        <w:t>”</w:t>
      </w:r>
      <w:r w:rsidR="00874E35">
        <w:t xml:space="preserve"> of the affected premises. The intention in expanding to the term “engager” is to capture others that may request works be undertaken on affected properties, such as real estate agents.</w:t>
      </w:r>
    </w:p>
    <w:p w14:paraId="3B032514" w14:textId="7EDD360E" w:rsidR="00FF5D22" w:rsidRDefault="0024255E" w:rsidP="00420252">
      <w:pPr>
        <w:spacing w:line="360" w:lineRule="auto"/>
      </w:pPr>
      <w:r>
        <w:t xml:space="preserve">This section </w:t>
      </w:r>
      <w:r w:rsidR="00904B1B">
        <w:t xml:space="preserve">also provides that an engager need not give a worker a copy of the asbestos assessment report for the premises </w:t>
      </w:r>
      <w:r w:rsidR="004B4B4E">
        <w:t>if the engager</w:t>
      </w:r>
      <w:r w:rsidR="00FF5D22">
        <w:t xml:space="preserve"> cannot obtain a copy of the report after taking reasonable steps and if the work is in response to an emergency situation. </w:t>
      </w:r>
      <w:r w:rsidR="004B4B4E">
        <w:t>T</w:t>
      </w:r>
      <w:r w:rsidR="000A45CB">
        <w:t>hese exemptions applied to the owner of a property</w:t>
      </w:r>
      <w:r w:rsidR="004B4B4E">
        <w:t xml:space="preserve"> and have been broadened to include an engager.</w:t>
      </w:r>
    </w:p>
    <w:p w14:paraId="1F67F3DC" w14:textId="19108D26" w:rsidR="00A43F47" w:rsidRPr="00A43F47" w:rsidRDefault="00FF5D22" w:rsidP="00420252">
      <w:pPr>
        <w:spacing w:line="360" w:lineRule="auto"/>
      </w:pPr>
      <w:r>
        <w:t xml:space="preserve">This section also defines </w:t>
      </w:r>
      <w:r>
        <w:rPr>
          <w:i/>
          <w:iCs/>
        </w:rPr>
        <w:t xml:space="preserve">involves </w:t>
      </w:r>
      <w:r>
        <w:t xml:space="preserve">by directly inserting the definition in section 419 of the </w:t>
      </w:r>
      <w:r>
        <w:rPr>
          <w:i/>
          <w:iCs/>
        </w:rPr>
        <w:t>Work</w:t>
      </w:r>
      <w:r w:rsidR="00E01DA4">
        <w:rPr>
          <w:i/>
          <w:iCs/>
        </w:rPr>
        <w:t> </w:t>
      </w:r>
      <w:r>
        <w:rPr>
          <w:i/>
          <w:iCs/>
        </w:rPr>
        <w:t xml:space="preserve">Health and Safety Regulation 2011, </w:t>
      </w:r>
      <w:r>
        <w:t>rather than defining by reference to that provision.</w:t>
      </w:r>
    </w:p>
    <w:p w14:paraId="16D5F7A4" w14:textId="298A19F5" w:rsidR="002F13AF" w:rsidRDefault="00C37441" w:rsidP="004B4779">
      <w:pPr>
        <w:pStyle w:val="Heading2"/>
      </w:pPr>
      <w:r w:rsidRPr="001C6A02">
        <w:t>47O</w:t>
      </w:r>
      <w:r w:rsidRPr="001C6A02">
        <w:tab/>
      </w:r>
      <w:r w:rsidR="002F13AF" w:rsidRPr="001C6A02">
        <w:t>Requirements- affected residential premises</w:t>
      </w:r>
    </w:p>
    <w:p w14:paraId="588E4EA4" w14:textId="67DFA004" w:rsidR="00900B8C" w:rsidRDefault="002F13AF" w:rsidP="00420252">
      <w:pPr>
        <w:spacing w:line="360" w:lineRule="auto"/>
      </w:pPr>
      <w:r>
        <w:t xml:space="preserve">This is a new section </w:t>
      </w:r>
      <w:r w:rsidR="001D74DB">
        <w:t xml:space="preserve">which </w:t>
      </w:r>
      <w:r w:rsidR="001C6A02">
        <w:t xml:space="preserve">draws together existing requirements, making minor amendments to require </w:t>
      </w:r>
      <w:r w:rsidR="001D74DB">
        <w:t>the owner of an affected residential premises to have a current asbestos contamination report</w:t>
      </w:r>
      <w:r w:rsidR="001C6A02">
        <w:t xml:space="preserve"> and </w:t>
      </w:r>
      <w:r w:rsidR="004B4B4E">
        <w:t xml:space="preserve">to replace the term </w:t>
      </w:r>
      <w:r w:rsidR="004B4B4E">
        <w:rPr>
          <w:i/>
          <w:iCs/>
        </w:rPr>
        <w:t>owner</w:t>
      </w:r>
      <w:r w:rsidR="004B4B4E">
        <w:t xml:space="preserve"> with the broader term </w:t>
      </w:r>
      <w:r w:rsidR="004B4B4E">
        <w:rPr>
          <w:i/>
          <w:iCs/>
        </w:rPr>
        <w:t>engager.</w:t>
      </w:r>
      <w:r w:rsidR="001C6A02">
        <w:t xml:space="preserve"> </w:t>
      </w:r>
    </w:p>
    <w:p w14:paraId="32129B81" w14:textId="3CFAB80A" w:rsidR="002F13AF" w:rsidRPr="00900B8C" w:rsidRDefault="001D74DB" w:rsidP="00420252">
      <w:pPr>
        <w:spacing w:line="360" w:lineRule="auto"/>
      </w:pPr>
      <w:r>
        <w:t>This section provides that a person who undertakes, or engages a person to undertake, work that may disturb asbestos contamination must tell the regulator</w:t>
      </w:r>
      <w:r w:rsidR="00DE7C2B">
        <w:t xml:space="preserve"> (Worksafe ACT)</w:t>
      </w:r>
      <w:r>
        <w:t xml:space="preserve"> about the work at least 5 business days before the work begins.</w:t>
      </w:r>
      <w:r w:rsidR="00900B8C">
        <w:t xml:space="preserve">  </w:t>
      </w:r>
      <w:r w:rsidR="001C6A02">
        <w:t>This requirement</w:t>
      </w:r>
      <w:r w:rsidR="00900B8C">
        <w:t xml:space="preserve"> has been moved from the </w:t>
      </w:r>
      <w:r w:rsidR="00900B8C">
        <w:rPr>
          <w:i/>
          <w:iCs/>
        </w:rPr>
        <w:t>Dangerous Substances (General) Regulation 2004</w:t>
      </w:r>
      <w:r>
        <w:t xml:space="preserve"> </w:t>
      </w:r>
      <w:r w:rsidR="00900B8C">
        <w:t>to make the section more coherent.</w:t>
      </w:r>
    </w:p>
    <w:p w14:paraId="58468E31" w14:textId="77777777" w:rsidR="00764DBE" w:rsidRDefault="001D74DB" w:rsidP="00420252">
      <w:pPr>
        <w:spacing w:line="360" w:lineRule="auto"/>
      </w:pPr>
      <w:r>
        <w:lastRenderedPageBreak/>
        <w:t xml:space="preserve">Section 47O also provides that </w:t>
      </w:r>
      <w:r w:rsidR="00DE4A8B">
        <w:t>a regulation may prescribe requirements for certain people in re</w:t>
      </w:r>
      <w:r>
        <w:t>lation to management of asbestos contamination</w:t>
      </w:r>
      <w:r w:rsidR="00DE4A8B">
        <w:t xml:space="preserve">; such as </w:t>
      </w:r>
      <w:r w:rsidR="00A44029">
        <w:t>the regulator, an owner or occupier, a real estate agent, a licenses asbestos assessor or asbestos removalist, or a worker. This amendment</w:t>
      </w:r>
      <w:r w:rsidR="00900B8C">
        <w:t xml:space="preserve"> draws together a list of persons on which there are obligations in relation to the management of affected residential premises.</w:t>
      </w:r>
      <w:r w:rsidR="00764DBE">
        <w:t xml:space="preserve"> </w:t>
      </w:r>
    </w:p>
    <w:p w14:paraId="336CC276" w14:textId="1D75031D" w:rsidR="00353CF0" w:rsidRDefault="00353CF0" w:rsidP="004B4779">
      <w:pPr>
        <w:pStyle w:val="Heading2"/>
      </w:pPr>
      <w:bookmarkStart w:id="1" w:name="OLE_LINK1"/>
      <w:r>
        <w:t>47P</w:t>
      </w:r>
      <w:r>
        <w:tab/>
        <w:t>Affected residential premises register</w:t>
      </w:r>
    </w:p>
    <w:bookmarkEnd w:id="1"/>
    <w:p w14:paraId="699E474D" w14:textId="6B38D3F6" w:rsidR="00AC5AF0" w:rsidRDefault="00353CF0" w:rsidP="00420252">
      <w:pPr>
        <w:spacing w:line="360" w:lineRule="auto"/>
      </w:pPr>
      <w:r>
        <w:t>This section replaces the previous section 47N in the Act</w:t>
      </w:r>
      <w:r w:rsidR="00874E35">
        <w:t xml:space="preserve"> and </w:t>
      </w:r>
      <w:r>
        <w:t xml:space="preserve">introduces several new requirements in relation to the affected residential premises register. The register must now include whether </w:t>
      </w:r>
      <w:r w:rsidR="00B15A8C">
        <w:t>affected</w:t>
      </w:r>
      <w:r>
        <w:t xml:space="preserve"> premises require</w:t>
      </w:r>
      <w:r w:rsidR="00AC5AF0">
        <w:t xml:space="preserve"> an asbestos contamination report, and whether there is a current one in place with all required contamination management works completed</w:t>
      </w:r>
      <w:r w:rsidR="001C6A02">
        <w:t>.</w:t>
      </w:r>
      <w:r w:rsidR="00AC5AF0">
        <w:t xml:space="preserve"> </w:t>
      </w:r>
    </w:p>
    <w:p w14:paraId="3A44B7D8" w14:textId="085F75FD" w:rsidR="00AC5AF0" w:rsidRDefault="00353CF0" w:rsidP="00420252">
      <w:pPr>
        <w:spacing w:line="360" w:lineRule="auto"/>
      </w:pPr>
      <w:r>
        <w:t xml:space="preserve">If </w:t>
      </w:r>
      <w:r w:rsidR="00B15A8C">
        <w:t xml:space="preserve">the register shows that a </w:t>
      </w:r>
      <w:r>
        <w:t xml:space="preserve">premise is required to have a report, and it does not </w:t>
      </w:r>
      <w:r w:rsidR="00B15A8C">
        <w:t xml:space="preserve">have </w:t>
      </w:r>
      <w:r>
        <w:t>one, a tradesperson can make</w:t>
      </w:r>
      <w:r w:rsidR="0039319D">
        <w:t xml:space="preserve"> a</w:t>
      </w:r>
      <w:r w:rsidR="00F12432">
        <w:t xml:space="preserve"> decision about whether to conduct work on the property</w:t>
      </w:r>
      <w:r>
        <w:t>. If the register shows that the property has a current report, the tradesperson can attend the property and view the report</w:t>
      </w:r>
      <w:r w:rsidR="0039319D">
        <w:t xml:space="preserve">, which is </w:t>
      </w:r>
      <w:r w:rsidR="00DE7C2B">
        <w:t xml:space="preserve">now </w:t>
      </w:r>
      <w:r w:rsidR="0039319D">
        <w:t xml:space="preserve">required to be displayed </w:t>
      </w:r>
      <w:r w:rsidR="00DE7C2B">
        <w:t>with this Bill</w:t>
      </w:r>
      <w:r w:rsidR="0039319D">
        <w:t>,</w:t>
      </w:r>
      <w:r w:rsidR="00DE7C2B">
        <w:t xml:space="preserve"> and so </w:t>
      </w:r>
      <w:r w:rsidR="0039319D">
        <w:t>understand the nature of the risk.</w:t>
      </w:r>
    </w:p>
    <w:p w14:paraId="13A0D724" w14:textId="321DD2D8" w:rsidR="00353CF0" w:rsidRDefault="00AC5AF0" w:rsidP="00420252">
      <w:pPr>
        <w:spacing w:line="360" w:lineRule="auto"/>
      </w:pPr>
      <w:r>
        <w:t>The Register must also contain information about whether the affected premises is subject to an occupancy prohibition, and if so, whether any approved occupants resides in the property, and their names. This amendment allows</w:t>
      </w:r>
      <w:r w:rsidR="00C91E6F">
        <w:t xml:space="preserve"> the regulator</w:t>
      </w:r>
      <w:r>
        <w:t xml:space="preserve"> to monitor compliance with the occupancy prohibition by having</w:t>
      </w:r>
      <w:r w:rsidR="00C91E6F">
        <w:t xml:space="preserve"> oversight of who is living in affected properties that</w:t>
      </w:r>
      <w:r>
        <w:t xml:space="preserve"> are subject to an occupancy prohibition.</w:t>
      </w:r>
      <w:r w:rsidR="00C91E6F">
        <w:t xml:space="preserve"> </w:t>
      </w:r>
      <w:r w:rsidR="001C6A02">
        <w:t>U</w:t>
      </w:r>
      <w:r w:rsidR="00C91E6F">
        <w:t>nder s47</w:t>
      </w:r>
      <w:r w:rsidR="00170C7A">
        <w:t>P (</w:t>
      </w:r>
      <w:r w:rsidR="00C91E6F">
        <w:t xml:space="preserve">5), </w:t>
      </w:r>
      <w:r w:rsidR="00962BF2">
        <w:t xml:space="preserve">information relating to the </w:t>
      </w:r>
      <w:r w:rsidR="00A175C9">
        <w:t xml:space="preserve">occupancy prohibition (including names of occupants) will not be publicly available. </w:t>
      </w:r>
    </w:p>
    <w:p w14:paraId="4B5EF432" w14:textId="07201297" w:rsidR="0039319D" w:rsidRDefault="001C6A02" w:rsidP="001C6A02">
      <w:pPr>
        <w:tabs>
          <w:tab w:val="left" w:pos="1485"/>
        </w:tabs>
        <w:spacing w:line="360" w:lineRule="auto"/>
        <w:rPr>
          <w:b/>
          <w:bCs/>
        </w:rPr>
      </w:pPr>
      <w:r>
        <w:rPr>
          <w:b/>
          <w:bCs/>
        </w:rPr>
        <w:t>47Q</w:t>
      </w:r>
      <w:r>
        <w:rPr>
          <w:b/>
          <w:bCs/>
        </w:rPr>
        <w:tab/>
        <w:t>Notice of affected residential premises to registrar-general</w:t>
      </w:r>
    </w:p>
    <w:p w14:paraId="7475D69C" w14:textId="72A5D689" w:rsidR="001C6A02" w:rsidRPr="001C6A02" w:rsidRDefault="001C6A02" w:rsidP="001C6A02">
      <w:pPr>
        <w:tabs>
          <w:tab w:val="left" w:pos="1485"/>
        </w:tabs>
        <w:spacing w:line="360" w:lineRule="auto"/>
      </w:pPr>
      <w:r>
        <w:t xml:space="preserve">A note has been included in section 47Q to make clear that an administrative interest </w:t>
      </w:r>
      <w:r w:rsidR="00283ED9">
        <w:t xml:space="preserve">may be placed on the title of affected residential premises noting that an occupancy prohibition may apply. </w:t>
      </w:r>
    </w:p>
    <w:p w14:paraId="6CF86D73" w14:textId="757471F1" w:rsidR="00BF7AA5" w:rsidRDefault="00BF7AA5" w:rsidP="00BF7AA5">
      <w:pPr>
        <w:pStyle w:val="Heading2"/>
      </w:pPr>
      <w:r>
        <w:t>Part 3A.3</w:t>
      </w:r>
      <w:r>
        <w:tab/>
        <w:t>Occupancy prohibition</w:t>
      </w:r>
    </w:p>
    <w:p w14:paraId="074235AC" w14:textId="6F531187" w:rsidR="00A63E15" w:rsidRDefault="00BC1321" w:rsidP="00AB615D">
      <w:pPr>
        <w:spacing w:line="360" w:lineRule="auto"/>
      </w:pPr>
      <w:r w:rsidRPr="00F8584C">
        <w:t xml:space="preserve">This part introduces </w:t>
      </w:r>
      <w:r w:rsidR="00A63E15" w:rsidRPr="00F8584C">
        <w:t>the Bill’s occupancy prohibition</w:t>
      </w:r>
      <w:r w:rsidR="004E588D">
        <w:t xml:space="preserve">, which </w:t>
      </w:r>
      <w:r w:rsidR="00A63E15" w:rsidRPr="00F8584C">
        <w:t xml:space="preserve">provides that in the event of a transfer or a transmission of premises on the affected residential premises register on or after </w:t>
      </w:r>
      <w:r w:rsidR="00A63E15" w:rsidRPr="00F8584C">
        <w:lastRenderedPageBreak/>
        <w:t xml:space="preserve">1 July 2020, only an approved occupant may occupy the premises. </w:t>
      </w:r>
      <w:r w:rsidR="00A63E15">
        <w:t>The premises must have been on the register prior to the transfer or transmission.</w:t>
      </w:r>
    </w:p>
    <w:p w14:paraId="60D44853" w14:textId="4A3BDE68" w:rsidR="00AB615D" w:rsidRDefault="00AB615D" w:rsidP="00AB615D">
      <w:pPr>
        <w:spacing w:line="360" w:lineRule="auto"/>
        <w:rPr>
          <w:i/>
          <w:iCs/>
        </w:rPr>
      </w:pPr>
      <w:r w:rsidRPr="00FC3729">
        <w:rPr>
          <w:b/>
          <w:bCs/>
        </w:rPr>
        <w:t>Section 47R</w:t>
      </w:r>
      <w:r>
        <w:t xml:space="preserve"> </w:t>
      </w:r>
      <w:r w:rsidR="00FC3729">
        <w:t xml:space="preserve">provides the definition of occupy; and sets the </w:t>
      </w:r>
      <w:r>
        <w:t xml:space="preserve">definitions of transfer or transmission as those found in the </w:t>
      </w:r>
      <w:r>
        <w:rPr>
          <w:i/>
          <w:iCs/>
        </w:rPr>
        <w:t>Land Titles Act 1925.</w:t>
      </w:r>
    </w:p>
    <w:p w14:paraId="0A8C498B" w14:textId="03170CF8" w:rsidR="00AB615D" w:rsidRPr="00AB615D" w:rsidRDefault="00AB615D" w:rsidP="00AB615D">
      <w:pPr>
        <w:spacing w:line="360" w:lineRule="auto"/>
        <w:rPr>
          <w:b/>
          <w:bCs/>
        </w:rPr>
      </w:pPr>
      <w:r w:rsidRPr="00FC3729">
        <w:rPr>
          <w:b/>
          <w:bCs/>
        </w:rPr>
        <w:t>Section 47S</w:t>
      </w:r>
      <w:r>
        <w:t xml:space="preserve"> provides the meaning of occupancy prohibition</w:t>
      </w:r>
      <w:r w:rsidR="00FC3729">
        <w:t>.</w:t>
      </w:r>
      <w:r w:rsidR="0054255D">
        <w:t xml:space="preserve"> Occupation of a premises that is on the affected residential premises register is prohibited upon the transfer or transmission of the premises on or after 1 July 2020.</w:t>
      </w:r>
    </w:p>
    <w:p w14:paraId="5A9FF2F5" w14:textId="3D8735A6" w:rsidR="00A63E15" w:rsidRPr="00AB615D" w:rsidRDefault="00A63E15" w:rsidP="00AB615D">
      <w:pPr>
        <w:spacing w:line="360" w:lineRule="auto"/>
        <w:rPr>
          <w:b/>
          <w:bCs/>
        </w:rPr>
      </w:pPr>
      <w:r w:rsidRPr="00AB615D">
        <w:rPr>
          <w:b/>
          <w:bCs/>
        </w:rPr>
        <w:t>Section 47T</w:t>
      </w:r>
      <w:r>
        <w:t xml:space="preserve"> provides that an approved occupant is an individual who has </w:t>
      </w:r>
      <w:r w:rsidR="00FC3729">
        <w:t xml:space="preserve">continuously </w:t>
      </w:r>
      <w:r>
        <w:t xml:space="preserve">occupied the premises on or after the day the premises were added to the affected residential premises </w:t>
      </w:r>
      <w:r w:rsidR="0054255D">
        <w:t>register or</w:t>
      </w:r>
      <w:r>
        <w:t xml:space="preserve"> is approved by the Minister to occupy the premises to provide support to such an individual. The intention of this definition of approved occupant is to allow individuals who have lived in the property since it was added to the register </w:t>
      </w:r>
      <w:r w:rsidR="0054255D">
        <w:t xml:space="preserve">to remain even after a transfer or transmission; and also provide for individuals </w:t>
      </w:r>
      <w:r>
        <w:t xml:space="preserve">who may be required to provide care to an occupant (such as a carer or a family member). </w:t>
      </w:r>
      <w:r w:rsidR="001B58EE">
        <w:t>A decision of the Minister under s47T(b) is a reviewable decision.</w:t>
      </w:r>
    </w:p>
    <w:p w14:paraId="651372D6" w14:textId="1C78DED1" w:rsidR="00BF7AA5" w:rsidRDefault="004E588D" w:rsidP="00420252">
      <w:pPr>
        <w:spacing w:line="360" w:lineRule="auto"/>
      </w:pPr>
      <w:r w:rsidRPr="00AB615D">
        <w:rPr>
          <w:b/>
          <w:bCs/>
        </w:rPr>
        <w:t>Section 47U</w:t>
      </w:r>
      <w:r>
        <w:t xml:space="preserve"> provides that it is an offence for an owner </w:t>
      </w:r>
      <w:r w:rsidR="000708B1">
        <w:t xml:space="preserve">of an affected premises </w:t>
      </w:r>
      <w:r>
        <w:t xml:space="preserve">to </w:t>
      </w:r>
      <w:r w:rsidR="007B1432">
        <w:t>allow a person</w:t>
      </w:r>
      <w:r w:rsidR="000708B1">
        <w:t>,</w:t>
      </w:r>
      <w:r w:rsidR="007B1432">
        <w:t xml:space="preserve"> </w:t>
      </w:r>
      <w:r w:rsidR="000708B1">
        <w:t xml:space="preserve">other than an approved occupant, </w:t>
      </w:r>
      <w:r w:rsidR="007B1432">
        <w:t>to occupy premises that are subject to an occupancy prohibitio</w:t>
      </w:r>
      <w:r w:rsidR="002548FD">
        <w:t>n</w:t>
      </w:r>
      <w:r w:rsidR="007B1432">
        <w:t>. To satisfy the offence, there must be an administrative interest on the title for the premises when they were transferred or transmitted to the owner</w:t>
      </w:r>
      <w:r w:rsidR="001D1A5C">
        <w:t>.</w:t>
      </w:r>
      <w:r w:rsidR="00763AEC">
        <w:t xml:space="preserve"> Administrative interests are placed on </w:t>
      </w:r>
      <w:r w:rsidR="001B58EE">
        <w:t xml:space="preserve">the </w:t>
      </w:r>
      <w:r w:rsidR="00763AEC">
        <w:t xml:space="preserve">title of premises under section 69A of the </w:t>
      </w:r>
      <w:r w:rsidR="00763AEC">
        <w:rPr>
          <w:i/>
          <w:iCs/>
        </w:rPr>
        <w:t>Land Titles Act 1925</w:t>
      </w:r>
      <w:r w:rsidR="001D1A5C">
        <w:t>.</w:t>
      </w:r>
      <w:r w:rsidR="00763AEC">
        <w:t xml:space="preserve"> A maximum penalty of 50 penalty units attaches to the offence. </w:t>
      </w:r>
    </w:p>
    <w:p w14:paraId="3DEFF04A" w14:textId="2ED22269" w:rsidR="001D1A5C" w:rsidRDefault="001D1A5C" w:rsidP="00420252">
      <w:pPr>
        <w:spacing w:line="360" w:lineRule="auto"/>
      </w:pPr>
      <w:r w:rsidRPr="00AB615D">
        <w:rPr>
          <w:b/>
          <w:bCs/>
        </w:rPr>
        <w:t>Section 47V</w:t>
      </w:r>
      <w:r>
        <w:t xml:space="preserve"> requires that the owner of affected residential premises that are subject to an occupancy prohibition must inform the regulator</w:t>
      </w:r>
      <w:r w:rsidR="00547A7B">
        <w:t xml:space="preserve"> (Worksafe ACT) that an approved occupant occupies the premises within 10 days </w:t>
      </w:r>
      <w:r w:rsidR="00CF73F9">
        <w:t>of</w:t>
      </w:r>
      <w:r w:rsidR="0054255D">
        <w:t xml:space="preserve"> the</w:t>
      </w:r>
      <w:r w:rsidR="00CF73F9">
        <w:t xml:space="preserve"> transfer or transmission (in the case of an approved occupant occupying the premises on the day of transfer or transmission) or the day the occupation began. </w:t>
      </w:r>
    </w:p>
    <w:p w14:paraId="6155EB56" w14:textId="2BBC6778" w:rsidR="003745A5" w:rsidRPr="0049016C" w:rsidRDefault="003745A5" w:rsidP="003745A5">
      <w:pPr>
        <w:keepNext/>
        <w:rPr>
          <w:b/>
          <w:szCs w:val="24"/>
        </w:rPr>
      </w:pPr>
      <w:r w:rsidRPr="0049016C">
        <w:rPr>
          <w:b/>
          <w:szCs w:val="24"/>
        </w:rPr>
        <w:t>Clause 12</w:t>
      </w:r>
      <w:r w:rsidRPr="0049016C">
        <w:rPr>
          <w:b/>
          <w:szCs w:val="24"/>
        </w:rPr>
        <w:tab/>
      </w:r>
      <w:r>
        <w:rPr>
          <w:b/>
          <w:szCs w:val="24"/>
        </w:rPr>
        <w:t>Definitions- ch 9</w:t>
      </w:r>
      <w:r w:rsidRPr="0049016C">
        <w:rPr>
          <w:b/>
          <w:szCs w:val="24"/>
        </w:rPr>
        <w:t xml:space="preserve"> </w:t>
      </w:r>
    </w:p>
    <w:p w14:paraId="38321EB4" w14:textId="1A078171" w:rsidR="003745A5" w:rsidRPr="003745A5" w:rsidRDefault="003745A5" w:rsidP="003745A5">
      <w:pPr>
        <w:keepNext/>
        <w:spacing w:after="120"/>
        <w:ind w:left="720" w:firstLine="720"/>
        <w:rPr>
          <w:b/>
          <w:szCs w:val="24"/>
        </w:rPr>
      </w:pPr>
      <w:r>
        <w:rPr>
          <w:b/>
          <w:szCs w:val="24"/>
        </w:rPr>
        <w:t xml:space="preserve">Section 186, definition of </w:t>
      </w:r>
      <w:r>
        <w:rPr>
          <w:b/>
          <w:i/>
          <w:iCs/>
          <w:szCs w:val="24"/>
        </w:rPr>
        <w:t>decision-maker</w:t>
      </w:r>
    </w:p>
    <w:p w14:paraId="100F2C1B" w14:textId="3A3BDED6" w:rsidR="0082543C" w:rsidRDefault="004A1C49" w:rsidP="00420252">
      <w:pPr>
        <w:spacing w:line="360" w:lineRule="auto"/>
      </w:pPr>
      <w:r>
        <w:t xml:space="preserve">This clause </w:t>
      </w:r>
      <w:r w:rsidR="00BA4A76">
        <w:t xml:space="preserve">expands the definition in section 186 of the Act of </w:t>
      </w:r>
      <w:r w:rsidR="00BA4A76">
        <w:rPr>
          <w:i/>
          <w:iCs/>
        </w:rPr>
        <w:t xml:space="preserve">decision-maker </w:t>
      </w:r>
      <w:r w:rsidR="00BA4A76">
        <w:t xml:space="preserve">to include a licensed asbestos assessor. This amendment operates in conjunction with </w:t>
      </w:r>
      <w:r w:rsidR="004A71FA">
        <w:t>clause</w:t>
      </w:r>
      <w:r w:rsidR="004F10D3">
        <w:t xml:space="preserve">s 30 and 31 </w:t>
      </w:r>
      <w:r w:rsidR="004A71FA">
        <w:lastRenderedPageBreak/>
        <w:t xml:space="preserve">of the Bill to provide that a decision by a licensed asbestos assessor regarding the validity period of a contamination report, under section 47J, is an internally reviewable decision. </w:t>
      </w:r>
    </w:p>
    <w:p w14:paraId="616FF2D6" w14:textId="4A3A5AE8" w:rsidR="004A71FA" w:rsidRPr="00BA4A76" w:rsidRDefault="002750F2" w:rsidP="00420252">
      <w:pPr>
        <w:spacing w:line="360" w:lineRule="auto"/>
      </w:pPr>
      <w:r>
        <w:t xml:space="preserve">The intention of </w:t>
      </w:r>
      <w:r w:rsidR="00817726">
        <w:t>clauses 12</w:t>
      </w:r>
      <w:r w:rsidR="004F10D3">
        <w:t xml:space="preserve">, 30 and 31 </w:t>
      </w:r>
      <w:r>
        <w:t xml:space="preserve">is to allow an avenue </w:t>
      </w:r>
      <w:r w:rsidR="00817726">
        <w:t xml:space="preserve">for </w:t>
      </w:r>
      <w:r>
        <w:t xml:space="preserve">review for owners who disagree with a licensed asbestos assessor’s determination. </w:t>
      </w:r>
    </w:p>
    <w:p w14:paraId="05ABA890" w14:textId="49B9DE4E" w:rsidR="00E7546E" w:rsidRDefault="00E7546E" w:rsidP="004B4779">
      <w:pPr>
        <w:pStyle w:val="Heading2"/>
      </w:pPr>
      <w:r w:rsidRPr="00A36E0B">
        <w:t>Clause</w:t>
      </w:r>
      <w:r>
        <w:t xml:space="preserve"> 1</w:t>
      </w:r>
      <w:r w:rsidR="0082543C">
        <w:t>3</w:t>
      </w:r>
      <w:r>
        <w:tab/>
        <w:t xml:space="preserve">New chapter </w:t>
      </w:r>
      <w:r w:rsidR="0082543C">
        <w:t>15</w:t>
      </w:r>
    </w:p>
    <w:p w14:paraId="2482F301" w14:textId="3EB0718B" w:rsidR="00E7546E" w:rsidRDefault="00E7546E" w:rsidP="00420252">
      <w:pPr>
        <w:spacing w:line="360" w:lineRule="auto"/>
      </w:pPr>
      <w:r>
        <w:t xml:space="preserve">This clause introduces a new chapter </w:t>
      </w:r>
      <w:r w:rsidR="0082543C">
        <w:t>15</w:t>
      </w:r>
      <w:r>
        <w:t>, which</w:t>
      </w:r>
      <w:r w:rsidR="00FD1031">
        <w:t xml:space="preserve"> provides</w:t>
      </w:r>
      <w:r>
        <w:t xml:space="preserve"> transitional arrangements for the Bill. </w:t>
      </w:r>
    </w:p>
    <w:p w14:paraId="03538C6A" w14:textId="50C325CF" w:rsidR="0082543C" w:rsidRDefault="0082543C" w:rsidP="00420252">
      <w:pPr>
        <w:spacing w:line="360" w:lineRule="auto"/>
      </w:pPr>
      <w:r>
        <w:t xml:space="preserve">Sections 233 and 235 provide that </w:t>
      </w:r>
      <w:r w:rsidR="00817726">
        <w:t xml:space="preserve">a </w:t>
      </w:r>
      <w:r>
        <w:t xml:space="preserve">valid and current asbestos advice or assessment report at the time of </w:t>
      </w:r>
      <w:r w:rsidR="008075A3">
        <w:t xml:space="preserve">the commencement </w:t>
      </w:r>
      <w:r>
        <w:t xml:space="preserve">of the </w:t>
      </w:r>
      <w:r w:rsidR="008075A3">
        <w:t xml:space="preserve">Act </w:t>
      </w:r>
      <w:r w:rsidR="00817726">
        <w:t xml:space="preserve">will </w:t>
      </w:r>
      <w:r>
        <w:t xml:space="preserve">remain valid and current upon the </w:t>
      </w:r>
      <w:r w:rsidR="008075A3">
        <w:t>Act’s commencement</w:t>
      </w:r>
      <w:r>
        <w:t>.</w:t>
      </w:r>
    </w:p>
    <w:p w14:paraId="04F8AE2E" w14:textId="1678A097" w:rsidR="00680E66" w:rsidRDefault="00680E66" w:rsidP="00680E66">
      <w:pPr>
        <w:spacing w:line="360" w:lineRule="auto"/>
      </w:pPr>
      <w:r>
        <w:t xml:space="preserve">Section 234 provides that an asbestos contamination report or a contamination management plan in a contamination report existing at the time of the </w:t>
      </w:r>
      <w:r w:rsidR="008075A3">
        <w:t xml:space="preserve">Act’s commencement </w:t>
      </w:r>
      <w:r>
        <w:t>expires 2 years after the day the report was prepared.</w:t>
      </w:r>
    </w:p>
    <w:p w14:paraId="6DA0A3A7" w14:textId="77777777" w:rsidR="00B37851" w:rsidRDefault="00B37851" w:rsidP="00B37851">
      <w:pPr>
        <w:spacing w:line="360" w:lineRule="auto"/>
      </w:pPr>
      <w:r>
        <w:t xml:space="preserve">Section 236 makes clear that the existing register is the affected residential premises register for the purposes of the Bill. </w:t>
      </w:r>
    </w:p>
    <w:p w14:paraId="40E9065F" w14:textId="11D0E386" w:rsidR="00680E66" w:rsidRDefault="00680E66" w:rsidP="00420252">
      <w:pPr>
        <w:spacing w:line="360" w:lineRule="auto"/>
      </w:pPr>
      <w:r>
        <w:t xml:space="preserve">Section </w:t>
      </w:r>
      <w:r w:rsidR="00865DAA">
        <w:t>237</w:t>
      </w:r>
      <w:r>
        <w:t xml:space="preserve"> provides that chapter 15 expires 2 years after the commencement day of the Act, to allow for the expiry of </w:t>
      </w:r>
      <w:r w:rsidR="00B37851">
        <w:t>existing</w:t>
      </w:r>
      <w:r>
        <w:t xml:space="preserve"> contamination reports.</w:t>
      </w:r>
      <w:r w:rsidR="00E0342C">
        <w:t xml:space="preserve"> After this time, owners will be required to obtain updated contamination reports.</w:t>
      </w:r>
    </w:p>
    <w:p w14:paraId="0A27ABC0" w14:textId="2B0369CB" w:rsidR="00275B97" w:rsidRPr="0049016C" w:rsidRDefault="00275B97" w:rsidP="00275B97">
      <w:pPr>
        <w:keepNext/>
        <w:rPr>
          <w:b/>
          <w:szCs w:val="24"/>
        </w:rPr>
      </w:pPr>
      <w:r w:rsidRPr="0049016C">
        <w:rPr>
          <w:b/>
          <w:szCs w:val="24"/>
        </w:rPr>
        <w:t>Clause</w:t>
      </w:r>
      <w:r>
        <w:rPr>
          <w:b/>
          <w:szCs w:val="24"/>
        </w:rPr>
        <w:t>s 14 to 18</w:t>
      </w:r>
      <w:r w:rsidR="001C5A55">
        <w:rPr>
          <w:b/>
          <w:szCs w:val="24"/>
        </w:rPr>
        <w:tab/>
      </w:r>
      <w:r>
        <w:rPr>
          <w:b/>
          <w:szCs w:val="24"/>
        </w:rPr>
        <w:t>Dictionary, new definitions</w:t>
      </w:r>
      <w:r w:rsidRPr="0049016C">
        <w:rPr>
          <w:b/>
          <w:szCs w:val="24"/>
        </w:rPr>
        <w:t xml:space="preserve"> </w:t>
      </w:r>
    </w:p>
    <w:p w14:paraId="579FD138" w14:textId="3570BA4C" w:rsidR="001C5A55" w:rsidRDefault="00F45319" w:rsidP="001C5A55">
      <w:pPr>
        <w:keepNext/>
        <w:spacing w:after="120"/>
        <w:ind w:left="1440" w:firstLine="720"/>
        <w:rPr>
          <w:b/>
          <w:i/>
          <w:iCs/>
          <w:szCs w:val="24"/>
        </w:rPr>
      </w:pPr>
      <w:r>
        <w:rPr>
          <w:b/>
          <w:szCs w:val="24"/>
        </w:rPr>
        <w:t>Dictionary, definition</w:t>
      </w:r>
      <w:r w:rsidR="00275B97">
        <w:rPr>
          <w:b/>
          <w:szCs w:val="24"/>
        </w:rPr>
        <w:t xml:space="preserve"> of </w:t>
      </w:r>
      <w:r w:rsidR="00275B97">
        <w:rPr>
          <w:b/>
          <w:i/>
          <w:iCs/>
          <w:szCs w:val="24"/>
        </w:rPr>
        <w:t>affected residential premises register</w:t>
      </w:r>
    </w:p>
    <w:p w14:paraId="6B77ADE7" w14:textId="0094C30A" w:rsidR="001C5A55" w:rsidRDefault="00F45319" w:rsidP="001C5A55">
      <w:pPr>
        <w:keepNext/>
        <w:spacing w:after="120"/>
        <w:ind w:left="1440" w:firstLine="720"/>
        <w:rPr>
          <w:b/>
          <w:i/>
          <w:iCs/>
          <w:szCs w:val="24"/>
        </w:rPr>
      </w:pPr>
      <w:r>
        <w:rPr>
          <w:b/>
          <w:szCs w:val="24"/>
        </w:rPr>
        <w:t>Dictionary, new</w:t>
      </w:r>
      <w:r w:rsidR="00275B97">
        <w:rPr>
          <w:b/>
          <w:szCs w:val="24"/>
        </w:rPr>
        <w:t xml:space="preserve"> definitions</w:t>
      </w:r>
    </w:p>
    <w:p w14:paraId="0C7BBBD4" w14:textId="5158DCCB" w:rsidR="001C5A55" w:rsidRDefault="00F45319" w:rsidP="001C5A55">
      <w:pPr>
        <w:keepNext/>
        <w:spacing w:after="120"/>
        <w:ind w:left="1440" w:firstLine="720"/>
        <w:rPr>
          <w:b/>
          <w:i/>
          <w:iCs/>
          <w:szCs w:val="24"/>
        </w:rPr>
      </w:pPr>
      <w:r>
        <w:rPr>
          <w:b/>
          <w:szCs w:val="24"/>
        </w:rPr>
        <w:t>Dictionary, definition</w:t>
      </w:r>
      <w:r w:rsidR="00275B97">
        <w:rPr>
          <w:b/>
          <w:szCs w:val="24"/>
        </w:rPr>
        <w:t xml:space="preserve"> of </w:t>
      </w:r>
      <w:r w:rsidR="00275B97">
        <w:rPr>
          <w:b/>
          <w:i/>
          <w:iCs/>
          <w:szCs w:val="24"/>
        </w:rPr>
        <w:t>loose-fill asbestos insulation</w:t>
      </w:r>
    </w:p>
    <w:p w14:paraId="26E1AAE2" w14:textId="01F4088F" w:rsidR="00275B97" w:rsidRPr="001C5A55" w:rsidRDefault="00F45319" w:rsidP="001C5A55">
      <w:pPr>
        <w:keepNext/>
        <w:spacing w:after="120"/>
        <w:ind w:left="1440" w:firstLine="720"/>
        <w:rPr>
          <w:b/>
          <w:i/>
          <w:iCs/>
          <w:szCs w:val="24"/>
        </w:rPr>
      </w:pPr>
      <w:r>
        <w:rPr>
          <w:b/>
          <w:szCs w:val="24"/>
        </w:rPr>
        <w:t>Dictionary, new</w:t>
      </w:r>
      <w:r w:rsidR="00275B97">
        <w:rPr>
          <w:b/>
          <w:szCs w:val="24"/>
        </w:rPr>
        <w:t xml:space="preserve"> definitions</w:t>
      </w:r>
    </w:p>
    <w:p w14:paraId="0F9AADA6" w14:textId="7635D0F7" w:rsidR="00A87FA8" w:rsidRPr="00A87FA8" w:rsidRDefault="00A87FA8" w:rsidP="00A87FA8">
      <w:pPr>
        <w:spacing w:line="360" w:lineRule="auto"/>
      </w:pPr>
      <w:r>
        <w:t xml:space="preserve">These clauses make a number of amendments to the Dictionary section of the Act to ensure that terms are appropriately defined, in order to reflect the new provisions introduced by the Bill.  </w:t>
      </w:r>
    </w:p>
    <w:p w14:paraId="20EFD614" w14:textId="55EF7668" w:rsidR="00467EF1" w:rsidRPr="001A0E62" w:rsidRDefault="00467EF1" w:rsidP="00420252">
      <w:pPr>
        <w:keepNext/>
        <w:autoSpaceDE w:val="0"/>
        <w:autoSpaceDN w:val="0"/>
        <w:adjustRightInd w:val="0"/>
        <w:spacing w:before="240" w:after="240" w:line="360" w:lineRule="auto"/>
        <w:rPr>
          <w:b/>
          <w:sz w:val="36"/>
          <w:szCs w:val="36"/>
        </w:rPr>
      </w:pPr>
      <w:r w:rsidRPr="001A0E62">
        <w:rPr>
          <w:b/>
          <w:sz w:val="36"/>
          <w:szCs w:val="36"/>
        </w:rPr>
        <w:lastRenderedPageBreak/>
        <w:t xml:space="preserve">Part </w:t>
      </w:r>
      <w:r w:rsidR="00914E50">
        <w:rPr>
          <w:b/>
          <w:sz w:val="36"/>
          <w:szCs w:val="36"/>
        </w:rPr>
        <w:t>4</w:t>
      </w:r>
      <w:r w:rsidRPr="001A0E62">
        <w:rPr>
          <w:b/>
          <w:sz w:val="36"/>
          <w:szCs w:val="36"/>
        </w:rPr>
        <w:t xml:space="preserve"> </w:t>
      </w:r>
      <w:r w:rsidRPr="001A0E62">
        <w:rPr>
          <w:b/>
          <w:sz w:val="36"/>
          <w:szCs w:val="36"/>
        </w:rPr>
        <w:tab/>
        <w:t>Dangerous Substances (General) Regulation 2004</w:t>
      </w:r>
    </w:p>
    <w:p w14:paraId="1949144E" w14:textId="55E92B87" w:rsidR="007C1F8E" w:rsidRPr="0049016C" w:rsidRDefault="007C1F8E" w:rsidP="007C1F8E">
      <w:pPr>
        <w:keepNext/>
        <w:rPr>
          <w:b/>
          <w:szCs w:val="24"/>
        </w:rPr>
      </w:pPr>
      <w:r w:rsidRPr="0049016C">
        <w:rPr>
          <w:b/>
          <w:szCs w:val="24"/>
        </w:rPr>
        <w:t>Clause</w:t>
      </w:r>
      <w:r w:rsidR="008075A3">
        <w:rPr>
          <w:b/>
          <w:szCs w:val="24"/>
        </w:rPr>
        <w:t>s</w:t>
      </w:r>
      <w:r w:rsidRPr="0049016C">
        <w:rPr>
          <w:b/>
          <w:szCs w:val="24"/>
        </w:rPr>
        <w:t xml:space="preserve"> 1</w:t>
      </w:r>
      <w:r>
        <w:rPr>
          <w:b/>
          <w:szCs w:val="24"/>
        </w:rPr>
        <w:t xml:space="preserve">9 </w:t>
      </w:r>
      <w:r w:rsidR="008075A3">
        <w:rPr>
          <w:b/>
          <w:szCs w:val="24"/>
        </w:rPr>
        <w:t>and</w:t>
      </w:r>
      <w:r>
        <w:rPr>
          <w:b/>
          <w:szCs w:val="24"/>
        </w:rPr>
        <w:t xml:space="preserve"> 20</w:t>
      </w:r>
      <w:r w:rsidRPr="0049016C">
        <w:rPr>
          <w:b/>
          <w:szCs w:val="24"/>
        </w:rPr>
        <w:tab/>
      </w:r>
      <w:r>
        <w:rPr>
          <w:b/>
          <w:szCs w:val="24"/>
        </w:rPr>
        <w:t>Removal of asbestos or ACM from premises</w:t>
      </w:r>
      <w:r w:rsidRPr="0049016C">
        <w:rPr>
          <w:b/>
          <w:szCs w:val="24"/>
        </w:rPr>
        <w:t xml:space="preserve"> </w:t>
      </w:r>
    </w:p>
    <w:p w14:paraId="239CA5B7" w14:textId="02FFC4C4" w:rsidR="007C1F8E" w:rsidRDefault="007C1F8E" w:rsidP="001C5A55">
      <w:pPr>
        <w:keepNext/>
        <w:spacing w:after="120"/>
        <w:ind w:left="1440" w:firstLine="720"/>
        <w:rPr>
          <w:b/>
          <w:szCs w:val="24"/>
        </w:rPr>
      </w:pPr>
      <w:r>
        <w:rPr>
          <w:b/>
          <w:szCs w:val="24"/>
        </w:rPr>
        <w:t>Section 312(1), penalty</w:t>
      </w:r>
    </w:p>
    <w:p w14:paraId="7A0B16E7" w14:textId="292C52AB" w:rsidR="007C1F8E" w:rsidRDefault="007C1F8E" w:rsidP="001C5A55">
      <w:pPr>
        <w:keepNext/>
        <w:spacing w:after="120"/>
        <w:ind w:left="1440" w:firstLine="720"/>
        <w:rPr>
          <w:b/>
          <w:szCs w:val="24"/>
        </w:rPr>
      </w:pPr>
      <w:r>
        <w:rPr>
          <w:b/>
          <w:szCs w:val="24"/>
        </w:rPr>
        <w:t>Asbestos removal control plan</w:t>
      </w:r>
    </w:p>
    <w:p w14:paraId="79412DAA" w14:textId="246C3E32" w:rsidR="007C1F8E" w:rsidRPr="0049016C" w:rsidRDefault="007C1F8E" w:rsidP="001C5A55">
      <w:pPr>
        <w:keepNext/>
        <w:spacing w:after="120"/>
        <w:ind w:left="1440" w:firstLine="720"/>
        <w:rPr>
          <w:b/>
          <w:szCs w:val="24"/>
        </w:rPr>
      </w:pPr>
      <w:r>
        <w:rPr>
          <w:b/>
          <w:szCs w:val="24"/>
        </w:rPr>
        <w:t>Section 313(1), penalty</w:t>
      </w:r>
    </w:p>
    <w:p w14:paraId="141772D6" w14:textId="74FC8970" w:rsidR="00097D54" w:rsidRDefault="00097D54" w:rsidP="002F4E1A">
      <w:pPr>
        <w:spacing w:line="360" w:lineRule="auto"/>
      </w:pPr>
      <w:r>
        <w:t xml:space="preserve">These clauses </w:t>
      </w:r>
      <w:r w:rsidR="007A0D01">
        <w:t xml:space="preserve">correct an error in these </w:t>
      </w:r>
      <w:r w:rsidR="00043FDF">
        <w:t>section</w:t>
      </w:r>
      <w:r w:rsidR="00B37851">
        <w:t>s</w:t>
      </w:r>
      <w:r w:rsidR="001D2874">
        <w:t xml:space="preserve">, pre-existing in the Regulation and unrelated to the purposes of this Bill, </w:t>
      </w:r>
      <w:r w:rsidR="00043FDF">
        <w:t>to ensure th</w:t>
      </w:r>
      <w:r w:rsidR="00851543">
        <w:t xml:space="preserve">at </w:t>
      </w:r>
      <w:r w:rsidR="00013E5F">
        <w:t xml:space="preserve">each provision carries the </w:t>
      </w:r>
      <w:r w:rsidR="00851543">
        <w:t xml:space="preserve">maximum </w:t>
      </w:r>
      <w:r w:rsidR="001D2874">
        <w:t xml:space="preserve">permissible </w:t>
      </w:r>
      <w:r w:rsidR="00851543">
        <w:t>penalty units under a regulation</w:t>
      </w:r>
      <w:r w:rsidR="001D2874">
        <w:t xml:space="preserve">, which is </w:t>
      </w:r>
      <w:r w:rsidR="00851543">
        <w:t>30 units. Currently these provisions each carry a maximum penalty of 40 units.</w:t>
      </w:r>
    </w:p>
    <w:p w14:paraId="199B78A9" w14:textId="61597D8C" w:rsidR="006D1913" w:rsidRDefault="006D1913" w:rsidP="004B4779">
      <w:pPr>
        <w:pStyle w:val="Heading2"/>
        <w:rPr>
          <w:i/>
        </w:rPr>
      </w:pPr>
      <w:r>
        <w:t>Clause 2</w:t>
      </w:r>
      <w:r w:rsidR="00853C1E">
        <w:t>1</w:t>
      </w:r>
      <w:r>
        <w:tab/>
      </w:r>
      <w:r w:rsidR="00853C1E">
        <w:t>Section 337</w:t>
      </w:r>
    </w:p>
    <w:p w14:paraId="40213C71" w14:textId="35B7F109" w:rsidR="006D1913" w:rsidRPr="002E4BD0" w:rsidRDefault="006D1913" w:rsidP="00420252">
      <w:pPr>
        <w:spacing w:line="360" w:lineRule="auto"/>
      </w:pPr>
      <w:r>
        <w:t xml:space="preserve">This clause </w:t>
      </w:r>
      <w:r w:rsidR="002E4BD0">
        <w:t xml:space="preserve">provides that part 3.5 applies to </w:t>
      </w:r>
      <w:r w:rsidR="002E4BD0" w:rsidRPr="002E4BD0">
        <w:t>affected residential premises</w:t>
      </w:r>
      <w:r w:rsidR="002E4BD0">
        <w:t xml:space="preserve"> (a term no longer defined in section 337). </w:t>
      </w:r>
    </w:p>
    <w:p w14:paraId="3B75A778" w14:textId="6D37C351" w:rsidR="007A0D01" w:rsidRPr="0049016C" w:rsidRDefault="006D1913" w:rsidP="007A0D01">
      <w:pPr>
        <w:keepNext/>
        <w:rPr>
          <w:b/>
          <w:szCs w:val="24"/>
        </w:rPr>
      </w:pPr>
      <w:r w:rsidRPr="007A0D01">
        <w:rPr>
          <w:b/>
          <w:bCs/>
        </w:rPr>
        <w:t>Clause</w:t>
      </w:r>
      <w:r w:rsidR="002E4BD0" w:rsidRPr="007A0D01">
        <w:rPr>
          <w:b/>
          <w:bCs/>
        </w:rPr>
        <w:t>s</w:t>
      </w:r>
      <w:r w:rsidRPr="007A0D01">
        <w:rPr>
          <w:b/>
          <w:bCs/>
        </w:rPr>
        <w:t xml:space="preserve"> 2</w:t>
      </w:r>
      <w:r w:rsidR="002E4BD0" w:rsidRPr="007A0D01">
        <w:rPr>
          <w:b/>
          <w:bCs/>
        </w:rPr>
        <w:t>2</w:t>
      </w:r>
      <w:r w:rsidR="008075A3">
        <w:rPr>
          <w:b/>
          <w:bCs/>
        </w:rPr>
        <w:t xml:space="preserve"> to </w:t>
      </w:r>
      <w:r w:rsidR="002E4BD0" w:rsidRPr="007A0D01">
        <w:rPr>
          <w:b/>
          <w:bCs/>
        </w:rPr>
        <w:t>24</w:t>
      </w:r>
      <w:r w:rsidR="002E4BD0">
        <w:t xml:space="preserve"> </w:t>
      </w:r>
      <w:r w:rsidR="001C5A55">
        <w:tab/>
      </w:r>
      <w:r w:rsidR="007A0D01">
        <w:rPr>
          <w:b/>
          <w:szCs w:val="24"/>
        </w:rPr>
        <w:t xml:space="preserve">Section 338, new definition of </w:t>
      </w:r>
      <w:r w:rsidR="007A0D01">
        <w:rPr>
          <w:b/>
          <w:i/>
          <w:iCs/>
          <w:szCs w:val="24"/>
        </w:rPr>
        <w:t>approved display case</w:t>
      </w:r>
      <w:r w:rsidR="007A0D01" w:rsidRPr="0049016C">
        <w:rPr>
          <w:b/>
          <w:szCs w:val="24"/>
        </w:rPr>
        <w:t xml:space="preserve"> </w:t>
      </w:r>
    </w:p>
    <w:p w14:paraId="2BA67A1A" w14:textId="54B8ED98" w:rsidR="007A0D01" w:rsidRPr="007A0D01" w:rsidRDefault="001C5A55" w:rsidP="001C5A55">
      <w:pPr>
        <w:keepNext/>
        <w:spacing w:after="120"/>
        <w:ind w:left="1440" w:firstLine="720"/>
        <w:rPr>
          <w:b/>
          <w:i/>
          <w:iCs/>
          <w:szCs w:val="24"/>
        </w:rPr>
      </w:pPr>
      <w:r>
        <w:rPr>
          <w:b/>
          <w:szCs w:val="24"/>
        </w:rPr>
        <w:t>S</w:t>
      </w:r>
      <w:r w:rsidR="007A0D01">
        <w:rPr>
          <w:b/>
          <w:szCs w:val="24"/>
        </w:rPr>
        <w:t xml:space="preserve">ection 338, definition of </w:t>
      </w:r>
      <w:r w:rsidR="007A0D01">
        <w:rPr>
          <w:b/>
          <w:i/>
          <w:iCs/>
          <w:szCs w:val="24"/>
        </w:rPr>
        <w:t>approved warning sign</w:t>
      </w:r>
    </w:p>
    <w:p w14:paraId="2CA70EF7" w14:textId="20C6BAFA" w:rsidR="007A0D01" w:rsidRDefault="007A0D01" w:rsidP="001C5A55">
      <w:pPr>
        <w:keepNext/>
        <w:spacing w:after="120"/>
        <w:ind w:left="1440" w:firstLine="720"/>
        <w:rPr>
          <w:b/>
          <w:szCs w:val="24"/>
        </w:rPr>
      </w:pPr>
      <w:r>
        <w:rPr>
          <w:b/>
          <w:szCs w:val="24"/>
        </w:rPr>
        <w:t>Section 338, definitions</w:t>
      </w:r>
    </w:p>
    <w:p w14:paraId="6C108FC7" w14:textId="51FA3C67" w:rsidR="006D1913" w:rsidRDefault="002E4BD0" w:rsidP="00420252">
      <w:pPr>
        <w:spacing w:line="360" w:lineRule="auto"/>
      </w:pPr>
      <w:r>
        <w:t xml:space="preserve">These clauses make amendments to the definitions section </w:t>
      </w:r>
      <w:r w:rsidR="007A0D01">
        <w:t>in</w:t>
      </w:r>
      <w:r>
        <w:t xml:space="preserve"> part 3.5 of the Regulation, introducing a definition of </w:t>
      </w:r>
      <w:r w:rsidRPr="002F4E1A">
        <w:t>approved display case</w:t>
      </w:r>
      <w:r>
        <w:t xml:space="preserve">, clarifying the definition of </w:t>
      </w:r>
      <w:r w:rsidRPr="002F4E1A">
        <w:t xml:space="preserve">approved warning sign, </w:t>
      </w:r>
      <w:r>
        <w:t>and removing definitions no longer required.</w:t>
      </w:r>
    </w:p>
    <w:p w14:paraId="559E1E76" w14:textId="6EA2545F" w:rsidR="006D1913" w:rsidRDefault="006D1913" w:rsidP="004B4779">
      <w:pPr>
        <w:pStyle w:val="Heading2"/>
      </w:pPr>
      <w:r>
        <w:t>Clause 25</w:t>
      </w:r>
      <w:r>
        <w:tab/>
        <w:t>Section 339</w:t>
      </w:r>
    </w:p>
    <w:p w14:paraId="5A38495D" w14:textId="094ADD95" w:rsidR="00B30DCA" w:rsidRDefault="006D1913" w:rsidP="00420252">
      <w:pPr>
        <w:spacing w:line="360" w:lineRule="auto"/>
      </w:pPr>
      <w:r>
        <w:t>This clause introduces a requirement that the Minister may approve the way</w:t>
      </w:r>
      <w:r w:rsidR="000960F0">
        <w:t xml:space="preserve">, </w:t>
      </w:r>
      <w:r>
        <w:t xml:space="preserve">and </w:t>
      </w:r>
      <w:r w:rsidR="000960F0">
        <w:t xml:space="preserve">the </w:t>
      </w:r>
      <w:r>
        <w:t>place where</w:t>
      </w:r>
      <w:r w:rsidR="000960F0">
        <w:t>,</w:t>
      </w:r>
      <w:r>
        <w:t xml:space="preserve"> </w:t>
      </w:r>
      <w:r w:rsidR="002F4E1A">
        <w:t>an</w:t>
      </w:r>
      <w:r>
        <w:t xml:space="preserve"> approved display case</w:t>
      </w:r>
      <w:r w:rsidR="000960F0">
        <w:t xml:space="preserve"> (</w:t>
      </w:r>
      <w:r>
        <w:t>as defined by clause 22</w:t>
      </w:r>
      <w:r w:rsidR="000960F0">
        <w:t>)</w:t>
      </w:r>
      <w:r>
        <w:t xml:space="preserve"> </w:t>
      </w:r>
      <w:r w:rsidR="00B30DCA">
        <w:t xml:space="preserve">is displayed, and provides that </w:t>
      </w:r>
      <w:r w:rsidR="00BB4639">
        <w:t xml:space="preserve">the </w:t>
      </w:r>
      <w:r w:rsidR="00B30DCA">
        <w:t xml:space="preserve">approval </w:t>
      </w:r>
      <w:r w:rsidR="00BB4639">
        <w:t xml:space="preserve">of the Minister </w:t>
      </w:r>
      <w:r w:rsidR="00B30DCA">
        <w:t>is a notifiable instrument.</w:t>
      </w:r>
    </w:p>
    <w:p w14:paraId="5A0175ED" w14:textId="64D53579" w:rsidR="00D86733" w:rsidRDefault="00D86733" w:rsidP="00420252">
      <w:pPr>
        <w:spacing w:line="360" w:lineRule="auto"/>
      </w:pPr>
      <w:r>
        <w:t>Allowing the Minister to approve requirements relating to both a warning sign and a display case by way of notifiable instrument allows for flexibility to respond to operational needs</w:t>
      </w:r>
      <w:r w:rsidR="000960F0">
        <w:t>. F</w:t>
      </w:r>
      <w:r w:rsidR="00CE4FCD">
        <w:t xml:space="preserve">or </w:t>
      </w:r>
      <w:r w:rsidR="004E63D8">
        <w:t>example,</w:t>
      </w:r>
      <w:r w:rsidR="00CE4FCD">
        <w:t xml:space="preserve"> if a particular location is considered inappropriate or impractical, the Minister may </w:t>
      </w:r>
      <w:r w:rsidR="003C4E15">
        <w:t>approve the way, and the place where,</w:t>
      </w:r>
      <w:r w:rsidR="00CE4FCD">
        <w:t xml:space="preserve"> the display case is to be located.</w:t>
      </w:r>
    </w:p>
    <w:p w14:paraId="1D3179B4" w14:textId="73882995" w:rsidR="00E97E8A" w:rsidRPr="0049016C" w:rsidRDefault="00E97E8A" w:rsidP="00E97E8A">
      <w:pPr>
        <w:keepNext/>
        <w:rPr>
          <w:b/>
          <w:szCs w:val="24"/>
        </w:rPr>
      </w:pPr>
      <w:r w:rsidRPr="0049016C">
        <w:rPr>
          <w:b/>
          <w:szCs w:val="24"/>
        </w:rPr>
        <w:lastRenderedPageBreak/>
        <w:t xml:space="preserve">Clause </w:t>
      </w:r>
      <w:r>
        <w:rPr>
          <w:b/>
          <w:szCs w:val="24"/>
        </w:rPr>
        <w:t>26</w:t>
      </w:r>
      <w:r w:rsidRPr="0049016C">
        <w:rPr>
          <w:b/>
          <w:szCs w:val="24"/>
        </w:rPr>
        <w:tab/>
      </w:r>
      <w:r>
        <w:rPr>
          <w:b/>
          <w:szCs w:val="24"/>
        </w:rPr>
        <w:t>Offence- asbestos warning signs</w:t>
      </w:r>
      <w:r w:rsidRPr="0049016C">
        <w:rPr>
          <w:b/>
          <w:szCs w:val="24"/>
        </w:rPr>
        <w:t xml:space="preserve"> </w:t>
      </w:r>
    </w:p>
    <w:p w14:paraId="0E16BB0C" w14:textId="03F8FC5A" w:rsidR="00E97E8A" w:rsidRPr="0049016C" w:rsidRDefault="00E97E8A" w:rsidP="00E97E8A">
      <w:pPr>
        <w:keepNext/>
        <w:spacing w:after="120"/>
        <w:ind w:left="720" w:firstLine="720"/>
        <w:rPr>
          <w:b/>
          <w:szCs w:val="24"/>
        </w:rPr>
      </w:pPr>
      <w:r>
        <w:rPr>
          <w:b/>
          <w:szCs w:val="24"/>
        </w:rPr>
        <w:t>Section 340(1)(b)</w:t>
      </w:r>
    </w:p>
    <w:p w14:paraId="0D92C79A" w14:textId="08D33515" w:rsidR="00D86733" w:rsidRDefault="00B30DCA" w:rsidP="00420252">
      <w:pPr>
        <w:spacing w:line="360" w:lineRule="auto"/>
      </w:pPr>
      <w:r>
        <w:t xml:space="preserve">This clause </w:t>
      </w:r>
      <w:r w:rsidR="003C4E15">
        <w:t xml:space="preserve">provides </w:t>
      </w:r>
      <w:r>
        <w:t xml:space="preserve">that it is an offence to </w:t>
      </w:r>
      <w:r w:rsidR="00E30769">
        <w:t xml:space="preserve">fail to </w:t>
      </w:r>
      <w:r>
        <w:t xml:space="preserve">ensure that an approved warning sign is displayed in the way and </w:t>
      </w:r>
      <w:r w:rsidR="003C4E15">
        <w:t xml:space="preserve">at </w:t>
      </w:r>
      <w:r>
        <w:t xml:space="preserve">the places stated by an approval </w:t>
      </w:r>
      <w:r w:rsidR="00E30769">
        <w:t xml:space="preserve">made by the Minister </w:t>
      </w:r>
      <w:r>
        <w:t>under section</w:t>
      </w:r>
      <w:r w:rsidR="004E63D8">
        <w:t> </w:t>
      </w:r>
      <w:r>
        <w:t xml:space="preserve">339. </w:t>
      </w:r>
      <w:r w:rsidR="004E63D8">
        <w:t xml:space="preserve">This </w:t>
      </w:r>
      <w:r w:rsidR="002F4E1A">
        <w:t>clause expands</w:t>
      </w:r>
      <w:r w:rsidR="004E63D8">
        <w:t xml:space="preserve"> </w:t>
      </w:r>
      <w:r w:rsidR="00F51DF5">
        <w:t>on the previous</w:t>
      </w:r>
      <w:r w:rsidR="00BF0267">
        <w:t xml:space="preserve"> offence</w:t>
      </w:r>
      <w:r w:rsidR="00F51DF5">
        <w:t xml:space="preserve"> provision</w:t>
      </w:r>
      <w:r w:rsidR="00BF0267">
        <w:t>,</w:t>
      </w:r>
      <w:r w:rsidR="00F51DF5">
        <w:t xml:space="preserve"> to clarify that the approved </w:t>
      </w:r>
      <w:r w:rsidR="00F51DF5" w:rsidRPr="00BF0267">
        <w:t>warning sign must</w:t>
      </w:r>
      <w:r w:rsidR="00BF0267" w:rsidRPr="00BF0267">
        <w:t xml:space="preserve"> be displayed according to the approval stated in section 339.</w:t>
      </w:r>
      <w:r w:rsidR="00F51DF5" w:rsidRPr="00BF0267">
        <w:t xml:space="preserve"> </w:t>
      </w:r>
      <w:r w:rsidR="00E30769">
        <w:t>Th</w:t>
      </w:r>
      <w:r w:rsidR="00F14ACE">
        <w:t>e</w:t>
      </w:r>
      <w:r w:rsidR="00F51DF5">
        <w:t>re is no amendment to the maximum</w:t>
      </w:r>
      <w:r w:rsidR="00F159F1">
        <w:t xml:space="preserve"> penalty</w:t>
      </w:r>
      <w:r w:rsidR="00E30769">
        <w:t xml:space="preserve"> (30 penalty units)</w:t>
      </w:r>
      <w:r w:rsidR="00F14ACE">
        <w:t xml:space="preserve"> </w:t>
      </w:r>
      <w:r w:rsidR="00F51DF5">
        <w:t xml:space="preserve">applying to the section. </w:t>
      </w:r>
      <w:r w:rsidR="00F159F1">
        <w:t xml:space="preserve"> </w:t>
      </w:r>
    </w:p>
    <w:p w14:paraId="0C0485EF" w14:textId="3212FD24" w:rsidR="00F14ACE" w:rsidRDefault="00F14ACE" w:rsidP="004B4779">
      <w:pPr>
        <w:pStyle w:val="Heading2"/>
      </w:pPr>
      <w:r>
        <w:t>Clause 27</w:t>
      </w:r>
      <w:r>
        <w:tab/>
        <w:t>Section</w:t>
      </w:r>
      <w:r w:rsidR="00F159F1">
        <w:t>s 341</w:t>
      </w:r>
      <w:r w:rsidR="00AB5313">
        <w:t xml:space="preserve"> and</w:t>
      </w:r>
      <w:r w:rsidR="00851788">
        <w:t xml:space="preserve"> </w:t>
      </w:r>
      <w:r w:rsidR="00F159F1">
        <w:t>342</w:t>
      </w:r>
      <w:r w:rsidR="00851788">
        <w:t xml:space="preserve"> </w:t>
      </w:r>
    </w:p>
    <w:p w14:paraId="3F38E04B" w14:textId="66CE817C" w:rsidR="00F14ACE" w:rsidRDefault="00851788" w:rsidP="00420252">
      <w:pPr>
        <w:spacing w:line="360" w:lineRule="auto"/>
      </w:pPr>
      <w:r>
        <w:t>This clause introduces a requirement into section 341</w:t>
      </w:r>
      <w:r w:rsidR="00F14ACE">
        <w:t xml:space="preserve"> that an asbestos contamination report identify the location, type and condition of asbestos contamination in the living area of</w:t>
      </w:r>
      <w:r w:rsidR="00326389">
        <w:t xml:space="preserve"> each affected building</w:t>
      </w:r>
      <w:r w:rsidR="00F14ACE">
        <w:t xml:space="preserve"> </w:t>
      </w:r>
      <w:r w:rsidR="00326389">
        <w:t xml:space="preserve">at the premises. </w:t>
      </w:r>
      <w:r w:rsidR="00DA7844">
        <w:t xml:space="preserve">Previously there was no requirement for the contamination to be identified at each affected building. </w:t>
      </w:r>
      <w:r w:rsidR="000B719F">
        <w:t xml:space="preserve"> </w:t>
      </w:r>
    </w:p>
    <w:p w14:paraId="432AC88F" w14:textId="16EF0FBC" w:rsidR="00326389" w:rsidRDefault="00326389" w:rsidP="00420252">
      <w:pPr>
        <w:spacing w:line="360" w:lineRule="auto"/>
      </w:pPr>
      <w:r>
        <w:t xml:space="preserve">This clause </w:t>
      </w:r>
      <w:r w:rsidR="00851788">
        <w:t xml:space="preserve">also </w:t>
      </w:r>
      <w:r>
        <w:t xml:space="preserve">introduces </w:t>
      </w:r>
      <w:r w:rsidR="00D86733">
        <w:t>a requirement</w:t>
      </w:r>
      <w:r>
        <w:t xml:space="preserve"> </w:t>
      </w:r>
      <w:r w:rsidR="00851788">
        <w:t xml:space="preserve">into section 342 </w:t>
      </w:r>
      <w:r>
        <w:t xml:space="preserve">that </w:t>
      </w:r>
      <w:r w:rsidR="00D86733">
        <w:t xml:space="preserve">the owner of an affected residential premises must ensure that an approved display case, containing a </w:t>
      </w:r>
      <w:r w:rsidR="000B719F">
        <w:t xml:space="preserve">readable </w:t>
      </w:r>
      <w:r w:rsidR="00F45319">
        <w:t>copy</w:t>
      </w:r>
      <w:r w:rsidR="000B719F">
        <w:t xml:space="preserve"> of the </w:t>
      </w:r>
      <w:r w:rsidR="00D86733">
        <w:t xml:space="preserve">current asbestos contamination report, is displayed in accordance with an approval given under s339(2). </w:t>
      </w:r>
      <w:r w:rsidR="000B719F">
        <w:t>The clause also allows for the removal of</w:t>
      </w:r>
      <w:r>
        <w:t xml:space="preserve"> personal information </w:t>
      </w:r>
      <w:r w:rsidR="00865DAA">
        <w:t xml:space="preserve">(such as names and photos of personal property) </w:t>
      </w:r>
      <w:r>
        <w:t>from a</w:t>
      </w:r>
      <w:r w:rsidR="000B719F">
        <w:t xml:space="preserve"> copy of an</w:t>
      </w:r>
      <w:r>
        <w:t xml:space="preserve"> asbestos contamination report before </w:t>
      </w:r>
      <w:r w:rsidR="000B719F">
        <w:t xml:space="preserve">it is provided </w:t>
      </w:r>
      <w:r>
        <w:t xml:space="preserve">to the </w:t>
      </w:r>
      <w:r w:rsidR="000B719F">
        <w:t>occupier</w:t>
      </w:r>
      <w:r>
        <w:t xml:space="preserve"> of affected residential premises</w:t>
      </w:r>
      <w:r w:rsidR="000B719F">
        <w:t xml:space="preserve"> or before it is displayed.</w:t>
      </w:r>
      <w:r>
        <w:t xml:space="preserve"> </w:t>
      </w:r>
    </w:p>
    <w:p w14:paraId="5096BC13" w14:textId="385D656E" w:rsidR="00985E05" w:rsidRPr="00985E05" w:rsidRDefault="000B719F" w:rsidP="00420252">
      <w:pPr>
        <w:spacing w:line="360" w:lineRule="auto"/>
        <w:rPr>
          <w:i/>
          <w:iCs/>
        </w:rPr>
      </w:pPr>
      <w:r>
        <w:t>S</w:t>
      </w:r>
      <w:r w:rsidR="00A13375">
        <w:t xml:space="preserve">ection 342A </w:t>
      </w:r>
      <w:r w:rsidR="00074BCF">
        <w:t>expands existing</w:t>
      </w:r>
      <w:r w:rsidR="00A52749" w:rsidRPr="00985E05">
        <w:t xml:space="preserve"> requirements</w:t>
      </w:r>
      <w:r w:rsidR="00A52749">
        <w:t xml:space="preserve"> to provide that person</w:t>
      </w:r>
      <w:r w:rsidR="00074BCF">
        <w:t>s</w:t>
      </w:r>
      <w:r w:rsidR="00A52749">
        <w:t xml:space="preserve"> at affected residential premises must not tamper, or attempt to tamper, with an approved warning sign or an approve</w:t>
      </w:r>
      <w:r w:rsidR="00A13375">
        <w:t>d</w:t>
      </w:r>
      <w:r w:rsidR="00A52749">
        <w:t xml:space="preserve"> display case, or a current contamination report in that case. Enforcement of this provision will be </w:t>
      </w:r>
      <w:r w:rsidR="00851788">
        <w:t>by way</w:t>
      </w:r>
      <w:r w:rsidR="00A52749">
        <w:t xml:space="preserve"> of </w:t>
      </w:r>
      <w:r w:rsidR="00865DAA">
        <w:t xml:space="preserve">the </w:t>
      </w:r>
      <w:r w:rsidR="00A52749">
        <w:t>improvement notice</w:t>
      </w:r>
      <w:r w:rsidR="00865DAA">
        <w:t xml:space="preserve"> scheme</w:t>
      </w:r>
      <w:r w:rsidR="00A52749">
        <w:t xml:space="preserve">, provided for in part 6.3 of the </w:t>
      </w:r>
      <w:r w:rsidR="00A52749">
        <w:rPr>
          <w:i/>
          <w:iCs/>
        </w:rPr>
        <w:t>Dangerous Substances Act 2004.</w:t>
      </w:r>
      <w:r w:rsidR="00F14D05">
        <w:t xml:space="preserve"> </w:t>
      </w:r>
      <w:r w:rsidR="00A52749">
        <w:rPr>
          <w:i/>
          <w:iCs/>
        </w:rPr>
        <w:t xml:space="preserve"> </w:t>
      </w:r>
    </w:p>
    <w:p w14:paraId="133BC5B4" w14:textId="7939DBFD" w:rsidR="00851788" w:rsidRPr="00326389" w:rsidRDefault="00851788" w:rsidP="00851788">
      <w:pPr>
        <w:spacing w:line="360" w:lineRule="auto"/>
      </w:pPr>
      <w:r>
        <w:t xml:space="preserve">This amendment is </w:t>
      </w:r>
      <w:r w:rsidR="00865DAA">
        <w:t>one of several amendments together</w:t>
      </w:r>
      <w:r>
        <w:t xml:space="preserve"> intended to ensure that asbestos contamination reports are visible and accessible in a prominent location at an affected residential premise</w:t>
      </w:r>
      <w:r w:rsidR="00865DAA">
        <w:t>s</w:t>
      </w:r>
      <w:r>
        <w:t>, to allow visitors to make an informed decision about their activity at the premise</w:t>
      </w:r>
      <w:r w:rsidR="00865DAA">
        <w:t>s</w:t>
      </w:r>
      <w:r>
        <w:t>, while also protecting privacy.</w:t>
      </w:r>
    </w:p>
    <w:p w14:paraId="3918C357" w14:textId="14A591E9" w:rsidR="00985E05" w:rsidRDefault="00985E05" w:rsidP="004B4779">
      <w:pPr>
        <w:pStyle w:val="Heading2"/>
      </w:pPr>
      <w:r>
        <w:t>Clause</w:t>
      </w:r>
      <w:r w:rsidR="006875DA">
        <w:t>s</w:t>
      </w:r>
      <w:r>
        <w:t xml:space="preserve"> 2</w:t>
      </w:r>
      <w:r w:rsidR="00851788">
        <w:t>8</w:t>
      </w:r>
      <w:r w:rsidR="006875DA">
        <w:t xml:space="preserve"> and 29</w:t>
      </w:r>
      <w:r w:rsidRPr="00985E05">
        <w:tab/>
      </w:r>
      <w:r w:rsidR="00D57666">
        <w:t xml:space="preserve">Schedule </w:t>
      </w:r>
      <w:r w:rsidR="006875DA">
        <w:t>5</w:t>
      </w:r>
      <w:r w:rsidR="00D57666">
        <w:t>, part 5.</w:t>
      </w:r>
      <w:r w:rsidR="00074BCF">
        <w:t>1</w:t>
      </w:r>
      <w:r w:rsidR="00D57666">
        <w:t xml:space="preserve"> heading</w:t>
      </w:r>
    </w:p>
    <w:p w14:paraId="7830CE8C" w14:textId="7903D869" w:rsidR="006875DA" w:rsidRPr="00F8584C" w:rsidRDefault="00BA334F" w:rsidP="001C5A55">
      <w:pPr>
        <w:ind w:left="1440" w:firstLine="720"/>
      </w:pPr>
      <w:r>
        <w:rPr>
          <w:b/>
          <w:bCs/>
        </w:rPr>
        <w:t>Schedule 5, part 5.</w:t>
      </w:r>
      <w:r w:rsidR="00074BCF">
        <w:rPr>
          <w:b/>
          <w:bCs/>
        </w:rPr>
        <w:t>1</w:t>
      </w:r>
      <w:r>
        <w:rPr>
          <w:b/>
          <w:bCs/>
        </w:rPr>
        <w:t xml:space="preserve">, new item 1A </w:t>
      </w:r>
    </w:p>
    <w:p w14:paraId="672B2AA8" w14:textId="77777777" w:rsidR="006875DA" w:rsidRPr="00F8584C" w:rsidRDefault="006875DA" w:rsidP="00074BCF"/>
    <w:p w14:paraId="2A2ABF0D" w14:textId="16BF8598" w:rsidR="00A440BB" w:rsidRDefault="00985E05" w:rsidP="00420252">
      <w:pPr>
        <w:spacing w:line="360" w:lineRule="auto"/>
      </w:pPr>
      <w:r>
        <w:t>T</w:t>
      </w:r>
      <w:r w:rsidR="006875DA">
        <w:t>hese clause</w:t>
      </w:r>
      <w:r w:rsidR="00074BCF">
        <w:t>s</w:t>
      </w:r>
      <w:r w:rsidR="006875DA">
        <w:t xml:space="preserve"> provide</w:t>
      </w:r>
      <w:r w:rsidR="003173D3">
        <w:t xml:space="preserve"> that </w:t>
      </w:r>
      <w:r w:rsidR="00A13375">
        <w:t>decisions made</w:t>
      </w:r>
      <w:r w:rsidR="003173D3">
        <w:t xml:space="preserve"> under</w:t>
      </w:r>
      <w:r w:rsidR="00A13375">
        <w:t xml:space="preserve"> </w:t>
      </w:r>
      <w:r w:rsidR="003173D3">
        <w:t>section</w:t>
      </w:r>
      <w:r w:rsidR="00A13375">
        <w:t xml:space="preserve"> 47T(b) to refuse to allow a person to occupy affected residential premises subject to an occupancy prohibition, </w:t>
      </w:r>
      <w:r w:rsidR="00074BCF">
        <w:t xml:space="preserve">is a </w:t>
      </w:r>
      <w:r w:rsidR="003173D3">
        <w:t>reviewable decision.</w:t>
      </w:r>
      <w:r>
        <w:t xml:space="preserve"> </w:t>
      </w:r>
      <w:r w:rsidR="008076A5">
        <w:t>As this is a decision made by the Minister (or his or her delegate), this decision is reviewable</w:t>
      </w:r>
      <w:r w:rsidR="003C4E15">
        <w:t xml:space="preserve"> by the ACT Civil and Administrative Tribunal</w:t>
      </w:r>
      <w:r w:rsidR="00151B0C">
        <w:t>.</w:t>
      </w:r>
    </w:p>
    <w:p w14:paraId="410568B4" w14:textId="5B0EBBA2" w:rsidR="00074BCF" w:rsidRDefault="00074BCF" w:rsidP="00074BCF">
      <w:pPr>
        <w:pStyle w:val="Heading2"/>
      </w:pPr>
      <w:r>
        <w:t>Clause 30 and 31</w:t>
      </w:r>
      <w:r w:rsidRPr="00985E05">
        <w:tab/>
      </w:r>
      <w:r>
        <w:t>Schedule 5, part 5.2 heading</w:t>
      </w:r>
    </w:p>
    <w:p w14:paraId="078EA8A5" w14:textId="02830FDA" w:rsidR="00074BCF" w:rsidRPr="00F8584C" w:rsidRDefault="00074BCF" w:rsidP="001C5A55">
      <w:pPr>
        <w:ind w:left="1440" w:firstLine="720"/>
      </w:pPr>
      <w:r>
        <w:rPr>
          <w:b/>
          <w:bCs/>
        </w:rPr>
        <w:t>Schedule 5, part 5.2, new item 1A</w:t>
      </w:r>
    </w:p>
    <w:p w14:paraId="06E880F6" w14:textId="77777777" w:rsidR="00074BCF" w:rsidRPr="00F8584C" w:rsidRDefault="00074BCF" w:rsidP="00074BCF"/>
    <w:p w14:paraId="30A18F5B" w14:textId="782051E5" w:rsidR="00074BCF" w:rsidRPr="00985E05" w:rsidRDefault="00074BCF" w:rsidP="00420252">
      <w:pPr>
        <w:spacing w:line="360" w:lineRule="auto"/>
      </w:pPr>
      <w:r>
        <w:t>These clauses provide that decisions made under section 47J (1)(a)(i) by a</w:t>
      </w:r>
      <w:r w:rsidR="008076A5">
        <w:t xml:space="preserve">n </w:t>
      </w:r>
      <w:r>
        <w:t>asbestos assessor to provide a validity period for a contamination report as less than 2 years is an internally reviewable decision</w:t>
      </w:r>
      <w:r w:rsidR="00523208">
        <w:t xml:space="preserve">.  </w:t>
      </w:r>
      <w:r>
        <w:t xml:space="preserve"> </w:t>
      </w:r>
    </w:p>
    <w:p w14:paraId="3DB608BF" w14:textId="3ACDB9C6" w:rsidR="00985E05" w:rsidRDefault="00985E05" w:rsidP="004B4779">
      <w:pPr>
        <w:pStyle w:val="Heading2"/>
      </w:pPr>
      <w:r>
        <w:t>Clause</w:t>
      </w:r>
      <w:r w:rsidR="003173D3">
        <w:t>s 32</w:t>
      </w:r>
      <w:r w:rsidR="002548FD">
        <w:t xml:space="preserve"> </w:t>
      </w:r>
      <w:r w:rsidR="008F1BD1">
        <w:t>to</w:t>
      </w:r>
      <w:r w:rsidR="00F81527">
        <w:t xml:space="preserve"> 34</w:t>
      </w:r>
      <w:r w:rsidR="00F81527">
        <w:tab/>
      </w:r>
      <w:r w:rsidRPr="00985E05">
        <w:tab/>
      </w:r>
      <w:r>
        <w:t xml:space="preserve">Dictionary, </w:t>
      </w:r>
      <w:r w:rsidR="00BA334F">
        <w:t>note 3</w:t>
      </w:r>
    </w:p>
    <w:p w14:paraId="45DC92EA" w14:textId="4F3E7FF3" w:rsidR="0014298A" w:rsidRDefault="0014298A" w:rsidP="001C5A55">
      <w:pPr>
        <w:ind w:left="2160" w:firstLine="720"/>
        <w:rPr>
          <w:b/>
          <w:bCs/>
          <w:i/>
          <w:iCs/>
        </w:rPr>
      </w:pPr>
      <w:r>
        <w:rPr>
          <w:b/>
          <w:bCs/>
        </w:rPr>
        <w:t xml:space="preserve">Dictionary, new definition of </w:t>
      </w:r>
      <w:r>
        <w:rPr>
          <w:b/>
          <w:bCs/>
          <w:i/>
          <w:iCs/>
        </w:rPr>
        <w:t>approved display case</w:t>
      </w:r>
    </w:p>
    <w:p w14:paraId="5150431F" w14:textId="041DB3B0" w:rsidR="0014298A" w:rsidRPr="00F8584C" w:rsidRDefault="0014298A" w:rsidP="001C5A55">
      <w:pPr>
        <w:ind w:left="2160" w:firstLine="720"/>
      </w:pPr>
      <w:r>
        <w:rPr>
          <w:b/>
          <w:bCs/>
        </w:rPr>
        <w:t>Dictionary</w:t>
      </w:r>
    </w:p>
    <w:p w14:paraId="1D64A927" w14:textId="77777777" w:rsidR="00BA334F" w:rsidRPr="00F81527" w:rsidRDefault="00BA334F" w:rsidP="00F81527"/>
    <w:p w14:paraId="0ED9C30E" w14:textId="03837464" w:rsidR="003173D3" w:rsidRDefault="00F81527" w:rsidP="00420252">
      <w:pPr>
        <w:spacing w:line="360" w:lineRule="auto"/>
      </w:pPr>
      <w:r>
        <w:t>These clauses</w:t>
      </w:r>
      <w:r w:rsidR="003173D3">
        <w:t xml:space="preserve"> </w:t>
      </w:r>
      <w:r>
        <w:t>clarify</w:t>
      </w:r>
      <w:r w:rsidR="003173D3">
        <w:t xml:space="preserve"> </w:t>
      </w:r>
      <w:r w:rsidR="00523208">
        <w:t>the definitions of several terms</w:t>
      </w:r>
      <w:r w:rsidR="003173D3">
        <w:t xml:space="preserve"> in the Dictionary section, which are </w:t>
      </w:r>
      <w:r w:rsidR="00523208">
        <w:t>now defined</w:t>
      </w:r>
      <w:r w:rsidR="003173D3">
        <w:t xml:space="preserve"> </w:t>
      </w:r>
      <w:r w:rsidR="000540FE">
        <w:t xml:space="preserve">by </w:t>
      </w:r>
      <w:r w:rsidR="00523208">
        <w:t xml:space="preserve">provisions introduced by </w:t>
      </w:r>
      <w:r w:rsidR="000540FE">
        <w:t>th</w:t>
      </w:r>
      <w:r w:rsidR="00523208">
        <w:t>is</w:t>
      </w:r>
      <w:r w:rsidR="000540FE">
        <w:t xml:space="preserve"> Bill.</w:t>
      </w:r>
    </w:p>
    <w:p w14:paraId="65CE08F9" w14:textId="56F97D01" w:rsidR="00985E05" w:rsidRPr="00985E05" w:rsidRDefault="00985E05" w:rsidP="00420252">
      <w:pPr>
        <w:keepNext/>
        <w:autoSpaceDE w:val="0"/>
        <w:autoSpaceDN w:val="0"/>
        <w:adjustRightInd w:val="0"/>
        <w:spacing w:before="240" w:after="240" w:line="360" w:lineRule="auto"/>
        <w:rPr>
          <w:b/>
          <w:sz w:val="36"/>
          <w:szCs w:val="36"/>
        </w:rPr>
      </w:pPr>
      <w:r w:rsidRPr="00985E05">
        <w:rPr>
          <w:b/>
          <w:sz w:val="36"/>
          <w:szCs w:val="36"/>
        </w:rPr>
        <w:t xml:space="preserve">Part </w:t>
      </w:r>
      <w:r w:rsidR="00A440BB">
        <w:rPr>
          <w:b/>
          <w:sz w:val="36"/>
          <w:szCs w:val="36"/>
        </w:rPr>
        <w:t>5</w:t>
      </w:r>
      <w:r w:rsidRPr="00985E05">
        <w:rPr>
          <w:b/>
          <w:sz w:val="36"/>
          <w:szCs w:val="36"/>
        </w:rPr>
        <w:t xml:space="preserve"> </w:t>
      </w:r>
      <w:r w:rsidRPr="00985E05">
        <w:rPr>
          <w:b/>
          <w:sz w:val="36"/>
          <w:szCs w:val="36"/>
        </w:rPr>
        <w:tab/>
        <w:t>Planning and Development Act 2007</w:t>
      </w:r>
    </w:p>
    <w:p w14:paraId="3025815B" w14:textId="78D23336" w:rsidR="005D6754" w:rsidRPr="0049016C" w:rsidRDefault="005D6754" w:rsidP="005D6754">
      <w:pPr>
        <w:keepNext/>
        <w:rPr>
          <w:b/>
          <w:szCs w:val="24"/>
        </w:rPr>
      </w:pPr>
      <w:r w:rsidRPr="0049016C">
        <w:rPr>
          <w:b/>
          <w:szCs w:val="24"/>
        </w:rPr>
        <w:t xml:space="preserve">Clause </w:t>
      </w:r>
      <w:r>
        <w:rPr>
          <w:b/>
          <w:szCs w:val="24"/>
        </w:rPr>
        <w:t>3</w:t>
      </w:r>
      <w:r w:rsidR="00A96C75">
        <w:rPr>
          <w:b/>
          <w:szCs w:val="24"/>
        </w:rPr>
        <w:t>5</w:t>
      </w:r>
      <w:r w:rsidRPr="0049016C">
        <w:rPr>
          <w:b/>
          <w:szCs w:val="24"/>
        </w:rPr>
        <w:tab/>
      </w:r>
      <w:r>
        <w:rPr>
          <w:b/>
          <w:szCs w:val="24"/>
        </w:rPr>
        <w:t>Deciding development applications</w:t>
      </w:r>
      <w:r w:rsidRPr="0049016C">
        <w:rPr>
          <w:b/>
          <w:szCs w:val="24"/>
        </w:rPr>
        <w:t xml:space="preserve"> </w:t>
      </w:r>
    </w:p>
    <w:p w14:paraId="29E047EB" w14:textId="4B238A67" w:rsidR="005D6754" w:rsidRPr="0049016C" w:rsidRDefault="005D6754" w:rsidP="005D6754">
      <w:pPr>
        <w:keepNext/>
        <w:spacing w:after="120"/>
        <w:ind w:left="720" w:firstLine="720"/>
        <w:rPr>
          <w:b/>
          <w:szCs w:val="24"/>
        </w:rPr>
      </w:pPr>
      <w:r>
        <w:rPr>
          <w:b/>
          <w:szCs w:val="24"/>
        </w:rPr>
        <w:t>Section 162(3)</w:t>
      </w:r>
    </w:p>
    <w:p w14:paraId="3B7C6B85" w14:textId="0AF2BF85" w:rsidR="009E598E" w:rsidRDefault="009E598E" w:rsidP="00420252">
      <w:pPr>
        <w:spacing w:line="360" w:lineRule="auto"/>
      </w:pPr>
      <w:r>
        <w:t xml:space="preserve">This clause introduces a requirement that </w:t>
      </w:r>
      <w:r w:rsidR="00A96C75">
        <w:t xml:space="preserve">the </w:t>
      </w:r>
      <w:r>
        <w:t xml:space="preserve">planning and land authority </w:t>
      </w:r>
      <w:r w:rsidR="00A96C75">
        <w:t xml:space="preserve">or the Minister </w:t>
      </w:r>
      <w:r>
        <w:t>must refuse a development application for a development involving affected residential premises</w:t>
      </w:r>
      <w:r w:rsidR="00A96C75">
        <w:t>, unless the application includes the demolition of each affected building and remediation of the premises</w:t>
      </w:r>
      <w:r w:rsidR="002F3769">
        <w:t xml:space="preserve"> (remediation development)</w:t>
      </w:r>
      <w:r>
        <w:t>.</w:t>
      </w:r>
      <w:r w:rsidR="00FF2271">
        <w:t xml:space="preserve"> </w:t>
      </w:r>
    </w:p>
    <w:p w14:paraId="28711885" w14:textId="1D8F9713" w:rsidR="009E598E" w:rsidRPr="00876AFE" w:rsidRDefault="00876AFE" w:rsidP="00420252">
      <w:pPr>
        <w:spacing w:line="360" w:lineRule="auto"/>
      </w:pPr>
      <w:r>
        <w:t xml:space="preserve">An exemption is introduced into the </w:t>
      </w:r>
      <w:r>
        <w:rPr>
          <w:i/>
          <w:iCs/>
        </w:rPr>
        <w:t xml:space="preserve">Planning and Development Regulation 2008 </w:t>
      </w:r>
      <w:r>
        <w:t xml:space="preserve">with this Bill to make </w:t>
      </w:r>
      <w:r w:rsidR="002232AB">
        <w:t>works essential for health, safety or reasonable living conditions</w:t>
      </w:r>
      <w:r>
        <w:t xml:space="preserve"> exempt from requiring development approval, and to make clear that currently existing exemptions regarding developments involving demolition apply. </w:t>
      </w:r>
    </w:p>
    <w:p w14:paraId="417EFB64" w14:textId="1E03FB5F" w:rsidR="009E598E" w:rsidRDefault="009E598E" w:rsidP="00420252">
      <w:pPr>
        <w:spacing w:line="360" w:lineRule="auto"/>
      </w:pPr>
      <w:r w:rsidRPr="00A96C75">
        <w:lastRenderedPageBreak/>
        <w:t xml:space="preserve">A decision under </w:t>
      </w:r>
      <w:r w:rsidR="00BB7F01" w:rsidRPr="00A96C75">
        <w:t>section 162(3) is a reviewable decision.</w:t>
      </w:r>
    </w:p>
    <w:p w14:paraId="2C0B28C5" w14:textId="07CF4286" w:rsidR="005D6754" w:rsidRPr="0049016C" w:rsidRDefault="005D6754" w:rsidP="005D6754">
      <w:pPr>
        <w:keepNext/>
        <w:rPr>
          <w:b/>
          <w:szCs w:val="24"/>
        </w:rPr>
      </w:pPr>
      <w:bookmarkStart w:id="2" w:name="OLE_LINK2"/>
      <w:r w:rsidRPr="0049016C">
        <w:rPr>
          <w:b/>
          <w:szCs w:val="24"/>
        </w:rPr>
        <w:t>Clause</w:t>
      </w:r>
      <w:r>
        <w:rPr>
          <w:b/>
          <w:szCs w:val="24"/>
        </w:rPr>
        <w:t>s</w:t>
      </w:r>
      <w:r w:rsidRPr="0049016C">
        <w:rPr>
          <w:b/>
          <w:szCs w:val="24"/>
        </w:rPr>
        <w:t xml:space="preserve"> </w:t>
      </w:r>
      <w:r>
        <w:rPr>
          <w:b/>
          <w:szCs w:val="24"/>
        </w:rPr>
        <w:t>3</w:t>
      </w:r>
      <w:r w:rsidR="00A96C75">
        <w:rPr>
          <w:b/>
          <w:szCs w:val="24"/>
        </w:rPr>
        <w:t>6 and 37</w:t>
      </w:r>
      <w:bookmarkEnd w:id="2"/>
      <w:r w:rsidR="00A96C75">
        <w:rPr>
          <w:b/>
          <w:szCs w:val="24"/>
        </w:rPr>
        <w:tab/>
      </w:r>
      <w:r>
        <w:rPr>
          <w:b/>
          <w:szCs w:val="24"/>
        </w:rPr>
        <w:t>Section 162(7), new definition</w:t>
      </w:r>
      <w:r w:rsidR="00A96C75">
        <w:rPr>
          <w:b/>
          <w:szCs w:val="24"/>
        </w:rPr>
        <w:t>s</w:t>
      </w:r>
    </w:p>
    <w:p w14:paraId="2761DBD0" w14:textId="2D19BB98" w:rsidR="005D6754" w:rsidRPr="005D6754" w:rsidRDefault="005D6754" w:rsidP="001C5A55">
      <w:pPr>
        <w:keepNext/>
        <w:spacing w:after="120"/>
        <w:ind w:left="1440" w:firstLine="720"/>
        <w:rPr>
          <w:b/>
          <w:i/>
          <w:iCs/>
          <w:szCs w:val="24"/>
        </w:rPr>
      </w:pPr>
      <w:r w:rsidRPr="005D6754">
        <w:rPr>
          <w:b/>
          <w:szCs w:val="24"/>
        </w:rPr>
        <w:t xml:space="preserve">Dictionary, definition of </w:t>
      </w:r>
      <w:r w:rsidRPr="005D6754">
        <w:rPr>
          <w:b/>
          <w:i/>
          <w:iCs/>
          <w:szCs w:val="24"/>
        </w:rPr>
        <w:t>affected residential premises register</w:t>
      </w:r>
    </w:p>
    <w:p w14:paraId="602B0B0B" w14:textId="39CF4B4B" w:rsidR="00713581" w:rsidRDefault="00A96C75" w:rsidP="00680A2D">
      <w:pPr>
        <w:spacing w:line="360" w:lineRule="auto"/>
      </w:pPr>
      <w:r>
        <w:t xml:space="preserve">These clauses clarify </w:t>
      </w:r>
      <w:r w:rsidR="00484E52">
        <w:t xml:space="preserve">the definitions of </w:t>
      </w:r>
      <w:r>
        <w:rPr>
          <w:i/>
          <w:iCs/>
        </w:rPr>
        <w:t xml:space="preserve">affected building, </w:t>
      </w:r>
      <w:r w:rsidR="00484E52">
        <w:rPr>
          <w:i/>
          <w:iCs/>
        </w:rPr>
        <w:t xml:space="preserve">affected residential premises </w:t>
      </w:r>
      <w:r w:rsidR="00484E52">
        <w:t xml:space="preserve">and </w:t>
      </w:r>
      <w:r w:rsidR="00484E52">
        <w:rPr>
          <w:i/>
          <w:iCs/>
        </w:rPr>
        <w:t>affected residential premises register</w:t>
      </w:r>
      <w:r w:rsidR="00484E52">
        <w:t xml:space="preserve"> in the Act</w:t>
      </w:r>
      <w:r w:rsidR="002F3769">
        <w:t xml:space="preserve">; and establish a definition of </w:t>
      </w:r>
      <w:r w:rsidR="002F3769">
        <w:rPr>
          <w:i/>
          <w:iCs/>
        </w:rPr>
        <w:t>remediation development</w:t>
      </w:r>
      <w:r w:rsidR="002F3769">
        <w:t xml:space="preserve"> to support Clause 35</w:t>
      </w:r>
      <w:r w:rsidR="00484E52">
        <w:t>.</w:t>
      </w:r>
    </w:p>
    <w:p w14:paraId="0ADE57AF" w14:textId="346BBACD" w:rsidR="00985E05" w:rsidRPr="002B0F02" w:rsidRDefault="00985E05" w:rsidP="00420252">
      <w:pPr>
        <w:keepNext/>
        <w:autoSpaceDE w:val="0"/>
        <w:autoSpaceDN w:val="0"/>
        <w:adjustRightInd w:val="0"/>
        <w:spacing w:before="240" w:after="240" w:line="360" w:lineRule="auto"/>
        <w:rPr>
          <w:b/>
          <w:sz w:val="36"/>
          <w:szCs w:val="36"/>
        </w:rPr>
      </w:pPr>
      <w:r w:rsidRPr="002B0F02">
        <w:rPr>
          <w:b/>
          <w:sz w:val="36"/>
          <w:szCs w:val="36"/>
        </w:rPr>
        <w:t xml:space="preserve">Part </w:t>
      </w:r>
      <w:r w:rsidR="00F91EB1">
        <w:rPr>
          <w:b/>
          <w:sz w:val="36"/>
          <w:szCs w:val="36"/>
        </w:rPr>
        <w:t>6</w:t>
      </w:r>
      <w:r w:rsidRPr="002B0F02">
        <w:rPr>
          <w:b/>
          <w:sz w:val="36"/>
          <w:szCs w:val="36"/>
        </w:rPr>
        <w:t xml:space="preserve"> </w:t>
      </w:r>
      <w:r w:rsidRPr="002B0F02">
        <w:rPr>
          <w:b/>
          <w:sz w:val="36"/>
          <w:szCs w:val="36"/>
        </w:rPr>
        <w:tab/>
        <w:t>Pl</w:t>
      </w:r>
      <w:r w:rsidR="00484E52">
        <w:rPr>
          <w:b/>
          <w:sz w:val="36"/>
          <w:szCs w:val="36"/>
        </w:rPr>
        <w:t>a</w:t>
      </w:r>
      <w:r w:rsidRPr="002B0F02">
        <w:rPr>
          <w:b/>
          <w:sz w:val="36"/>
          <w:szCs w:val="36"/>
        </w:rPr>
        <w:t>nning and Development Regulation 2008</w:t>
      </w:r>
    </w:p>
    <w:p w14:paraId="0C411ADA" w14:textId="6360A697" w:rsidR="008842A6" w:rsidRPr="0049016C" w:rsidRDefault="008842A6" w:rsidP="008842A6">
      <w:pPr>
        <w:keepNext/>
        <w:rPr>
          <w:b/>
          <w:szCs w:val="24"/>
        </w:rPr>
      </w:pPr>
      <w:r w:rsidRPr="0049016C">
        <w:rPr>
          <w:b/>
          <w:szCs w:val="24"/>
        </w:rPr>
        <w:t>Clause</w:t>
      </w:r>
      <w:r>
        <w:rPr>
          <w:b/>
          <w:szCs w:val="24"/>
        </w:rPr>
        <w:t>s</w:t>
      </w:r>
      <w:r w:rsidRPr="0049016C">
        <w:rPr>
          <w:b/>
          <w:szCs w:val="24"/>
        </w:rPr>
        <w:t xml:space="preserve"> </w:t>
      </w:r>
      <w:r>
        <w:rPr>
          <w:b/>
          <w:szCs w:val="24"/>
        </w:rPr>
        <w:t>3</w:t>
      </w:r>
      <w:r w:rsidR="00E1537F">
        <w:rPr>
          <w:b/>
          <w:szCs w:val="24"/>
        </w:rPr>
        <w:t>8</w:t>
      </w:r>
      <w:r>
        <w:rPr>
          <w:b/>
          <w:szCs w:val="24"/>
        </w:rPr>
        <w:t xml:space="preserve"> and 3</w:t>
      </w:r>
      <w:r w:rsidR="00E1537F">
        <w:rPr>
          <w:b/>
          <w:szCs w:val="24"/>
        </w:rPr>
        <w:t>9</w:t>
      </w:r>
      <w:r w:rsidR="001C5A55">
        <w:rPr>
          <w:b/>
          <w:szCs w:val="24"/>
        </w:rPr>
        <w:tab/>
      </w:r>
      <w:r>
        <w:rPr>
          <w:b/>
          <w:szCs w:val="24"/>
        </w:rPr>
        <w:t>Certain direct sales not requiring approval- Act, s240(1)(d)</w:t>
      </w:r>
      <w:r w:rsidRPr="0049016C">
        <w:rPr>
          <w:b/>
          <w:szCs w:val="24"/>
        </w:rPr>
        <w:t xml:space="preserve"> </w:t>
      </w:r>
    </w:p>
    <w:p w14:paraId="0F638068" w14:textId="145DF110" w:rsidR="008842A6" w:rsidRDefault="008842A6" w:rsidP="001C5A55">
      <w:pPr>
        <w:keepNext/>
        <w:spacing w:after="120"/>
        <w:ind w:left="1440" w:firstLine="720"/>
        <w:rPr>
          <w:b/>
          <w:szCs w:val="24"/>
        </w:rPr>
      </w:pPr>
      <w:r>
        <w:rPr>
          <w:b/>
          <w:szCs w:val="24"/>
        </w:rPr>
        <w:t xml:space="preserve">Section 130(2), definition of </w:t>
      </w:r>
      <w:r>
        <w:rPr>
          <w:b/>
          <w:i/>
          <w:iCs/>
          <w:szCs w:val="24"/>
        </w:rPr>
        <w:t>affected residential premises register</w:t>
      </w:r>
    </w:p>
    <w:p w14:paraId="184B5C55" w14:textId="3D6CE6B7" w:rsidR="008842A6" w:rsidRPr="008842A6" w:rsidRDefault="008842A6" w:rsidP="00420252">
      <w:pPr>
        <w:spacing w:line="360" w:lineRule="auto"/>
        <w:rPr>
          <w:i/>
          <w:iCs/>
        </w:rPr>
      </w:pPr>
      <w:r>
        <w:t xml:space="preserve">These clauses clarify the definitions of </w:t>
      </w:r>
      <w:r>
        <w:rPr>
          <w:i/>
          <w:iCs/>
        </w:rPr>
        <w:t xml:space="preserve">affected residential premises register </w:t>
      </w:r>
      <w:r>
        <w:t xml:space="preserve">and </w:t>
      </w:r>
      <w:r>
        <w:rPr>
          <w:i/>
          <w:iCs/>
        </w:rPr>
        <w:t>eligible impacted property.</w:t>
      </w:r>
    </w:p>
    <w:p w14:paraId="75486EC4" w14:textId="16844921" w:rsidR="00492071" w:rsidRPr="00331792" w:rsidRDefault="00492071" w:rsidP="004B4779">
      <w:pPr>
        <w:pStyle w:val="Heading2"/>
      </w:pPr>
      <w:r w:rsidRPr="00331792">
        <w:t xml:space="preserve">Clause </w:t>
      </w:r>
      <w:r w:rsidR="00E1537F">
        <w:t>40</w:t>
      </w:r>
      <w:r w:rsidRPr="00331792">
        <w:t xml:space="preserve"> </w:t>
      </w:r>
      <w:r w:rsidRPr="00331792">
        <w:tab/>
      </w:r>
      <w:r w:rsidR="002B0F02" w:rsidRPr="00331792">
        <w:t>Section 212</w:t>
      </w:r>
    </w:p>
    <w:p w14:paraId="6B5FFAF2" w14:textId="536A07A7" w:rsidR="00C76E3E" w:rsidRPr="00C76E3E" w:rsidRDefault="002B0F02" w:rsidP="00420252">
      <w:pPr>
        <w:spacing w:line="360" w:lineRule="auto"/>
      </w:pPr>
      <w:r w:rsidRPr="00331792">
        <w:t>This clause replaces section 212 with two new sections</w:t>
      </w:r>
      <w:r w:rsidR="00680A2D">
        <w:t xml:space="preserve"> to clarify t</w:t>
      </w:r>
      <w:r w:rsidR="00C76E3E">
        <w:t xml:space="preserve">hat the definition of </w:t>
      </w:r>
      <w:r w:rsidR="00C76E3E">
        <w:rPr>
          <w:i/>
          <w:iCs/>
        </w:rPr>
        <w:t xml:space="preserve">affected lease </w:t>
      </w:r>
      <w:r w:rsidR="00C76E3E">
        <w:t xml:space="preserve">applies to the whole regulation, yet the definition of </w:t>
      </w:r>
      <w:r w:rsidR="00C76E3E">
        <w:rPr>
          <w:i/>
          <w:iCs/>
        </w:rPr>
        <w:t xml:space="preserve">affected residential premises </w:t>
      </w:r>
      <w:r w:rsidR="00C76E3E">
        <w:t xml:space="preserve">applies only division 5.8.2. This amendment is </w:t>
      </w:r>
      <w:r w:rsidR="000E6513">
        <w:t xml:space="preserve">intended to make clear </w:t>
      </w:r>
      <w:r w:rsidR="00C76E3E">
        <w:t xml:space="preserve">that </w:t>
      </w:r>
      <w:r w:rsidR="00EA2348">
        <w:t xml:space="preserve">for the purposes of division 5.8.2, which relates to payment on surrender of affected leases, a definition of </w:t>
      </w:r>
      <w:r w:rsidR="00EA2348">
        <w:rPr>
          <w:i/>
          <w:iCs/>
        </w:rPr>
        <w:t xml:space="preserve">affected residential premises </w:t>
      </w:r>
      <w:r w:rsidR="00EA2348">
        <w:t xml:space="preserve">which </w:t>
      </w:r>
      <w:r w:rsidR="000E6513">
        <w:t>includes</w:t>
      </w:r>
      <w:r w:rsidR="00EA2348">
        <w:t xml:space="preserve"> premises listed on the affected residential premises register (</w:t>
      </w:r>
      <w:r w:rsidR="00E2585D">
        <w:t xml:space="preserve">including premises which may have been acquired by the Territory) </w:t>
      </w:r>
      <w:r w:rsidR="00EA2348">
        <w:t xml:space="preserve">is appropriate. For the remainder of the regulation, the </w:t>
      </w:r>
      <w:r w:rsidR="00C76E3E">
        <w:t xml:space="preserve">definition of </w:t>
      </w:r>
      <w:r w:rsidR="00C76E3E">
        <w:rPr>
          <w:i/>
          <w:iCs/>
        </w:rPr>
        <w:t>affected residential premises</w:t>
      </w:r>
      <w:r w:rsidR="00C76E3E">
        <w:t xml:space="preserve"> as provided for in section 47I of the </w:t>
      </w:r>
      <w:r w:rsidR="00C76E3E">
        <w:rPr>
          <w:i/>
          <w:iCs/>
        </w:rPr>
        <w:t>Dangerous Substances Act</w:t>
      </w:r>
      <w:r w:rsidR="008F1BD1">
        <w:rPr>
          <w:i/>
          <w:iCs/>
        </w:rPr>
        <w:t xml:space="preserve"> 2004</w:t>
      </w:r>
      <w:r w:rsidR="00C76E3E">
        <w:rPr>
          <w:i/>
          <w:iCs/>
        </w:rPr>
        <w:t xml:space="preserve">, </w:t>
      </w:r>
      <w:r w:rsidR="00EA2348">
        <w:t xml:space="preserve">which does not include premises </w:t>
      </w:r>
      <w:r w:rsidR="00E2585D">
        <w:t>which have been acquired by the Territory, is appropriate.</w:t>
      </w:r>
      <w:r w:rsidR="000E6513">
        <w:t xml:space="preserve"> This is because the regulation introduces broad requirements relating to developments on all affected properties, regardless of whether they are under Territory or private ownership. </w:t>
      </w:r>
    </w:p>
    <w:p w14:paraId="53E46EC9" w14:textId="4924F84F" w:rsidR="00F651D4" w:rsidRDefault="00F651D4" w:rsidP="00F651D4">
      <w:pPr>
        <w:keepNext/>
        <w:rPr>
          <w:b/>
          <w:szCs w:val="24"/>
        </w:rPr>
      </w:pPr>
      <w:r w:rsidRPr="0049016C">
        <w:rPr>
          <w:b/>
          <w:szCs w:val="24"/>
        </w:rPr>
        <w:t xml:space="preserve">Clause </w:t>
      </w:r>
      <w:r w:rsidR="00E1537F">
        <w:rPr>
          <w:b/>
          <w:szCs w:val="24"/>
        </w:rPr>
        <w:t>41</w:t>
      </w:r>
      <w:r w:rsidR="001C5A55">
        <w:rPr>
          <w:b/>
          <w:szCs w:val="24"/>
        </w:rPr>
        <w:tab/>
      </w:r>
      <w:r>
        <w:rPr>
          <w:b/>
          <w:szCs w:val="24"/>
        </w:rPr>
        <w:t>Definitions- sch 1</w:t>
      </w:r>
    </w:p>
    <w:p w14:paraId="6F9D65EE" w14:textId="6154C567" w:rsidR="00F651D4" w:rsidRPr="00F651D4" w:rsidRDefault="001C5A55" w:rsidP="001C5A55">
      <w:pPr>
        <w:keepNext/>
        <w:ind w:left="720" w:firstLine="720"/>
        <w:rPr>
          <w:b/>
          <w:i/>
          <w:iCs/>
          <w:szCs w:val="24"/>
        </w:rPr>
      </w:pPr>
      <w:r>
        <w:rPr>
          <w:b/>
          <w:szCs w:val="24"/>
        </w:rPr>
        <w:t>S</w:t>
      </w:r>
      <w:r w:rsidR="00F651D4" w:rsidRPr="00F651D4">
        <w:rPr>
          <w:b/>
          <w:szCs w:val="24"/>
        </w:rPr>
        <w:t xml:space="preserve">chedule 1, section 1.1, new definition of </w:t>
      </w:r>
      <w:r w:rsidR="00F651D4" w:rsidRPr="00F651D4">
        <w:rPr>
          <w:b/>
          <w:i/>
          <w:iCs/>
          <w:szCs w:val="24"/>
        </w:rPr>
        <w:t>affected residential premises</w:t>
      </w:r>
    </w:p>
    <w:p w14:paraId="37DDAB70" w14:textId="2E6D6311" w:rsidR="00D36EA6" w:rsidRPr="004B4779" w:rsidRDefault="00D36EA6" w:rsidP="00420252">
      <w:pPr>
        <w:spacing w:line="360" w:lineRule="auto"/>
      </w:pPr>
      <w:r w:rsidRPr="00331792">
        <w:t xml:space="preserve">This clause </w:t>
      </w:r>
      <w:r w:rsidR="009E1C2C" w:rsidRPr="00331792">
        <w:t xml:space="preserve">defines </w:t>
      </w:r>
      <w:r w:rsidR="009E1C2C" w:rsidRPr="00331792">
        <w:rPr>
          <w:i/>
          <w:iCs/>
        </w:rPr>
        <w:t xml:space="preserve">affected residential premises </w:t>
      </w:r>
      <w:r w:rsidR="009E1C2C" w:rsidRPr="00331792">
        <w:t xml:space="preserve">by reference to section 47I of the </w:t>
      </w:r>
      <w:r w:rsidR="009E1C2C" w:rsidRPr="00331792">
        <w:rPr>
          <w:i/>
          <w:iCs/>
        </w:rPr>
        <w:t>Dangerous Substances Act 2004.</w:t>
      </w:r>
      <w:r w:rsidR="009E1C2C">
        <w:rPr>
          <w:i/>
          <w:iCs/>
        </w:rPr>
        <w:t xml:space="preserve"> </w:t>
      </w:r>
    </w:p>
    <w:p w14:paraId="168B182C" w14:textId="54B469FC" w:rsidR="00EC3B86" w:rsidRDefault="00EC3B86" w:rsidP="00EC3B86">
      <w:pPr>
        <w:keepNext/>
        <w:rPr>
          <w:b/>
          <w:szCs w:val="24"/>
        </w:rPr>
      </w:pPr>
      <w:r w:rsidRPr="0049016C">
        <w:rPr>
          <w:b/>
          <w:szCs w:val="24"/>
        </w:rPr>
        <w:lastRenderedPageBreak/>
        <w:t xml:space="preserve">Clause </w:t>
      </w:r>
      <w:r>
        <w:rPr>
          <w:b/>
          <w:szCs w:val="24"/>
        </w:rPr>
        <w:t>4</w:t>
      </w:r>
      <w:r w:rsidR="00E1537F">
        <w:rPr>
          <w:b/>
          <w:szCs w:val="24"/>
        </w:rPr>
        <w:t>2</w:t>
      </w:r>
      <w:r w:rsidR="001C5A55">
        <w:rPr>
          <w:b/>
          <w:szCs w:val="24"/>
        </w:rPr>
        <w:tab/>
      </w:r>
      <w:r>
        <w:rPr>
          <w:b/>
          <w:szCs w:val="24"/>
        </w:rPr>
        <w:t>Exempt developments- general criteria</w:t>
      </w:r>
    </w:p>
    <w:p w14:paraId="2C204AFD" w14:textId="59A73172" w:rsidR="009E1C2C" w:rsidRPr="00D36EA6" w:rsidRDefault="00EC3B86" w:rsidP="001C5A55">
      <w:pPr>
        <w:keepNext/>
        <w:ind w:left="720" w:firstLine="720"/>
      </w:pPr>
      <w:r>
        <w:rPr>
          <w:b/>
          <w:szCs w:val="24"/>
        </w:rPr>
        <w:t xml:space="preserve">Schedule 1, new section 1.10 (ea) </w:t>
      </w:r>
    </w:p>
    <w:p w14:paraId="49EEA934" w14:textId="531923A7" w:rsidR="009E1C2C" w:rsidRDefault="0027173E" w:rsidP="00420252">
      <w:pPr>
        <w:spacing w:line="360" w:lineRule="auto"/>
      </w:pPr>
      <w:r>
        <w:t>This clause introduces new subsection</w:t>
      </w:r>
      <w:r w:rsidR="00AD0D60">
        <w:t xml:space="preserve"> 1.10(ea)</w:t>
      </w:r>
      <w:r>
        <w:t xml:space="preserve"> into section 1.10 in Schedule 1</w:t>
      </w:r>
      <w:r w:rsidR="00AD0D60">
        <w:t>, to</w:t>
      </w:r>
      <w:r w:rsidR="004B4779">
        <w:t xml:space="preserve"> provide </w:t>
      </w:r>
      <w:r w:rsidR="003F6A80">
        <w:t xml:space="preserve">that </w:t>
      </w:r>
      <w:r w:rsidR="004B4779">
        <w:t xml:space="preserve">a development is only exempt from requiring development approval if it complies with the general exemption criteria in section 1.17A (Criterion 7A- affected residential premises). </w:t>
      </w:r>
      <w:r w:rsidR="00AD0D60">
        <w:t xml:space="preserve"> </w:t>
      </w:r>
    </w:p>
    <w:p w14:paraId="04D24EA7" w14:textId="049C6CD3" w:rsidR="0027173E" w:rsidRPr="00D36EA6" w:rsidRDefault="0027173E" w:rsidP="004B4779">
      <w:pPr>
        <w:pStyle w:val="Heading2"/>
      </w:pPr>
      <w:r w:rsidRPr="00E1537F">
        <w:t>Clause 4</w:t>
      </w:r>
      <w:r w:rsidR="00E1537F">
        <w:t>3</w:t>
      </w:r>
      <w:r w:rsidRPr="00E1537F">
        <w:t xml:space="preserve"> </w:t>
      </w:r>
      <w:r w:rsidRPr="00E1537F">
        <w:tab/>
        <w:t>Schedule 1, new section 1.17A</w:t>
      </w:r>
    </w:p>
    <w:p w14:paraId="443CCB91" w14:textId="109BA896" w:rsidR="0027173E" w:rsidRDefault="0027173E" w:rsidP="00420252">
      <w:pPr>
        <w:spacing w:line="360" w:lineRule="auto"/>
      </w:pPr>
      <w:r>
        <w:t xml:space="preserve">This clause introduces </w:t>
      </w:r>
      <w:r w:rsidR="00E30769">
        <w:t xml:space="preserve">new </w:t>
      </w:r>
      <w:r>
        <w:t>criterion</w:t>
      </w:r>
      <w:r w:rsidR="004B4779">
        <w:t xml:space="preserve"> 7A</w:t>
      </w:r>
      <w:r>
        <w:t xml:space="preserve"> for affected residential premise</w:t>
      </w:r>
      <w:r w:rsidR="00AD0D60">
        <w:t>s</w:t>
      </w:r>
      <w:r w:rsidR="004B4779">
        <w:t xml:space="preserve"> for </w:t>
      </w:r>
      <w:r w:rsidR="00E30769">
        <w:t xml:space="preserve">developments that are exempt from </w:t>
      </w:r>
      <w:r w:rsidR="004B4779">
        <w:t xml:space="preserve">requiring development approval. </w:t>
      </w:r>
      <w:r w:rsidR="00E30769">
        <w:t xml:space="preserve"> </w:t>
      </w:r>
    </w:p>
    <w:p w14:paraId="0B1DDE52" w14:textId="5E8F5DEC" w:rsidR="00E30769" w:rsidRDefault="00471209" w:rsidP="00420252">
      <w:pPr>
        <w:spacing w:line="360" w:lineRule="auto"/>
      </w:pPr>
      <w:r w:rsidRPr="00E1537F">
        <w:t xml:space="preserve">This </w:t>
      </w:r>
      <w:r w:rsidR="00151B0C">
        <w:t>criterion</w:t>
      </w:r>
      <w:r w:rsidRPr="00E1537F">
        <w:t xml:space="preserve"> makes clear that </w:t>
      </w:r>
      <w:r w:rsidR="009E598E" w:rsidRPr="00E1537F">
        <w:t>a development cannot be exempt if it involves aff</w:t>
      </w:r>
      <w:r w:rsidRPr="00E1537F">
        <w:t xml:space="preserve">ected residential premises, except where that development involves demolition or asbestos removal, or </w:t>
      </w:r>
      <w:r w:rsidR="002232AB">
        <w:t xml:space="preserve">works </w:t>
      </w:r>
      <w:r w:rsidRPr="00E1537F">
        <w:t xml:space="preserve">essential </w:t>
      </w:r>
      <w:r w:rsidR="002232AB">
        <w:t>to support health, safety or reasonable living conditions.</w:t>
      </w:r>
    </w:p>
    <w:p w14:paraId="1BE39873" w14:textId="77777777" w:rsidR="004A534A" w:rsidRDefault="004A534A" w:rsidP="004A534A">
      <w:pPr>
        <w:spacing w:line="360" w:lineRule="auto"/>
      </w:pPr>
      <w:r w:rsidRPr="00D23354">
        <w:t xml:space="preserve">Guidance on what constitutes these essential works may be provided </w:t>
      </w:r>
      <w:r>
        <w:t>in</w:t>
      </w:r>
      <w:r w:rsidRPr="00D23354">
        <w:t xml:space="preserve"> guidelines made by the Minister (by way of notifiable instrument). </w:t>
      </w:r>
      <w:r w:rsidRPr="002232AB">
        <w:t>Guidelines</w:t>
      </w:r>
      <w:r>
        <w:t xml:space="preserve"> made under this regulation will provide greater information on what may be considered exempt for the purpose of development approval.</w:t>
      </w:r>
    </w:p>
    <w:p w14:paraId="734CF73D" w14:textId="015CA591" w:rsidR="004B4779" w:rsidRPr="0049016C" w:rsidRDefault="004B4779" w:rsidP="004B4779">
      <w:pPr>
        <w:keepNext/>
        <w:rPr>
          <w:b/>
          <w:szCs w:val="24"/>
        </w:rPr>
      </w:pPr>
      <w:r w:rsidRPr="0049016C">
        <w:rPr>
          <w:b/>
          <w:szCs w:val="24"/>
        </w:rPr>
        <w:t>Clause</w:t>
      </w:r>
      <w:r>
        <w:rPr>
          <w:b/>
          <w:szCs w:val="24"/>
        </w:rPr>
        <w:t>s</w:t>
      </w:r>
      <w:r w:rsidRPr="0049016C">
        <w:rPr>
          <w:b/>
          <w:szCs w:val="24"/>
        </w:rPr>
        <w:t xml:space="preserve"> </w:t>
      </w:r>
      <w:r>
        <w:rPr>
          <w:b/>
          <w:szCs w:val="24"/>
        </w:rPr>
        <w:t>4</w:t>
      </w:r>
      <w:r w:rsidR="00864344">
        <w:rPr>
          <w:b/>
          <w:szCs w:val="24"/>
        </w:rPr>
        <w:t>4</w:t>
      </w:r>
      <w:r w:rsidR="008F1BD1">
        <w:rPr>
          <w:b/>
          <w:szCs w:val="24"/>
        </w:rPr>
        <w:t xml:space="preserve"> to </w:t>
      </w:r>
      <w:r>
        <w:rPr>
          <w:b/>
          <w:szCs w:val="24"/>
        </w:rPr>
        <w:t>4</w:t>
      </w:r>
      <w:r w:rsidR="00864344">
        <w:rPr>
          <w:b/>
          <w:szCs w:val="24"/>
        </w:rPr>
        <w:t>7</w:t>
      </w:r>
      <w:r w:rsidRPr="0049016C">
        <w:rPr>
          <w:b/>
          <w:szCs w:val="24"/>
        </w:rPr>
        <w:tab/>
      </w:r>
      <w:r>
        <w:rPr>
          <w:b/>
          <w:szCs w:val="24"/>
        </w:rPr>
        <w:t>Schedule 1, sections 1.100B(1)(a) and 1.101(1)(a)(ii)</w:t>
      </w:r>
      <w:r w:rsidRPr="0049016C">
        <w:rPr>
          <w:b/>
          <w:szCs w:val="24"/>
        </w:rPr>
        <w:t xml:space="preserve"> </w:t>
      </w:r>
    </w:p>
    <w:p w14:paraId="6A7934B0" w14:textId="77777777" w:rsidR="004B4779" w:rsidRDefault="004B4779" w:rsidP="004B4779">
      <w:pPr>
        <w:keepNext/>
        <w:spacing w:after="120"/>
        <w:ind w:left="720" w:firstLine="720"/>
        <w:rPr>
          <w:b/>
          <w:szCs w:val="24"/>
        </w:rPr>
      </w:pPr>
      <w:r>
        <w:rPr>
          <w:b/>
          <w:szCs w:val="24"/>
        </w:rPr>
        <w:t>Schedule 1, section 1.109</w:t>
      </w:r>
    </w:p>
    <w:p w14:paraId="72010AB1" w14:textId="3CB5F8BC" w:rsidR="004B4779" w:rsidRDefault="004B4779" w:rsidP="004B4779">
      <w:pPr>
        <w:keepNext/>
        <w:spacing w:after="120"/>
        <w:ind w:left="720" w:firstLine="720"/>
        <w:rPr>
          <w:b/>
          <w:szCs w:val="24"/>
        </w:rPr>
      </w:pPr>
      <w:r>
        <w:rPr>
          <w:b/>
          <w:szCs w:val="24"/>
        </w:rPr>
        <w:t>Schedule 1, new section 1.110(</w:t>
      </w:r>
      <w:r w:rsidR="00F45319">
        <w:rPr>
          <w:b/>
          <w:szCs w:val="24"/>
        </w:rPr>
        <w:t>1) (</w:t>
      </w:r>
      <w:r>
        <w:rPr>
          <w:b/>
          <w:szCs w:val="24"/>
        </w:rPr>
        <w:t xml:space="preserve">aa) </w:t>
      </w:r>
    </w:p>
    <w:p w14:paraId="5A8E2A4F" w14:textId="5C17A485" w:rsidR="004B4779" w:rsidRPr="0049016C" w:rsidRDefault="004B4779" w:rsidP="004B4779">
      <w:pPr>
        <w:keepNext/>
        <w:spacing w:after="120"/>
        <w:ind w:left="720" w:firstLine="720"/>
        <w:rPr>
          <w:b/>
          <w:szCs w:val="24"/>
        </w:rPr>
      </w:pPr>
      <w:r>
        <w:rPr>
          <w:b/>
          <w:szCs w:val="24"/>
        </w:rPr>
        <w:t>Schedule 1, section 1.112</w:t>
      </w:r>
    </w:p>
    <w:p w14:paraId="3B9AA4A5" w14:textId="69515807" w:rsidR="00471209" w:rsidRDefault="004B4779" w:rsidP="004B4779">
      <w:pPr>
        <w:pStyle w:val="Heading2"/>
      </w:pPr>
      <w:r w:rsidRPr="004B4779">
        <w:rPr>
          <w:b w:val="0"/>
          <w:bCs w:val="0"/>
        </w:rPr>
        <w:t>These c</w:t>
      </w:r>
      <w:r>
        <w:rPr>
          <w:b w:val="0"/>
          <w:bCs w:val="0"/>
        </w:rPr>
        <w:t xml:space="preserve">lauses provide that the exemptions from development approvals provided </w:t>
      </w:r>
      <w:r w:rsidR="001D0015">
        <w:rPr>
          <w:b w:val="0"/>
          <w:bCs w:val="0"/>
        </w:rPr>
        <w:t>for in</w:t>
      </w:r>
      <w:r>
        <w:rPr>
          <w:b w:val="0"/>
          <w:bCs w:val="0"/>
        </w:rPr>
        <w:t xml:space="preserve"> </w:t>
      </w:r>
      <w:r w:rsidR="001D0015">
        <w:rPr>
          <w:b w:val="0"/>
          <w:bCs w:val="0"/>
        </w:rPr>
        <w:t xml:space="preserve">certain </w:t>
      </w:r>
      <w:r>
        <w:rPr>
          <w:b w:val="0"/>
          <w:bCs w:val="0"/>
        </w:rPr>
        <w:t>sections</w:t>
      </w:r>
      <w:r w:rsidR="001A41A4">
        <w:rPr>
          <w:b w:val="0"/>
          <w:bCs w:val="0"/>
        </w:rPr>
        <w:t xml:space="preserve"> </w:t>
      </w:r>
      <w:r w:rsidR="001D0015">
        <w:rPr>
          <w:b w:val="0"/>
          <w:bCs w:val="0"/>
        </w:rPr>
        <w:t>of</w:t>
      </w:r>
      <w:r w:rsidR="001A41A4">
        <w:rPr>
          <w:b w:val="0"/>
          <w:bCs w:val="0"/>
        </w:rPr>
        <w:t xml:space="preserve"> Schedule 1</w:t>
      </w:r>
      <w:r w:rsidR="00864344">
        <w:rPr>
          <w:b w:val="0"/>
          <w:bCs w:val="0"/>
        </w:rPr>
        <w:t xml:space="preserve"> (</w:t>
      </w:r>
      <w:r w:rsidRPr="004B4779">
        <w:rPr>
          <w:b w:val="0"/>
          <w:bCs w:val="0"/>
        </w:rPr>
        <w:t xml:space="preserve">relating to </w:t>
      </w:r>
      <w:r w:rsidR="00FC4592" w:rsidRPr="004B4779">
        <w:rPr>
          <w:b w:val="0"/>
          <w:bCs w:val="0"/>
        </w:rPr>
        <w:t>demolition of single dwellings</w:t>
      </w:r>
      <w:r w:rsidRPr="004B4779">
        <w:rPr>
          <w:b w:val="0"/>
          <w:bCs w:val="0"/>
        </w:rPr>
        <w:t xml:space="preserve"> and buildings and structures, developments in designated areas, rebuilding damaged buildings and structures, and subdivision of land under a unit title application</w:t>
      </w:r>
      <w:r w:rsidR="00864344">
        <w:rPr>
          <w:b w:val="0"/>
          <w:bCs w:val="0"/>
        </w:rPr>
        <w:t>),</w:t>
      </w:r>
      <w:r w:rsidRPr="004B4779">
        <w:rPr>
          <w:b w:val="0"/>
          <w:bCs w:val="0"/>
        </w:rPr>
        <w:t xml:space="preserve"> </w:t>
      </w:r>
      <w:r w:rsidR="00FC4592" w:rsidRPr="004B4779">
        <w:rPr>
          <w:b w:val="0"/>
          <w:bCs w:val="0"/>
        </w:rPr>
        <w:t>only apply if new criterion 7A is</w:t>
      </w:r>
      <w:r w:rsidR="001106E9">
        <w:rPr>
          <w:b w:val="0"/>
          <w:bCs w:val="0"/>
        </w:rPr>
        <w:t xml:space="preserve"> also</w:t>
      </w:r>
      <w:r w:rsidR="00FC4592" w:rsidRPr="004B4779">
        <w:rPr>
          <w:b w:val="0"/>
          <w:bCs w:val="0"/>
        </w:rPr>
        <w:t xml:space="preserve"> </w:t>
      </w:r>
      <w:r w:rsidR="001106E9">
        <w:rPr>
          <w:b w:val="0"/>
          <w:bCs w:val="0"/>
        </w:rPr>
        <w:t>satisfied</w:t>
      </w:r>
      <w:r w:rsidR="008663A5" w:rsidRPr="004B4779">
        <w:rPr>
          <w:b w:val="0"/>
          <w:bCs w:val="0"/>
        </w:rPr>
        <w:t xml:space="preserve"> (</w:t>
      </w:r>
      <w:r w:rsidR="001106E9">
        <w:rPr>
          <w:b w:val="0"/>
          <w:bCs w:val="0"/>
        </w:rPr>
        <w:t>a</w:t>
      </w:r>
      <w:r w:rsidR="008663A5" w:rsidRPr="004B4779">
        <w:rPr>
          <w:b w:val="0"/>
          <w:bCs w:val="0"/>
        </w:rPr>
        <w:t xml:space="preserve"> development</w:t>
      </w:r>
      <w:r w:rsidR="001106E9">
        <w:rPr>
          <w:b w:val="0"/>
          <w:bCs w:val="0"/>
        </w:rPr>
        <w:t xml:space="preserve"> on affected residential premises</w:t>
      </w:r>
      <w:r w:rsidR="008663A5" w:rsidRPr="004B4779">
        <w:rPr>
          <w:b w:val="0"/>
          <w:bCs w:val="0"/>
        </w:rPr>
        <w:t xml:space="preserve"> is exempt only if it involves demolition or asbestos removal or</w:t>
      </w:r>
      <w:r w:rsidR="002232AB">
        <w:rPr>
          <w:b w:val="0"/>
          <w:bCs w:val="0"/>
        </w:rPr>
        <w:t xml:space="preserve"> works</w:t>
      </w:r>
      <w:r w:rsidR="008663A5" w:rsidRPr="004B4779">
        <w:rPr>
          <w:b w:val="0"/>
          <w:bCs w:val="0"/>
        </w:rPr>
        <w:t xml:space="preserve"> essential </w:t>
      </w:r>
      <w:r w:rsidR="002232AB">
        <w:rPr>
          <w:b w:val="0"/>
          <w:bCs w:val="0"/>
        </w:rPr>
        <w:t>to support health, safety or reasonable living conditions</w:t>
      </w:r>
      <w:r w:rsidR="001C1A17">
        <w:rPr>
          <w:b w:val="0"/>
          <w:bCs w:val="0"/>
        </w:rPr>
        <w:t>).</w:t>
      </w:r>
    </w:p>
    <w:p w14:paraId="3E21F6C9" w14:textId="16D1FC1A" w:rsidR="001A41A4" w:rsidRDefault="00D72016" w:rsidP="001A41A4">
      <w:pPr>
        <w:keepNext/>
        <w:tabs>
          <w:tab w:val="left" w:pos="1479"/>
        </w:tabs>
        <w:rPr>
          <w:b/>
          <w:bCs/>
        </w:rPr>
      </w:pPr>
      <w:r>
        <w:rPr>
          <w:b/>
          <w:bCs/>
        </w:rPr>
        <w:t>Clause 4</w:t>
      </w:r>
      <w:r w:rsidR="00864344">
        <w:rPr>
          <w:b/>
          <w:bCs/>
        </w:rPr>
        <w:t>8</w:t>
      </w:r>
      <w:r w:rsidR="001A41A4">
        <w:rPr>
          <w:b/>
          <w:bCs/>
        </w:rPr>
        <w:tab/>
        <w:t>Schedule 1, new section 1.114</w:t>
      </w:r>
    </w:p>
    <w:p w14:paraId="418F4BE2" w14:textId="70AB01F8" w:rsidR="001A41A4" w:rsidRDefault="001B58EE" w:rsidP="00864344">
      <w:pPr>
        <w:keepNext/>
        <w:tabs>
          <w:tab w:val="left" w:pos="1479"/>
        </w:tabs>
        <w:spacing w:line="360" w:lineRule="auto"/>
        <w:rPr>
          <w:iCs/>
          <w:szCs w:val="24"/>
        </w:rPr>
      </w:pPr>
      <w:r w:rsidRPr="00F8584C">
        <w:rPr>
          <w:iCs/>
          <w:szCs w:val="24"/>
        </w:rPr>
        <w:t>This clause introduces a new</w:t>
      </w:r>
      <w:r w:rsidR="00371100">
        <w:rPr>
          <w:iCs/>
          <w:szCs w:val="24"/>
        </w:rPr>
        <w:t xml:space="preserve"> specific</w:t>
      </w:r>
      <w:r w:rsidRPr="00F8584C">
        <w:rPr>
          <w:iCs/>
          <w:szCs w:val="24"/>
        </w:rPr>
        <w:t xml:space="preserve"> exemption into Schedule 1</w:t>
      </w:r>
      <w:r w:rsidR="00864344">
        <w:rPr>
          <w:iCs/>
          <w:szCs w:val="24"/>
        </w:rPr>
        <w:t>. A</w:t>
      </w:r>
      <w:r w:rsidRPr="00F8584C">
        <w:rPr>
          <w:iCs/>
          <w:szCs w:val="24"/>
        </w:rPr>
        <w:t xml:space="preserve"> develo</w:t>
      </w:r>
      <w:r w:rsidRPr="003D468B">
        <w:rPr>
          <w:iCs/>
          <w:szCs w:val="24"/>
        </w:rPr>
        <w:t>pment involving affected residential premises</w:t>
      </w:r>
      <w:r w:rsidR="00864344">
        <w:rPr>
          <w:iCs/>
          <w:szCs w:val="24"/>
        </w:rPr>
        <w:t xml:space="preserve"> must be for</w:t>
      </w:r>
      <w:r w:rsidRPr="003D468B">
        <w:rPr>
          <w:iCs/>
          <w:szCs w:val="24"/>
        </w:rPr>
        <w:t xml:space="preserve"> </w:t>
      </w:r>
      <w:r w:rsidR="00C214F1">
        <w:rPr>
          <w:iCs/>
          <w:szCs w:val="24"/>
        </w:rPr>
        <w:t xml:space="preserve">work </w:t>
      </w:r>
      <w:r w:rsidRPr="003D468B">
        <w:rPr>
          <w:iCs/>
          <w:szCs w:val="24"/>
        </w:rPr>
        <w:t xml:space="preserve">essential </w:t>
      </w:r>
      <w:r w:rsidR="00C214F1">
        <w:rPr>
          <w:iCs/>
          <w:szCs w:val="24"/>
        </w:rPr>
        <w:t xml:space="preserve">to support health, safety or reasonable living conditions </w:t>
      </w:r>
      <w:r w:rsidR="00864344">
        <w:rPr>
          <w:iCs/>
          <w:szCs w:val="24"/>
        </w:rPr>
        <w:t>to be</w:t>
      </w:r>
      <w:r w:rsidR="00412B8F">
        <w:rPr>
          <w:iCs/>
          <w:szCs w:val="24"/>
        </w:rPr>
        <w:t xml:space="preserve"> exempt from development approval requirements</w:t>
      </w:r>
      <w:r w:rsidRPr="00F8584C">
        <w:rPr>
          <w:iCs/>
          <w:szCs w:val="24"/>
        </w:rPr>
        <w:t>.</w:t>
      </w:r>
      <w:r w:rsidR="00371100">
        <w:rPr>
          <w:iCs/>
          <w:szCs w:val="24"/>
        </w:rPr>
        <w:t xml:space="preserve"> The </w:t>
      </w:r>
      <w:r w:rsidR="00C76E3E">
        <w:rPr>
          <w:iCs/>
          <w:szCs w:val="24"/>
        </w:rPr>
        <w:t xml:space="preserve">specific </w:t>
      </w:r>
      <w:r w:rsidR="00371100">
        <w:rPr>
          <w:iCs/>
          <w:szCs w:val="24"/>
        </w:rPr>
        <w:t xml:space="preserve">criterion in section 1.114 must be met after a development satisfies the general </w:t>
      </w:r>
      <w:r w:rsidR="00371100">
        <w:rPr>
          <w:iCs/>
          <w:szCs w:val="24"/>
        </w:rPr>
        <w:lastRenderedPageBreak/>
        <w:t>exemption criteria in section 1.17A (as well as any other applicable general exemption criteria).</w:t>
      </w:r>
    </w:p>
    <w:p w14:paraId="2CFA68F7" w14:textId="5A486DD6" w:rsidR="0051568B" w:rsidRPr="00864344" w:rsidRDefault="0051568B">
      <w:pPr>
        <w:keepNext/>
        <w:tabs>
          <w:tab w:val="left" w:pos="1479"/>
        </w:tabs>
        <w:rPr>
          <w:b/>
          <w:bCs/>
          <w:iCs/>
          <w:szCs w:val="24"/>
        </w:rPr>
      </w:pPr>
      <w:r>
        <w:rPr>
          <w:b/>
          <w:bCs/>
          <w:iCs/>
          <w:szCs w:val="24"/>
        </w:rPr>
        <w:t>Clause</w:t>
      </w:r>
      <w:r w:rsidR="000D2A53">
        <w:rPr>
          <w:b/>
          <w:bCs/>
          <w:iCs/>
          <w:szCs w:val="24"/>
        </w:rPr>
        <w:t>s</w:t>
      </w:r>
      <w:r>
        <w:rPr>
          <w:b/>
          <w:bCs/>
          <w:iCs/>
          <w:szCs w:val="24"/>
        </w:rPr>
        <w:t xml:space="preserve"> </w:t>
      </w:r>
      <w:r w:rsidR="00864344">
        <w:rPr>
          <w:b/>
          <w:bCs/>
          <w:iCs/>
          <w:szCs w:val="24"/>
        </w:rPr>
        <w:t xml:space="preserve">49 </w:t>
      </w:r>
      <w:r w:rsidR="008F1BD1">
        <w:rPr>
          <w:b/>
          <w:bCs/>
          <w:iCs/>
          <w:szCs w:val="24"/>
        </w:rPr>
        <w:t xml:space="preserve">to </w:t>
      </w:r>
      <w:r w:rsidR="00416F45">
        <w:rPr>
          <w:b/>
          <w:bCs/>
          <w:iCs/>
          <w:szCs w:val="24"/>
        </w:rPr>
        <w:t>52</w:t>
      </w:r>
      <w:r w:rsidR="00416F45">
        <w:rPr>
          <w:b/>
          <w:bCs/>
          <w:iCs/>
          <w:szCs w:val="24"/>
        </w:rPr>
        <w:tab/>
      </w:r>
      <w:r>
        <w:rPr>
          <w:b/>
          <w:bCs/>
          <w:iCs/>
          <w:szCs w:val="24"/>
        </w:rPr>
        <w:t>Definitions- sch 2A</w:t>
      </w:r>
    </w:p>
    <w:p w14:paraId="7306A05C" w14:textId="13A5DD15" w:rsidR="0051568B" w:rsidRDefault="0051568B" w:rsidP="0051568B">
      <w:pPr>
        <w:keepNext/>
        <w:tabs>
          <w:tab w:val="left" w:pos="1479"/>
        </w:tabs>
        <w:rPr>
          <w:b/>
          <w:bCs/>
          <w:i/>
          <w:szCs w:val="24"/>
        </w:rPr>
      </w:pPr>
      <w:r>
        <w:rPr>
          <w:iCs/>
          <w:szCs w:val="24"/>
        </w:rPr>
        <w:tab/>
      </w:r>
      <w:r w:rsidR="00416F45">
        <w:rPr>
          <w:iCs/>
          <w:szCs w:val="24"/>
        </w:rPr>
        <w:tab/>
      </w:r>
      <w:r>
        <w:rPr>
          <w:b/>
          <w:bCs/>
          <w:iCs/>
          <w:szCs w:val="24"/>
        </w:rPr>
        <w:t xml:space="preserve">Schedule 2A, section 2A.1, new definition of </w:t>
      </w:r>
      <w:r>
        <w:rPr>
          <w:b/>
          <w:bCs/>
          <w:i/>
          <w:szCs w:val="24"/>
        </w:rPr>
        <w:t>affected residential premises</w:t>
      </w:r>
    </w:p>
    <w:p w14:paraId="115162FD" w14:textId="20D6BD70" w:rsidR="00D72016" w:rsidRDefault="00D72016" w:rsidP="00864344">
      <w:pPr>
        <w:keepNext/>
        <w:spacing w:after="120"/>
        <w:ind w:left="1440" w:firstLine="720"/>
        <w:rPr>
          <w:b/>
          <w:szCs w:val="24"/>
        </w:rPr>
      </w:pPr>
      <w:r>
        <w:rPr>
          <w:b/>
          <w:szCs w:val="24"/>
        </w:rPr>
        <w:t xml:space="preserve">Dictionary, note 3 </w:t>
      </w:r>
    </w:p>
    <w:p w14:paraId="7A4F422C" w14:textId="2ACDA8F2" w:rsidR="00D72016" w:rsidRPr="0049016C" w:rsidRDefault="00D72016" w:rsidP="00416F45">
      <w:pPr>
        <w:keepNext/>
        <w:spacing w:after="120"/>
        <w:ind w:left="1440" w:firstLine="720"/>
        <w:rPr>
          <w:b/>
          <w:szCs w:val="24"/>
        </w:rPr>
      </w:pPr>
      <w:r>
        <w:rPr>
          <w:b/>
          <w:szCs w:val="24"/>
        </w:rPr>
        <w:t xml:space="preserve">Dictionary, definition of </w:t>
      </w:r>
      <w:r>
        <w:rPr>
          <w:b/>
          <w:i/>
          <w:iCs/>
          <w:szCs w:val="24"/>
        </w:rPr>
        <w:t>affected residential premises</w:t>
      </w:r>
    </w:p>
    <w:p w14:paraId="047220FC" w14:textId="36C72E1E" w:rsidR="00D72016" w:rsidRPr="00D72016" w:rsidRDefault="00416F45" w:rsidP="00D72016">
      <w:pPr>
        <w:tabs>
          <w:tab w:val="left" w:pos="1518"/>
        </w:tabs>
        <w:rPr>
          <w:b/>
          <w:bCs/>
          <w:i/>
          <w:iCs/>
        </w:rPr>
      </w:pPr>
      <w:r>
        <w:rPr>
          <w:b/>
          <w:bCs/>
        </w:rPr>
        <w:tab/>
      </w:r>
      <w:r>
        <w:rPr>
          <w:b/>
          <w:bCs/>
        </w:rPr>
        <w:tab/>
      </w:r>
      <w:r w:rsidR="00D72016">
        <w:rPr>
          <w:b/>
          <w:bCs/>
        </w:rPr>
        <w:t xml:space="preserve">Dictionary, definition of </w:t>
      </w:r>
      <w:r w:rsidR="00D72016">
        <w:rPr>
          <w:b/>
          <w:bCs/>
          <w:i/>
          <w:iCs/>
        </w:rPr>
        <w:t>loose-fill asbestos insulation</w:t>
      </w:r>
    </w:p>
    <w:p w14:paraId="488FEACF" w14:textId="4907831A" w:rsidR="006A6305" w:rsidRDefault="00D72016" w:rsidP="00D72016">
      <w:pPr>
        <w:pStyle w:val="Heading2"/>
        <w:rPr>
          <w:b w:val="0"/>
          <w:bCs w:val="0"/>
        </w:rPr>
      </w:pPr>
      <w:r>
        <w:rPr>
          <w:b w:val="0"/>
          <w:bCs w:val="0"/>
        </w:rPr>
        <w:t>These clauses make several amendments to the definitions section in schedule 2A and the dictionary, to clarify several definitions.</w:t>
      </w:r>
    </w:p>
    <w:p w14:paraId="0E1549D2" w14:textId="5F085D11" w:rsidR="00CB53D4" w:rsidRPr="002B0F02" w:rsidRDefault="00CB53D4" w:rsidP="00CB53D4">
      <w:pPr>
        <w:keepNext/>
        <w:autoSpaceDE w:val="0"/>
        <w:autoSpaceDN w:val="0"/>
        <w:adjustRightInd w:val="0"/>
        <w:spacing w:before="240" w:after="240" w:line="360" w:lineRule="auto"/>
        <w:rPr>
          <w:b/>
          <w:sz w:val="36"/>
          <w:szCs w:val="36"/>
        </w:rPr>
      </w:pPr>
      <w:r w:rsidRPr="002B0F02">
        <w:rPr>
          <w:b/>
          <w:sz w:val="36"/>
          <w:szCs w:val="36"/>
        </w:rPr>
        <w:t xml:space="preserve">Part </w:t>
      </w:r>
      <w:r>
        <w:rPr>
          <w:b/>
          <w:sz w:val="36"/>
          <w:szCs w:val="36"/>
        </w:rPr>
        <w:t>7</w:t>
      </w:r>
      <w:r w:rsidRPr="002B0F02">
        <w:rPr>
          <w:b/>
          <w:sz w:val="36"/>
          <w:szCs w:val="36"/>
        </w:rPr>
        <w:t xml:space="preserve"> </w:t>
      </w:r>
      <w:r w:rsidRPr="002B0F02">
        <w:rPr>
          <w:b/>
          <w:sz w:val="36"/>
          <w:szCs w:val="36"/>
        </w:rPr>
        <w:tab/>
      </w:r>
      <w:r>
        <w:rPr>
          <w:b/>
          <w:sz w:val="36"/>
          <w:szCs w:val="36"/>
        </w:rPr>
        <w:t>Residential Tenancies Act 1997</w:t>
      </w:r>
    </w:p>
    <w:p w14:paraId="282CCCCA" w14:textId="69AC93F6" w:rsidR="000D2A53" w:rsidRDefault="000D2A53" w:rsidP="000D2A53">
      <w:pPr>
        <w:rPr>
          <w:b/>
          <w:bCs/>
        </w:rPr>
      </w:pPr>
      <w:r>
        <w:rPr>
          <w:b/>
          <w:bCs/>
        </w:rPr>
        <w:t>Clause 5</w:t>
      </w:r>
      <w:r w:rsidR="00CB53D4">
        <w:rPr>
          <w:b/>
          <w:bCs/>
        </w:rPr>
        <w:t>3</w:t>
      </w:r>
      <w:r>
        <w:rPr>
          <w:b/>
          <w:bCs/>
        </w:rPr>
        <w:t xml:space="preserve">         New section </w:t>
      </w:r>
      <w:r w:rsidR="00D546A7">
        <w:rPr>
          <w:b/>
          <w:bCs/>
        </w:rPr>
        <w:t>64AC</w:t>
      </w:r>
    </w:p>
    <w:p w14:paraId="762E3A64" w14:textId="00B54017" w:rsidR="00F472E5" w:rsidRDefault="00412B8F" w:rsidP="00F55FC3">
      <w:pPr>
        <w:spacing w:line="360" w:lineRule="auto"/>
      </w:pPr>
      <w:r>
        <w:t>This clause introduces</w:t>
      </w:r>
      <w:r w:rsidR="00076F87">
        <w:t xml:space="preserve"> a new requirement into the </w:t>
      </w:r>
      <w:r w:rsidR="00076F87">
        <w:rPr>
          <w:i/>
          <w:iCs/>
        </w:rPr>
        <w:t>Residential Tenancies Act</w:t>
      </w:r>
      <w:r w:rsidR="008F1BD1">
        <w:rPr>
          <w:i/>
          <w:iCs/>
        </w:rPr>
        <w:t xml:space="preserve"> 1997</w:t>
      </w:r>
      <w:r w:rsidR="00076F87">
        <w:rPr>
          <w:i/>
          <w:iCs/>
        </w:rPr>
        <w:t xml:space="preserve"> </w:t>
      </w:r>
      <w:r w:rsidR="00CB53D4">
        <w:t xml:space="preserve">making void any tenancy agreement, occupancy agreement, sublet or assignment </w:t>
      </w:r>
      <w:r w:rsidR="00F472E5">
        <w:t xml:space="preserve">entered into for a </w:t>
      </w:r>
      <w:r w:rsidR="00076F87">
        <w:t>property on the affected residential premises register</w:t>
      </w:r>
      <w:r w:rsidR="00F472E5">
        <w:t xml:space="preserve"> on or after 1 July 2020.</w:t>
      </w:r>
    </w:p>
    <w:p w14:paraId="57B5CA19" w14:textId="0BD8938D" w:rsidR="00D546A7" w:rsidRDefault="00F55FC3" w:rsidP="00F55FC3">
      <w:pPr>
        <w:spacing w:line="360" w:lineRule="auto"/>
      </w:pPr>
      <w:r>
        <w:t xml:space="preserve">This clause </w:t>
      </w:r>
      <w:r w:rsidR="00F472E5">
        <w:t xml:space="preserve">works toward preventing </w:t>
      </w:r>
      <w:r>
        <w:t xml:space="preserve">a new generation of tenants </w:t>
      </w:r>
      <w:r w:rsidR="00F472E5">
        <w:t xml:space="preserve">potentially being exposed to </w:t>
      </w:r>
      <w:r>
        <w:t xml:space="preserve">loose-fill asbestos. </w:t>
      </w:r>
    </w:p>
    <w:p w14:paraId="1567AA17" w14:textId="6479E1A3" w:rsidR="00381963" w:rsidRDefault="00381963" w:rsidP="00F55FC3">
      <w:pPr>
        <w:spacing w:line="360" w:lineRule="auto"/>
      </w:pPr>
      <w:r>
        <w:t>If any agreement</w:t>
      </w:r>
      <w:r w:rsidR="00F472E5">
        <w:t xml:space="preserve"> that is void under </w:t>
      </w:r>
      <w:r>
        <w:t xml:space="preserve">section 64AC is entered into, a person may apply to ACAT for an order that the lessor or tenant of the premises (in the case of a residential tenancy agreement or sublet), or grantor (in the case of an occupancy agreement) pay a person compensation for any money paid under the agreement. </w:t>
      </w:r>
    </w:p>
    <w:p w14:paraId="5FAF06EB" w14:textId="732E9886" w:rsidR="0088691A" w:rsidRDefault="0088691A" w:rsidP="008F1BD1">
      <w:pPr>
        <w:tabs>
          <w:tab w:val="left" w:pos="2127"/>
        </w:tabs>
        <w:spacing w:line="360" w:lineRule="auto"/>
        <w:rPr>
          <w:b/>
          <w:bCs/>
          <w:i/>
          <w:iCs/>
        </w:rPr>
      </w:pPr>
      <w:r>
        <w:rPr>
          <w:b/>
          <w:bCs/>
        </w:rPr>
        <w:t xml:space="preserve">Clause </w:t>
      </w:r>
      <w:r w:rsidR="00F472E5">
        <w:rPr>
          <w:b/>
          <w:bCs/>
        </w:rPr>
        <w:t>54</w:t>
      </w:r>
      <w:r w:rsidR="008F1BD1">
        <w:rPr>
          <w:b/>
          <w:bCs/>
        </w:rPr>
        <w:tab/>
      </w:r>
      <w:r w:rsidR="00890B1B">
        <w:rPr>
          <w:b/>
          <w:bCs/>
        </w:rPr>
        <w:t xml:space="preserve">Dictionary, definition of </w:t>
      </w:r>
      <w:r w:rsidR="00890B1B">
        <w:rPr>
          <w:b/>
          <w:bCs/>
          <w:i/>
          <w:iCs/>
        </w:rPr>
        <w:t xml:space="preserve">affected residential premises </w:t>
      </w:r>
    </w:p>
    <w:p w14:paraId="7A412FC7" w14:textId="1C6B39E9" w:rsidR="00890B1B" w:rsidRDefault="00890B1B" w:rsidP="00890B1B">
      <w:pPr>
        <w:tabs>
          <w:tab w:val="left" w:pos="1504"/>
        </w:tabs>
        <w:spacing w:line="360" w:lineRule="auto"/>
        <w:rPr>
          <w:b/>
          <w:bCs/>
          <w:i/>
          <w:iCs/>
        </w:rPr>
      </w:pPr>
      <w:r>
        <w:rPr>
          <w:b/>
          <w:bCs/>
        </w:rPr>
        <w:tab/>
      </w:r>
      <w:r w:rsidR="00F472E5">
        <w:rPr>
          <w:b/>
          <w:bCs/>
        </w:rPr>
        <w:tab/>
      </w:r>
      <w:r>
        <w:rPr>
          <w:b/>
          <w:bCs/>
        </w:rPr>
        <w:t xml:space="preserve">Dictionary, definition of </w:t>
      </w:r>
      <w:r>
        <w:rPr>
          <w:b/>
          <w:bCs/>
          <w:i/>
          <w:iCs/>
        </w:rPr>
        <w:t>affected residential premises register</w:t>
      </w:r>
    </w:p>
    <w:p w14:paraId="3FF1CC38" w14:textId="7AC9741E" w:rsidR="00890B1B" w:rsidRPr="00F472E5" w:rsidRDefault="00890B1B" w:rsidP="00F472E5">
      <w:pPr>
        <w:tabs>
          <w:tab w:val="left" w:pos="1504"/>
        </w:tabs>
        <w:spacing w:line="360" w:lineRule="auto"/>
        <w:rPr>
          <w:b/>
          <w:bCs/>
        </w:rPr>
      </w:pPr>
      <w:r>
        <w:t xml:space="preserve">These clauses update these definitions in the </w:t>
      </w:r>
      <w:r>
        <w:rPr>
          <w:i/>
          <w:iCs/>
        </w:rPr>
        <w:t>Residential Tenancies Act 1997</w:t>
      </w:r>
      <w:r>
        <w:t xml:space="preserve"> to reflect amendments introduced by the Bill. </w:t>
      </w:r>
    </w:p>
    <w:p w14:paraId="2A10E716" w14:textId="58996B05" w:rsidR="003033C9" w:rsidRPr="00F472E5" w:rsidRDefault="003033C9" w:rsidP="003033C9">
      <w:pPr>
        <w:keepNext/>
        <w:rPr>
          <w:b/>
          <w:sz w:val="36"/>
          <w:szCs w:val="36"/>
        </w:rPr>
      </w:pPr>
      <w:r w:rsidRPr="00F472E5">
        <w:rPr>
          <w:b/>
          <w:bCs/>
          <w:sz w:val="36"/>
          <w:szCs w:val="36"/>
        </w:rPr>
        <w:lastRenderedPageBreak/>
        <w:t xml:space="preserve">Schedule 1 </w:t>
      </w:r>
      <w:r w:rsidRPr="00F472E5">
        <w:rPr>
          <w:b/>
          <w:sz w:val="36"/>
          <w:szCs w:val="36"/>
        </w:rPr>
        <w:tab/>
        <w:t xml:space="preserve">Consequential amendments </w:t>
      </w:r>
    </w:p>
    <w:p w14:paraId="5EF5090A" w14:textId="2173A656" w:rsidR="003033C9" w:rsidRDefault="00CC6123" w:rsidP="00F472E5">
      <w:pPr>
        <w:keepNext/>
        <w:spacing w:line="360" w:lineRule="auto"/>
        <w:rPr>
          <w:bCs/>
          <w:szCs w:val="24"/>
        </w:rPr>
      </w:pPr>
      <w:r>
        <w:rPr>
          <w:bCs/>
          <w:szCs w:val="24"/>
        </w:rPr>
        <w:t>Schedule 1 makes necessary consequential amendments to a number of pieces of legislation</w:t>
      </w:r>
      <w:r w:rsidR="00E00353">
        <w:rPr>
          <w:bCs/>
          <w:szCs w:val="24"/>
        </w:rPr>
        <w:t xml:space="preserve">, necessary as a result of the provisions of </w:t>
      </w:r>
      <w:r w:rsidR="00B133A8">
        <w:rPr>
          <w:bCs/>
          <w:szCs w:val="24"/>
        </w:rPr>
        <w:t>the</w:t>
      </w:r>
      <w:r w:rsidR="00E00353">
        <w:rPr>
          <w:bCs/>
          <w:szCs w:val="24"/>
        </w:rPr>
        <w:t xml:space="preserve"> Bill. </w:t>
      </w:r>
    </w:p>
    <w:p w14:paraId="18389091" w14:textId="1AE7CF03" w:rsidR="00E00353" w:rsidRDefault="00253F0D" w:rsidP="00E66AB0">
      <w:pPr>
        <w:keepNext/>
        <w:spacing w:line="360" w:lineRule="auto"/>
        <w:rPr>
          <w:bCs/>
          <w:szCs w:val="24"/>
        </w:rPr>
      </w:pPr>
      <w:r>
        <w:rPr>
          <w:bCs/>
          <w:szCs w:val="24"/>
        </w:rPr>
        <w:t>Consequential amendments</w:t>
      </w:r>
      <w:r w:rsidR="00B133A8">
        <w:rPr>
          <w:bCs/>
          <w:szCs w:val="24"/>
        </w:rPr>
        <w:t xml:space="preserve"> necessitating explanation</w:t>
      </w:r>
      <w:r w:rsidR="00E00353">
        <w:rPr>
          <w:bCs/>
          <w:szCs w:val="24"/>
        </w:rPr>
        <w:t xml:space="preserve"> </w:t>
      </w:r>
      <w:r>
        <w:rPr>
          <w:bCs/>
          <w:szCs w:val="24"/>
        </w:rPr>
        <w:t>are</w:t>
      </w:r>
      <w:r w:rsidR="00E00353">
        <w:rPr>
          <w:bCs/>
          <w:szCs w:val="24"/>
        </w:rPr>
        <w:t xml:space="preserve"> new section</w:t>
      </w:r>
      <w:r w:rsidR="00F35B59">
        <w:rPr>
          <w:bCs/>
          <w:szCs w:val="24"/>
        </w:rPr>
        <w:t>s</w:t>
      </w:r>
      <w:r w:rsidR="00E00353">
        <w:rPr>
          <w:bCs/>
          <w:szCs w:val="24"/>
        </w:rPr>
        <w:t xml:space="preserve"> 69A(ba)</w:t>
      </w:r>
      <w:r w:rsidR="00F35B59">
        <w:rPr>
          <w:bCs/>
          <w:szCs w:val="24"/>
        </w:rPr>
        <w:t>, 69C(2A) and 69</w:t>
      </w:r>
      <w:r w:rsidR="00F472E5">
        <w:rPr>
          <w:bCs/>
          <w:szCs w:val="24"/>
        </w:rPr>
        <w:t>C (</w:t>
      </w:r>
      <w:r w:rsidR="00F35B59">
        <w:rPr>
          <w:bCs/>
          <w:szCs w:val="24"/>
        </w:rPr>
        <w:t>4)</w:t>
      </w:r>
      <w:r w:rsidR="00E00353">
        <w:rPr>
          <w:bCs/>
          <w:szCs w:val="24"/>
        </w:rPr>
        <w:t xml:space="preserve"> </w:t>
      </w:r>
      <w:r w:rsidR="00BF6228">
        <w:rPr>
          <w:bCs/>
          <w:szCs w:val="24"/>
        </w:rPr>
        <w:t>of</w:t>
      </w:r>
      <w:r w:rsidR="00E00353">
        <w:rPr>
          <w:bCs/>
          <w:szCs w:val="24"/>
        </w:rPr>
        <w:t xml:space="preserve"> the </w:t>
      </w:r>
      <w:r w:rsidR="00E00353">
        <w:rPr>
          <w:bCs/>
          <w:i/>
          <w:iCs/>
          <w:szCs w:val="24"/>
        </w:rPr>
        <w:t xml:space="preserve">Land Titles Act 1925. </w:t>
      </w:r>
      <w:r w:rsidR="00E00353">
        <w:rPr>
          <w:bCs/>
          <w:szCs w:val="24"/>
        </w:rPr>
        <w:t>Th</w:t>
      </w:r>
      <w:r>
        <w:rPr>
          <w:bCs/>
          <w:szCs w:val="24"/>
        </w:rPr>
        <w:t>ese amendments are</w:t>
      </w:r>
      <w:r w:rsidR="00E00353">
        <w:rPr>
          <w:bCs/>
          <w:szCs w:val="24"/>
        </w:rPr>
        <w:t xml:space="preserve"> intended to clarify that an administrative interest may be placed on </w:t>
      </w:r>
      <w:r w:rsidR="00D02039">
        <w:rPr>
          <w:bCs/>
          <w:szCs w:val="24"/>
        </w:rPr>
        <w:t xml:space="preserve">the title of premises on the affected residential premises register. Administrative interests </w:t>
      </w:r>
      <w:r w:rsidR="00EC15AC">
        <w:rPr>
          <w:bCs/>
          <w:szCs w:val="24"/>
        </w:rPr>
        <w:t>currently exist on affected</w:t>
      </w:r>
      <w:r w:rsidR="00D02039">
        <w:rPr>
          <w:bCs/>
          <w:szCs w:val="24"/>
        </w:rPr>
        <w:t xml:space="preserve"> properties to note that that they are on the register</w:t>
      </w:r>
      <w:r w:rsidR="00F472E5">
        <w:rPr>
          <w:bCs/>
          <w:szCs w:val="24"/>
        </w:rPr>
        <w:t>.</w:t>
      </w:r>
      <w:r w:rsidR="00D02039">
        <w:rPr>
          <w:bCs/>
          <w:szCs w:val="24"/>
        </w:rPr>
        <w:t xml:space="preserve"> </w:t>
      </w:r>
      <w:r w:rsidR="00E66AB0">
        <w:rPr>
          <w:bCs/>
          <w:szCs w:val="24"/>
        </w:rPr>
        <w:t xml:space="preserve">This amendment is intended to </w:t>
      </w:r>
      <w:r w:rsidR="00F35B59">
        <w:rPr>
          <w:bCs/>
          <w:szCs w:val="24"/>
        </w:rPr>
        <w:t>make clear</w:t>
      </w:r>
      <w:r w:rsidR="00E66AB0">
        <w:rPr>
          <w:bCs/>
          <w:szCs w:val="24"/>
        </w:rPr>
        <w:t xml:space="preserve"> that an</w:t>
      </w:r>
      <w:r w:rsidR="00F472E5">
        <w:rPr>
          <w:bCs/>
          <w:szCs w:val="24"/>
        </w:rPr>
        <w:t xml:space="preserve"> administrative</w:t>
      </w:r>
      <w:r w:rsidR="00E66AB0">
        <w:rPr>
          <w:bCs/>
          <w:szCs w:val="24"/>
        </w:rPr>
        <w:t xml:space="preserve"> interest may </w:t>
      </w:r>
      <w:r w:rsidR="00F472E5">
        <w:rPr>
          <w:bCs/>
          <w:szCs w:val="24"/>
        </w:rPr>
        <w:t xml:space="preserve">also </w:t>
      </w:r>
      <w:r w:rsidR="00E66AB0">
        <w:rPr>
          <w:bCs/>
          <w:szCs w:val="24"/>
        </w:rPr>
        <w:t>be placed on</w:t>
      </w:r>
      <w:r w:rsidR="00F35B59">
        <w:rPr>
          <w:bCs/>
          <w:szCs w:val="24"/>
        </w:rPr>
        <w:t xml:space="preserve"> the</w:t>
      </w:r>
      <w:r w:rsidR="00E66AB0">
        <w:rPr>
          <w:bCs/>
          <w:szCs w:val="24"/>
        </w:rPr>
        <w:t xml:space="preserve"> title </w:t>
      </w:r>
      <w:r w:rsidR="00F35B59">
        <w:rPr>
          <w:bCs/>
          <w:szCs w:val="24"/>
        </w:rPr>
        <w:t>of an affected residential premises</w:t>
      </w:r>
      <w:r w:rsidR="00F472E5">
        <w:rPr>
          <w:bCs/>
          <w:szCs w:val="24"/>
        </w:rPr>
        <w:t xml:space="preserve"> noting that an </w:t>
      </w:r>
      <w:r w:rsidR="00E66AB0">
        <w:rPr>
          <w:bCs/>
          <w:szCs w:val="24"/>
        </w:rPr>
        <w:t xml:space="preserve">occupancy prohibition </w:t>
      </w:r>
      <w:r w:rsidR="00593776">
        <w:rPr>
          <w:bCs/>
          <w:szCs w:val="24"/>
        </w:rPr>
        <w:t>will</w:t>
      </w:r>
      <w:r w:rsidR="00F472E5">
        <w:rPr>
          <w:bCs/>
          <w:szCs w:val="24"/>
        </w:rPr>
        <w:t xml:space="preserve"> be triggered </w:t>
      </w:r>
      <w:r w:rsidR="00E66AB0">
        <w:rPr>
          <w:bCs/>
          <w:szCs w:val="24"/>
        </w:rPr>
        <w:t>for the premises</w:t>
      </w:r>
      <w:r w:rsidR="00593776">
        <w:rPr>
          <w:bCs/>
          <w:szCs w:val="24"/>
        </w:rPr>
        <w:t xml:space="preserve"> upon transfer or transmission of title; </w:t>
      </w:r>
      <w:r w:rsidR="00E66AB0">
        <w:rPr>
          <w:bCs/>
          <w:szCs w:val="24"/>
        </w:rPr>
        <w:t xml:space="preserve">and that the premises may be acquired by the Territory under the </w:t>
      </w:r>
      <w:r w:rsidR="00E66AB0">
        <w:rPr>
          <w:bCs/>
          <w:i/>
          <w:iCs/>
          <w:szCs w:val="24"/>
        </w:rPr>
        <w:t>Lands Acquisition Act 1</w:t>
      </w:r>
      <w:r w:rsidR="00B133A8">
        <w:rPr>
          <w:bCs/>
          <w:i/>
          <w:iCs/>
          <w:szCs w:val="24"/>
        </w:rPr>
        <w:t>9</w:t>
      </w:r>
      <w:r w:rsidR="00E66AB0">
        <w:rPr>
          <w:bCs/>
          <w:i/>
          <w:iCs/>
          <w:szCs w:val="24"/>
        </w:rPr>
        <w:t>94.</w:t>
      </w:r>
      <w:r w:rsidR="00585BA2">
        <w:rPr>
          <w:bCs/>
          <w:i/>
          <w:iCs/>
          <w:szCs w:val="24"/>
        </w:rPr>
        <w:t xml:space="preserve"> </w:t>
      </w:r>
      <w:r w:rsidR="00B133A8">
        <w:rPr>
          <w:bCs/>
          <w:szCs w:val="24"/>
        </w:rPr>
        <w:t xml:space="preserve"> </w:t>
      </w:r>
    </w:p>
    <w:p w14:paraId="5211792E" w14:textId="63DDC862" w:rsidR="00253F0D" w:rsidRPr="00253F0D" w:rsidRDefault="00253F0D" w:rsidP="00F472E5">
      <w:pPr>
        <w:keepNext/>
        <w:spacing w:line="360" w:lineRule="auto"/>
        <w:rPr>
          <w:bCs/>
          <w:szCs w:val="24"/>
        </w:rPr>
      </w:pPr>
      <w:r>
        <w:rPr>
          <w:bCs/>
          <w:szCs w:val="24"/>
        </w:rPr>
        <w:t xml:space="preserve">New sections 69C(2A) and (4) of the </w:t>
      </w:r>
      <w:r>
        <w:rPr>
          <w:bCs/>
          <w:i/>
          <w:iCs/>
          <w:szCs w:val="24"/>
        </w:rPr>
        <w:t xml:space="preserve">Land Titles Act 1925 </w:t>
      </w:r>
      <w:r>
        <w:rPr>
          <w:bCs/>
          <w:szCs w:val="24"/>
        </w:rPr>
        <w:t xml:space="preserve">also clarify that </w:t>
      </w:r>
      <w:r w:rsidR="008F1BD1">
        <w:rPr>
          <w:bCs/>
          <w:szCs w:val="24"/>
        </w:rPr>
        <w:t xml:space="preserve">the </w:t>
      </w:r>
      <w:r>
        <w:rPr>
          <w:bCs/>
          <w:szCs w:val="24"/>
        </w:rPr>
        <w:t xml:space="preserve">registrar-general may include in the record any relevant information about an administrative interest (this may include names of new owners who are approved occupants), and that the registrar-general must notify the Minister responsible for the </w:t>
      </w:r>
      <w:r>
        <w:rPr>
          <w:bCs/>
          <w:i/>
          <w:iCs/>
          <w:szCs w:val="24"/>
        </w:rPr>
        <w:t>Dangerous Substances Act</w:t>
      </w:r>
      <w:r w:rsidR="008F1BD1">
        <w:rPr>
          <w:bCs/>
          <w:i/>
          <w:iCs/>
          <w:szCs w:val="24"/>
        </w:rPr>
        <w:t xml:space="preserve"> 2004</w:t>
      </w:r>
      <w:r>
        <w:rPr>
          <w:bCs/>
          <w:szCs w:val="24"/>
        </w:rPr>
        <w:t xml:space="preserve"> when any information about an administrative interest is included in the record. This will ensure that the Minister is aware of any relevant details in relation to an affected property, such as whether the property is subject to an occupancy prohibition, and whether </w:t>
      </w:r>
      <w:r w:rsidR="00904B1B">
        <w:rPr>
          <w:bCs/>
          <w:szCs w:val="24"/>
        </w:rPr>
        <w:t>an approved occupant is occupying the property.</w:t>
      </w:r>
    </w:p>
    <w:sectPr w:rsidR="00253F0D" w:rsidRPr="00253F0D" w:rsidSect="00A43F47">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276"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0016E2" w14:textId="77777777" w:rsidR="000F79CC" w:rsidRDefault="000F79CC">
      <w:pPr>
        <w:spacing w:before="0"/>
      </w:pPr>
      <w:r>
        <w:separator/>
      </w:r>
    </w:p>
  </w:endnote>
  <w:endnote w:type="continuationSeparator" w:id="0">
    <w:p w14:paraId="7CB06188" w14:textId="77777777" w:rsidR="000F79CC" w:rsidRDefault="000F79CC">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6694CA" w14:textId="77777777" w:rsidR="00A73851" w:rsidRDefault="00A738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8E0DF1" w14:textId="2205FC08" w:rsidR="005F4501" w:rsidRDefault="005F4501">
    <w:pPr>
      <w:pStyle w:val="Footer"/>
      <w:jc w:val="right"/>
    </w:pPr>
    <w:r>
      <w:fldChar w:fldCharType="begin"/>
    </w:r>
    <w:r>
      <w:instrText xml:space="preserve"> PAGE   \* MERGEFORMAT </w:instrText>
    </w:r>
    <w:r>
      <w:fldChar w:fldCharType="separate"/>
    </w:r>
    <w:r>
      <w:rPr>
        <w:noProof/>
      </w:rPr>
      <w:t>7</w:t>
    </w:r>
    <w:r>
      <w:fldChar w:fldCharType="end"/>
    </w:r>
  </w:p>
  <w:p w14:paraId="5AA2918D" w14:textId="29B6B57A" w:rsidR="006716D7" w:rsidRPr="006716D7" w:rsidRDefault="006716D7" w:rsidP="006716D7">
    <w:pPr>
      <w:pStyle w:val="Footer"/>
      <w:jc w:val="center"/>
      <w:rPr>
        <w:rFonts w:ascii="Arial" w:hAnsi="Arial" w:cs="Arial"/>
        <w:sz w:val="14"/>
      </w:rPr>
    </w:pPr>
    <w:r w:rsidRPr="006716D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D35A01" w14:textId="78244207" w:rsidR="005F4501" w:rsidRPr="006716D7" w:rsidRDefault="006716D7" w:rsidP="006716D7">
    <w:pPr>
      <w:pStyle w:val="Footer"/>
      <w:jc w:val="center"/>
      <w:rPr>
        <w:rFonts w:ascii="Arial" w:hAnsi="Arial" w:cs="Arial"/>
        <w:sz w:val="14"/>
      </w:rPr>
    </w:pPr>
    <w:r w:rsidRPr="006716D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EB98B1" w14:textId="77777777" w:rsidR="000F79CC" w:rsidRDefault="000F79CC">
      <w:pPr>
        <w:spacing w:before="0"/>
      </w:pPr>
      <w:r>
        <w:separator/>
      </w:r>
    </w:p>
  </w:footnote>
  <w:footnote w:type="continuationSeparator" w:id="0">
    <w:p w14:paraId="7D814454" w14:textId="77777777" w:rsidR="000F79CC" w:rsidRDefault="000F79CC">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B39E1B" w14:textId="77777777" w:rsidR="00A73851" w:rsidRDefault="00A738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F8C37E" w14:textId="3CEFB20C" w:rsidR="005F4501" w:rsidRPr="00FA3E04" w:rsidRDefault="005F4501" w:rsidP="00A43F47">
    <w:pPr>
      <w:pStyle w:val="Header"/>
      <w:jc w:val="center"/>
      <w:rPr>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2D31FD" w14:textId="4B66AC60" w:rsidR="005F4501" w:rsidRPr="00FA3E04" w:rsidRDefault="005F4501" w:rsidP="00A43F47">
    <w:pPr>
      <w:pStyle w:val="Header"/>
      <w:jc w:val="center"/>
      <w:rPr>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8182CB0"/>
    <w:multiLevelType w:val="hybridMultilevel"/>
    <w:tmpl w:val="9D5C6AD8"/>
    <w:lvl w:ilvl="0" w:tplc="18083398">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84325D7"/>
    <w:multiLevelType w:val="hybridMultilevel"/>
    <w:tmpl w:val="B8B473A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E4F1DF6"/>
    <w:multiLevelType w:val="hybridMultilevel"/>
    <w:tmpl w:val="0E24C40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0983D9D"/>
    <w:multiLevelType w:val="hybridMultilevel"/>
    <w:tmpl w:val="C4A8D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F8270BF"/>
    <w:multiLevelType w:val="hybridMultilevel"/>
    <w:tmpl w:val="460A73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6F24E93"/>
    <w:multiLevelType w:val="hybridMultilevel"/>
    <w:tmpl w:val="7CF2EBE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B5D3DB4"/>
    <w:multiLevelType w:val="hybridMultilevel"/>
    <w:tmpl w:val="94A60AA8"/>
    <w:lvl w:ilvl="0" w:tplc="785E4A9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EAA78DB"/>
    <w:multiLevelType w:val="hybridMultilevel"/>
    <w:tmpl w:val="B7FCEA6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F144152"/>
    <w:multiLevelType w:val="hybridMultilevel"/>
    <w:tmpl w:val="B8B473A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FC13F70"/>
    <w:multiLevelType w:val="hybridMultilevel"/>
    <w:tmpl w:val="B8B473A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6A51AD9"/>
    <w:multiLevelType w:val="hybridMultilevel"/>
    <w:tmpl w:val="AD504EF2"/>
    <w:lvl w:ilvl="0" w:tplc="044AFF1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A952F05"/>
    <w:multiLevelType w:val="hybridMultilevel"/>
    <w:tmpl w:val="10D2953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4E307AD"/>
    <w:multiLevelType w:val="hybridMultilevel"/>
    <w:tmpl w:val="B8B473A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5C701DF"/>
    <w:multiLevelType w:val="hybridMultilevel"/>
    <w:tmpl w:val="FA44CF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6DE489C"/>
    <w:multiLevelType w:val="hybridMultilevel"/>
    <w:tmpl w:val="E432EF3A"/>
    <w:lvl w:ilvl="0" w:tplc="A45C0DC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BC96E20"/>
    <w:multiLevelType w:val="hybridMultilevel"/>
    <w:tmpl w:val="3F9007B8"/>
    <w:lvl w:ilvl="0" w:tplc="0C090011">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D95728D"/>
    <w:multiLevelType w:val="multilevel"/>
    <w:tmpl w:val="9DB256AC"/>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8" w15:restartNumberingAfterBreak="0">
    <w:nsid w:val="740524E3"/>
    <w:multiLevelType w:val="hybridMultilevel"/>
    <w:tmpl w:val="B7FCEA6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74150D6D"/>
    <w:multiLevelType w:val="multilevel"/>
    <w:tmpl w:val="9DB256AC"/>
    <w:lvl w:ilvl="0">
      <w:start w:val="1"/>
      <w:numFmt w:val="decimal"/>
      <w:lvlText w:val="%1)"/>
      <w:lvlJc w:val="left"/>
      <w:pPr>
        <w:tabs>
          <w:tab w:val="num" w:pos="1919"/>
        </w:tabs>
        <w:ind w:left="1919" w:hanging="360"/>
      </w:pPr>
      <w:rPr>
        <w:rFonts w:cs="Times New Roman" w:hint="default"/>
      </w:rPr>
    </w:lvl>
    <w:lvl w:ilvl="1">
      <w:start w:val="1"/>
      <w:numFmt w:val="lowerLetter"/>
      <w:lvlText w:val="%2)"/>
      <w:lvlJc w:val="left"/>
      <w:pPr>
        <w:tabs>
          <w:tab w:val="num" w:pos="2279"/>
        </w:tabs>
        <w:ind w:left="2279" w:hanging="360"/>
      </w:pPr>
      <w:rPr>
        <w:rFonts w:cs="Times New Roman" w:hint="default"/>
      </w:rPr>
    </w:lvl>
    <w:lvl w:ilvl="2">
      <w:start w:val="1"/>
      <w:numFmt w:val="lowerRoman"/>
      <w:lvlText w:val="%3)"/>
      <w:lvlJc w:val="left"/>
      <w:pPr>
        <w:tabs>
          <w:tab w:val="num" w:pos="2639"/>
        </w:tabs>
        <w:ind w:left="2639" w:hanging="360"/>
      </w:pPr>
      <w:rPr>
        <w:rFonts w:cs="Times New Roman" w:hint="default"/>
      </w:rPr>
    </w:lvl>
    <w:lvl w:ilvl="3">
      <w:start w:val="1"/>
      <w:numFmt w:val="upperLetter"/>
      <w:lvlText w:val="(%4)"/>
      <w:lvlJc w:val="left"/>
      <w:pPr>
        <w:tabs>
          <w:tab w:val="num" w:pos="2999"/>
        </w:tabs>
        <w:ind w:left="2999" w:hanging="360"/>
      </w:pPr>
      <w:rPr>
        <w:rFonts w:cs="Times New Roman" w:hint="default"/>
      </w:rPr>
    </w:lvl>
    <w:lvl w:ilvl="4">
      <w:start w:val="1"/>
      <w:numFmt w:val="lowerLetter"/>
      <w:lvlText w:val="(%5)"/>
      <w:lvlJc w:val="left"/>
      <w:pPr>
        <w:tabs>
          <w:tab w:val="num" w:pos="3359"/>
        </w:tabs>
        <w:ind w:left="3359" w:hanging="360"/>
      </w:pPr>
      <w:rPr>
        <w:rFonts w:cs="Times New Roman" w:hint="default"/>
      </w:rPr>
    </w:lvl>
    <w:lvl w:ilvl="5">
      <w:start w:val="1"/>
      <w:numFmt w:val="lowerRoman"/>
      <w:lvlText w:val="(%6)"/>
      <w:lvlJc w:val="left"/>
      <w:pPr>
        <w:tabs>
          <w:tab w:val="num" w:pos="3719"/>
        </w:tabs>
        <w:ind w:left="3719" w:hanging="360"/>
      </w:pPr>
      <w:rPr>
        <w:rFonts w:cs="Times New Roman" w:hint="default"/>
      </w:rPr>
    </w:lvl>
    <w:lvl w:ilvl="6">
      <w:start w:val="1"/>
      <w:numFmt w:val="decimal"/>
      <w:lvlText w:val="%7."/>
      <w:lvlJc w:val="left"/>
      <w:pPr>
        <w:tabs>
          <w:tab w:val="num" w:pos="4079"/>
        </w:tabs>
        <w:ind w:left="4079" w:hanging="360"/>
      </w:pPr>
      <w:rPr>
        <w:rFonts w:cs="Times New Roman" w:hint="default"/>
      </w:rPr>
    </w:lvl>
    <w:lvl w:ilvl="7">
      <w:start w:val="1"/>
      <w:numFmt w:val="lowerLetter"/>
      <w:lvlText w:val="%8."/>
      <w:lvlJc w:val="left"/>
      <w:pPr>
        <w:tabs>
          <w:tab w:val="num" w:pos="4439"/>
        </w:tabs>
        <w:ind w:left="4439" w:hanging="360"/>
      </w:pPr>
      <w:rPr>
        <w:rFonts w:cs="Times New Roman" w:hint="default"/>
      </w:rPr>
    </w:lvl>
    <w:lvl w:ilvl="8">
      <w:start w:val="1"/>
      <w:numFmt w:val="lowerRoman"/>
      <w:lvlText w:val="%9."/>
      <w:lvlJc w:val="left"/>
      <w:pPr>
        <w:tabs>
          <w:tab w:val="num" w:pos="4799"/>
        </w:tabs>
        <w:ind w:left="4799" w:hanging="360"/>
      </w:pPr>
      <w:rPr>
        <w:rFonts w:cs="Times New Roman" w:hint="default"/>
      </w:rPr>
    </w:lvl>
  </w:abstractNum>
  <w:abstractNum w:abstractNumId="20" w15:restartNumberingAfterBreak="0">
    <w:nsid w:val="75C00A62"/>
    <w:multiLevelType w:val="hybridMultilevel"/>
    <w:tmpl w:val="212E2B78"/>
    <w:lvl w:ilvl="0" w:tplc="0C090011">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89F3B33"/>
    <w:multiLevelType w:val="hybridMultilevel"/>
    <w:tmpl w:val="69EAC4FE"/>
    <w:lvl w:ilvl="0" w:tplc="C8421F10">
      <w:start w:val="1"/>
      <w:numFmt w:val="decimal"/>
      <w:lvlText w:val="(%1)"/>
      <w:lvlJc w:val="left"/>
      <w:pPr>
        <w:ind w:left="720" w:hanging="360"/>
      </w:pPr>
      <w:rPr>
        <w:rFonts w:ascii="Calibri" w:eastAsia="Times New Roman" w:hAnsi="Calibri" w:cs="Calibr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7C812620"/>
    <w:multiLevelType w:val="hybridMultilevel"/>
    <w:tmpl w:val="E482FCC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abstractNumId w:val="17"/>
  </w:num>
  <w:num w:numId="2">
    <w:abstractNumId w:val="4"/>
  </w:num>
  <w:num w:numId="3">
    <w:abstractNumId w:val="5"/>
  </w:num>
  <w:num w:numId="4">
    <w:abstractNumId w:val="14"/>
  </w:num>
  <w:num w:numId="5">
    <w:abstractNumId w:val="20"/>
  </w:num>
  <w:num w:numId="6">
    <w:abstractNumId w:val="16"/>
  </w:num>
  <w:num w:numId="7">
    <w:abstractNumId w:val="1"/>
  </w:num>
  <w:num w:numId="8">
    <w:abstractNumId w:val="11"/>
  </w:num>
  <w:num w:numId="9">
    <w:abstractNumId w:val="7"/>
  </w:num>
  <w:num w:numId="10">
    <w:abstractNumId w:val="15"/>
  </w:num>
  <w:num w:numId="11">
    <w:abstractNumId w:val="12"/>
  </w:num>
  <w:num w:numId="12">
    <w:abstractNumId w:val="19"/>
  </w:num>
  <w:num w:numId="13">
    <w:abstractNumId w:val="0"/>
  </w:num>
  <w:num w:numId="14">
    <w:abstractNumId w:val="8"/>
  </w:num>
  <w:num w:numId="15">
    <w:abstractNumId w:val="2"/>
  </w:num>
  <w:num w:numId="16">
    <w:abstractNumId w:val="6"/>
  </w:num>
  <w:num w:numId="17">
    <w:abstractNumId w:val="18"/>
  </w:num>
  <w:num w:numId="18">
    <w:abstractNumId w:val="21"/>
  </w:num>
  <w:num w:numId="19">
    <w:abstractNumId w:val="3"/>
  </w:num>
  <w:num w:numId="20">
    <w:abstractNumId w:val="9"/>
  </w:num>
  <w:num w:numId="21">
    <w:abstractNumId w:val="13"/>
  </w:num>
  <w:num w:numId="22">
    <w:abstractNumId w:val="10"/>
  </w:num>
  <w:num w:numId="2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14D7"/>
    <w:rsid w:val="000027CE"/>
    <w:rsid w:val="000116AD"/>
    <w:rsid w:val="00013E5F"/>
    <w:rsid w:val="00016330"/>
    <w:rsid w:val="0002247E"/>
    <w:rsid w:val="00031D29"/>
    <w:rsid w:val="000347E6"/>
    <w:rsid w:val="000351AD"/>
    <w:rsid w:val="00043FDF"/>
    <w:rsid w:val="00044309"/>
    <w:rsid w:val="000456A6"/>
    <w:rsid w:val="00045BEA"/>
    <w:rsid w:val="00046078"/>
    <w:rsid w:val="000470FB"/>
    <w:rsid w:val="000540FE"/>
    <w:rsid w:val="00055681"/>
    <w:rsid w:val="00060BAD"/>
    <w:rsid w:val="00065726"/>
    <w:rsid w:val="000708B1"/>
    <w:rsid w:val="000710B6"/>
    <w:rsid w:val="00074BCF"/>
    <w:rsid w:val="00076DD3"/>
    <w:rsid w:val="00076F87"/>
    <w:rsid w:val="000838BE"/>
    <w:rsid w:val="00085110"/>
    <w:rsid w:val="000960F0"/>
    <w:rsid w:val="000971CB"/>
    <w:rsid w:val="00097D54"/>
    <w:rsid w:val="000A32BB"/>
    <w:rsid w:val="000A3AB1"/>
    <w:rsid w:val="000A45CB"/>
    <w:rsid w:val="000B0157"/>
    <w:rsid w:val="000B719F"/>
    <w:rsid w:val="000D1D34"/>
    <w:rsid w:val="000D2A53"/>
    <w:rsid w:val="000D5F4E"/>
    <w:rsid w:val="000E6513"/>
    <w:rsid w:val="000E7F8D"/>
    <w:rsid w:val="000F554E"/>
    <w:rsid w:val="000F79CC"/>
    <w:rsid w:val="00104D12"/>
    <w:rsid w:val="001106E9"/>
    <w:rsid w:val="00117807"/>
    <w:rsid w:val="001222B9"/>
    <w:rsid w:val="00126DDB"/>
    <w:rsid w:val="00133749"/>
    <w:rsid w:val="0014298A"/>
    <w:rsid w:val="0014377B"/>
    <w:rsid w:val="00144650"/>
    <w:rsid w:val="00146179"/>
    <w:rsid w:val="00151B0C"/>
    <w:rsid w:val="00155328"/>
    <w:rsid w:val="00156A1B"/>
    <w:rsid w:val="00157FE5"/>
    <w:rsid w:val="0016099E"/>
    <w:rsid w:val="00161D07"/>
    <w:rsid w:val="00162373"/>
    <w:rsid w:val="00162563"/>
    <w:rsid w:val="00162CB3"/>
    <w:rsid w:val="00165051"/>
    <w:rsid w:val="00170C7A"/>
    <w:rsid w:val="001767E2"/>
    <w:rsid w:val="0018655C"/>
    <w:rsid w:val="00197872"/>
    <w:rsid w:val="001A0E62"/>
    <w:rsid w:val="001A41A4"/>
    <w:rsid w:val="001A42A8"/>
    <w:rsid w:val="001A7448"/>
    <w:rsid w:val="001B58EE"/>
    <w:rsid w:val="001B5F83"/>
    <w:rsid w:val="001C1A17"/>
    <w:rsid w:val="001C5A55"/>
    <w:rsid w:val="001C6A02"/>
    <w:rsid w:val="001D0015"/>
    <w:rsid w:val="001D10F1"/>
    <w:rsid w:val="001D1A5C"/>
    <w:rsid w:val="001D201E"/>
    <w:rsid w:val="001D2874"/>
    <w:rsid w:val="001D28DE"/>
    <w:rsid w:val="001D71AD"/>
    <w:rsid w:val="001D74DB"/>
    <w:rsid w:val="001E4D0A"/>
    <w:rsid w:val="001E5186"/>
    <w:rsid w:val="001E5734"/>
    <w:rsid w:val="001F0632"/>
    <w:rsid w:val="001F1815"/>
    <w:rsid w:val="001F7331"/>
    <w:rsid w:val="001F7599"/>
    <w:rsid w:val="00201423"/>
    <w:rsid w:val="002021F2"/>
    <w:rsid w:val="00202C94"/>
    <w:rsid w:val="00202DDE"/>
    <w:rsid w:val="00207566"/>
    <w:rsid w:val="00214C40"/>
    <w:rsid w:val="002232AB"/>
    <w:rsid w:val="00231D5C"/>
    <w:rsid w:val="00235B98"/>
    <w:rsid w:val="0024255E"/>
    <w:rsid w:val="00243E5C"/>
    <w:rsid w:val="0024487B"/>
    <w:rsid w:val="00247E07"/>
    <w:rsid w:val="00253F0D"/>
    <w:rsid w:val="0025430E"/>
    <w:rsid w:val="002548FD"/>
    <w:rsid w:val="002667A4"/>
    <w:rsid w:val="00267F7C"/>
    <w:rsid w:val="0027173E"/>
    <w:rsid w:val="002750F2"/>
    <w:rsid w:val="00275B97"/>
    <w:rsid w:val="00281D44"/>
    <w:rsid w:val="002838B1"/>
    <w:rsid w:val="00283ED9"/>
    <w:rsid w:val="00291F71"/>
    <w:rsid w:val="002956B4"/>
    <w:rsid w:val="002A3E98"/>
    <w:rsid w:val="002B0F02"/>
    <w:rsid w:val="002B5A64"/>
    <w:rsid w:val="002D6CDA"/>
    <w:rsid w:val="002E4BD0"/>
    <w:rsid w:val="002E79AF"/>
    <w:rsid w:val="002F13AF"/>
    <w:rsid w:val="002F3769"/>
    <w:rsid w:val="002F4E1A"/>
    <w:rsid w:val="00300EDE"/>
    <w:rsid w:val="003033C9"/>
    <w:rsid w:val="003056FC"/>
    <w:rsid w:val="00312990"/>
    <w:rsid w:val="003173D3"/>
    <w:rsid w:val="00320B24"/>
    <w:rsid w:val="00326389"/>
    <w:rsid w:val="00331792"/>
    <w:rsid w:val="00331B4E"/>
    <w:rsid w:val="003405FC"/>
    <w:rsid w:val="00340F96"/>
    <w:rsid w:val="0034120A"/>
    <w:rsid w:val="00341219"/>
    <w:rsid w:val="00353CF0"/>
    <w:rsid w:val="00361DE8"/>
    <w:rsid w:val="00361E51"/>
    <w:rsid w:val="00362910"/>
    <w:rsid w:val="00364DE7"/>
    <w:rsid w:val="0036601D"/>
    <w:rsid w:val="00370F05"/>
    <w:rsid w:val="00371100"/>
    <w:rsid w:val="003745A5"/>
    <w:rsid w:val="003768AF"/>
    <w:rsid w:val="00381963"/>
    <w:rsid w:val="003849A1"/>
    <w:rsid w:val="0039319D"/>
    <w:rsid w:val="00393C16"/>
    <w:rsid w:val="003A50E2"/>
    <w:rsid w:val="003B28E7"/>
    <w:rsid w:val="003B32DE"/>
    <w:rsid w:val="003B4257"/>
    <w:rsid w:val="003B5DA7"/>
    <w:rsid w:val="003C4E15"/>
    <w:rsid w:val="003D0556"/>
    <w:rsid w:val="003D13E6"/>
    <w:rsid w:val="003D468B"/>
    <w:rsid w:val="003E2AA1"/>
    <w:rsid w:val="003E7013"/>
    <w:rsid w:val="003F6A80"/>
    <w:rsid w:val="00403039"/>
    <w:rsid w:val="004105EC"/>
    <w:rsid w:val="00412B8F"/>
    <w:rsid w:val="00416F45"/>
    <w:rsid w:val="00420252"/>
    <w:rsid w:val="004247CB"/>
    <w:rsid w:val="0043037D"/>
    <w:rsid w:val="00430566"/>
    <w:rsid w:val="00431CA0"/>
    <w:rsid w:val="004330F5"/>
    <w:rsid w:val="0045208E"/>
    <w:rsid w:val="004559BE"/>
    <w:rsid w:val="00462156"/>
    <w:rsid w:val="00467EF1"/>
    <w:rsid w:val="00470CE4"/>
    <w:rsid w:val="00471209"/>
    <w:rsid w:val="00484A77"/>
    <w:rsid w:val="00484E52"/>
    <w:rsid w:val="00492071"/>
    <w:rsid w:val="0049269F"/>
    <w:rsid w:val="004A1C49"/>
    <w:rsid w:val="004A468F"/>
    <w:rsid w:val="004A534A"/>
    <w:rsid w:val="004A71FA"/>
    <w:rsid w:val="004B4779"/>
    <w:rsid w:val="004B4B4E"/>
    <w:rsid w:val="004C47CD"/>
    <w:rsid w:val="004D2999"/>
    <w:rsid w:val="004E588D"/>
    <w:rsid w:val="004E63D8"/>
    <w:rsid w:val="004F10D3"/>
    <w:rsid w:val="00500104"/>
    <w:rsid w:val="00501A6C"/>
    <w:rsid w:val="00512284"/>
    <w:rsid w:val="0051568B"/>
    <w:rsid w:val="00516893"/>
    <w:rsid w:val="00517B9B"/>
    <w:rsid w:val="00523208"/>
    <w:rsid w:val="005240B6"/>
    <w:rsid w:val="00527CE9"/>
    <w:rsid w:val="00530C0F"/>
    <w:rsid w:val="005336BD"/>
    <w:rsid w:val="0054255D"/>
    <w:rsid w:val="00547A7B"/>
    <w:rsid w:val="00554A81"/>
    <w:rsid w:val="00560A4B"/>
    <w:rsid w:val="00562421"/>
    <w:rsid w:val="00585BA2"/>
    <w:rsid w:val="005902E5"/>
    <w:rsid w:val="00593776"/>
    <w:rsid w:val="00593F1E"/>
    <w:rsid w:val="005A0555"/>
    <w:rsid w:val="005A0E32"/>
    <w:rsid w:val="005A0E4D"/>
    <w:rsid w:val="005B254F"/>
    <w:rsid w:val="005B76AD"/>
    <w:rsid w:val="005B7E14"/>
    <w:rsid w:val="005C54B1"/>
    <w:rsid w:val="005D6754"/>
    <w:rsid w:val="005E3864"/>
    <w:rsid w:val="005F1522"/>
    <w:rsid w:val="005F2316"/>
    <w:rsid w:val="005F386A"/>
    <w:rsid w:val="005F4501"/>
    <w:rsid w:val="005F7FB7"/>
    <w:rsid w:val="006009AF"/>
    <w:rsid w:val="00607952"/>
    <w:rsid w:val="00611B50"/>
    <w:rsid w:val="00612FAC"/>
    <w:rsid w:val="0061388B"/>
    <w:rsid w:val="00617BA4"/>
    <w:rsid w:val="00622D9F"/>
    <w:rsid w:val="006235E1"/>
    <w:rsid w:val="00623CEB"/>
    <w:rsid w:val="00624739"/>
    <w:rsid w:val="006264EE"/>
    <w:rsid w:val="00633A4C"/>
    <w:rsid w:val="0063611D"/>
    <w:rsid w:val="006373F0"/>
    <w:rsid w:val="00647C92"/>
    <w:rsid w:val="00652FCA"/>
    <w:rsid w:val="006573C9"/>
    <w:rsid w:val="006705E7"/>
    <w:rsid w:val="006716D7"/>
    <w:rsid w:val="00675961"/>
    <w:rsid w:val="00676A04"/>
    <w:rsid w:val="00680A2D"/>
    <w:rsid w:val="00680E66"/>
    <w:rsid w:val="006875DA"/>
    <w:rsid w:val="00691A9F"/>
    <w:rsid w:val="00691ACC"/>
    <w:rsid w:val="006970F8"/>
    <w:rsid w:val="006A1CB2"/>
    <w:rsid w:val="006A6305"/>
    <w:rsid w:val="006B077C"/>
    <w:rsid w:val="006B1F1D"/>
    <w:rsid w:val="006B5D98"/>
    <w:rsid w:val="006D09D0"/>
    <w:rsid w:val="006D1913"/>
    <w:rsid w:val="006D5A70"/>
    <w:rsid w:val="006E191F"/>
    <w:rsid w:val="006E49D1"/>
    <w:rsid w:val="006E5214"/>
    <w:rsid w:val="006E6992"/>
    <w:rsid w:val="006F60E6"/>
    <w:rsid w:val="00713581"/>
    <w:rsid w:val="007170BD"/>
    <w:rsid w:val="00722130"/>
    <w:rsid w:val="00726044"/>
    <w:rsid w:val="00726157"/>
    <w:rsid w:val="00730198"/>
    <w:rsid w:val="007336AD"/>
    <w:rsid w:val="00737432"/>
    <w:rsid w:val="00740000"/>
    <w:rsid w:val="007469A3"/>
    <w:rsid w:val="007517A0"/>
    <w:rsid w:val="0075594D"/>
    <w:rsid w:val="00760E06"/>
    <w:rsid w:val="00763AEC"/>
    <w:rsid w:val="00763FAA"/>
    <w:rsid w:val="00764DBE"/>
    <w:rsid w:val="007653E9"/>
    <w:rsid w:val="00766E49"/>
    <w:rsid w:val="00780C21"/>
    <w:rsid w:val="007825C8"/>
    <w:rsid w:val="007830D0"/>
    <w:rsid w:val="00787668"/>
    <w:rsid w:val="007A0D01"/>
    <w:rsid w:val="007B1432"/>
    <w:rsid w:val="007C1F8E"/>
    <w:rsid w:val="007C46DE"/>
    <w:rsid w:val="007D06F2"/>
    <w:rsid w:val="007D1529"/>
    <w:rsid w:val="007E27DE"/>
    <w:rsid w:val="007E4782"/>
    <w:rsid w:val="007F1D8B"/>
    <w:rsid w:val="007F69B1"/>
    <w:rsid w:val="007F718D"/>
    <w:rsid w:val="00800E19"/>
    <w:rsid w:val="008051FA"/>
    <w:rsid w:val="00805A3B"/>
    <w:rsid w:val="0080700B"/>
    <w:rsid w:val="008075A3"/>
    <w:rsid w:val="008076A5"/>
    <w:rsid w:val="0081070D"/>
    <w:rsid w:val="00810F44"/>
    <w:rsid w:val="008126EA"/>
    <w:rsid w:val="00817726"/>
    <w:rsid w:val="00817FDC"/>
    <w:rsid w:val="0082543C"/>
    <w:rsid w:val="0083010F"/>
    <w:rsid w:val="00830543"/>
    <w:rsid w:val="00834D3A"/>
    <w:rsid w:val="00851543"/>
    <w:rsid w:val="00851788"/>
    <w:rsid w:val="00853C1E"/>
    <w:rsid w:val="00856785"/>
    <w:rsid w:val="00864344"/>
    <w:rsid w:val="008658D4"/>
    <w:rsid w:val="00865DAA"/>
    <w:rsid w:val="008663A5"/>
    <w:rsid w:val="00871D0C"/>
    <w:rsid w:val="00874E35"/>
    <w:rsid w:val="00876AFE"/>
    <w:rsid w:val="00883267"/>
    <w:rsid w:val="008842A6"/>
    <w:rsid w:val="0088691A"/>
    <w:rsid w:val="00886DC1"/>
    <w:rsid w:val="00887BFD"/>
    <w:rsid w:val="00887FC4"/>
    <w:rsid w:val="00890B1B"/>
    <w:rsid w:val="00897973"/>
    <w:rsid w:val="008A604A"/>
    <w:rsid w:val="008A6743"/>
    <w:rsid w:val="008A76C6"/>
    <w:rsid w:val="008B660D"/>
    <w:rsid w:val="008C1F21"/>
    <w:rsid w:val="008C35E7"/>
    <w:rsid w:val="008C4B80"/>
    <w:rsid w:val="008D01B3"/>
    <w:rsid w:val="008D060D"/>
    <w:rsid w:val="008D3663"/>
    <w:rsid w:val="008E7277"/>
    <w:rsid w:val="008E7F18"/>
    <w:rsid w:val="008F151C"/>
    <w:rsid w:val="008F1BD1"/>
    <w:rsid w:val="00900B8C"/>
    <w:rsid w:val="00904B1B"/>
    <w:rsid w:val="0091104D"/>
    <w:rsid w:val="00914E50"/>
    <w:rsid w:val="0092087A"/>
    <w:rsid w:val="00932395"/>
    <w:rsid w:val="00941F5A"/>
    <w:rsid w:val="00943253"/>
    <w:rsid w:val="00954DF2"/>
    <w:rsid w:val="00954FD6"/>
    <w:rsid w:val="00962343"/>
    <w:rsid w:val="00962BF2"/>
    <w:rsid w:val="00965887"/>
    <w:rsid w:val="009728D4"/>
    <w:rsid w:val="0098240D"/>
    <w:rsid w:val="00984810"/>
    <w:rsid w:val="00984E56"/>
    <w:rsid w:val="00985E05"/>
    <w:rsid w:val="00997C34"/>
    <w:rsid w:val="009A6849"/>
    <w:rsid w:val="009A75CB"/>
    <w:rsid w:val="009C4D9D"/>
    <w:rsid w:val="009D31C7"/>
    <w:rsid w:val="009E164E"/>
    <w:rsid w:val="009E1C2C"/>
    <w:rsid w:val="009E2C69"/>
    <w:rsid w:val="009E3CCF"/>
    <w:rsid w:val="009E598E"/>
    <w:rsid w:val="009F35E2"/>
    <w:rsid w:val="00A0213D"/>
    <w:rsid w:val="00A02B0E"/>
    <w:rsid w:val="00A1268E"/>
    <w:rsid w:val="00A12CE5"/>
    <w:rsid w:val="00A13375"/>
    <w:rsid w:val="00A175C9"/>
    <w:rsid w:val="00A25C0E"/>
    <w:rsid w:val="00A318B9"/>
    <w:rsid w:val="00A403C9"/>
    <w:rsid w:val="00A43F47"/>
    <w:rsid w:val="00A44029"/>
    <w:rsid w:val="00A440BB"/>
    <w:rsid w:val="00A52749"/>
    <w:rsid w:val="00A54803"/>
    <w:rsid w:val="00A55A09"/>
    <w:rsid w:val="00A625B9"/>
    <w:rsid w:val="00A63B61"/>
    <w:rsid w:val="00A63E15"/>
    <w:rsid w:val="00A73851"/>
    <w:rsid w:val="00A74975"/>
    <w:rsid w:val="00A8311F"/>
    <w:rsid w:val="00A87FA8"/>
    <w:rsid w:val="00A90404"/>
    <w:rsid w:val="00A96C75"/>
    <w:rsid w:val="00AB209A"/>
    <w:rsid w:val="00AB5313"/>
    <w:rsid w:val="00AB615D"/>
    <w:rsid w:val="00AC0C47"/>
    <w:rsid w:val="00AC1140"/>
    <w:rsid w:val="00AC5AF0"/>
    <w:rsid w:val="00AC5E06"/>
    <w:rsid w:val="00AD0D60"/>
    <w:rsid w:val="00AE03B5"/>
    <w:rsid w:val="00B01A51"/>
    <w:rsid w:val="00B06499"/>
    <w:rsid w:val="00B133A8"/>
    <w:rsid w:val="00B15A8C"/>
    <w:rsid w:val="00B164E5"/>
    <w:rsid w:val="00B3076A"/>
    <w:rsid w:val="00B30DCA"/>
    <w:rsid w:val="00B3463B"/>
    <w:rsid w:val="00B36FED"/>
    <w:rsid w:val="00B37851"/>
    <w:rsid w:val="00B42085"/>
    <w:rsid w:val="00B46B51"/>
    <w:rsid w:val="00B535B8"/>
    <w:rsid w:val="00B65E45"/>
    <w:rsid w:val="00B711D6"/>
    <w:rsid w:val="00B714D7"/>
    <w:rsid w:val="00B835DC"/>
    <w:rsid w:val="00B84B60"/>
    <w:rsid w:val="00B91A41"/>
    <w:rsid w:val="00B9564A"/>
    <w:rsid w:val="00B95956"/>
    <w:rsid w:val="00B96498"/>
    <w:rsid w:val="00BA334F"/>
    <w:rsid w:val="00BA4A76"/>
    <w:rsid w:val="00BB1BBB"/>
    <w:rsid w:val="00BB3DE0"/>
    <w:rsid w:val="00BB4639"/>
    <w:rsid w:val="00BB4654"/>
    <w:rsid w:val="00BB7F01"/>
    <w:rsid w:val="00BC1321"/>
    <w:rsid w:val="00BE0E32"/>
    <w:rsid w:val="00BF0267"/>
    <w:rsid w:val="00BF6228"/>
    <w:rsid w:val="00BF7AA5"/>
    <w:rsid w:val="00C014A8"/>
    <w:rsid w:val="00C06525"/>
    <w:rsid w:val="00C214F1"/>
    <w:rsid w:val="00C226B2"/>
    <w:rsid w:val="00C3561E"/>
    <w:rsid w:val="00C36DDA"/>
    <w:rsid w:val="00C37441"/>
    <w:rsid w:val="00C45650"/>
    <w:rsid w:val="00C46631"/>
    <w:rsid w:val="00C5399E"/>
    <w:rsid w:val="00C76E3E"/>
    <w:rsid w:val="00C85FE6"/>
    <w:rsid w:val="00C8632F"/>
    <w:rsid w:val="00C91E6F"/>
    <w:rsid w:val="00C9239B"/>
    <w:rsid w:val="00C932FE"/>
    <w:rsid w:val="00CB53D4"/>
    <w:rsid w:val="00CC01F9"/>
    <w:rsid w:val="00CC6123"/>
    <w:rsid w:val="00CC7655"/>
    <w:rsid w:val="00CC7A99"/>
    <w:rsid w:val="00CD5748"/>
    <w:rsid w:val="00CD7F8F"/>
    <w:rsid w:val="00CE1790"/>
    <w:rsid w:val="00CE4FCD"/>
    <w:rsid w:val="00CE7B2C"/>
    <w:rsid w:val="00CF73F9"/>
    <w:rsid w:val="00D02039"/>
    <w:rsid w:val="00D14F92"/>
    <w:rsid w:val="00D25367"/>
    <w:rsid w:val="00D30C31"/>
    <w:rsid w:val="00D32530"/>
    <w:rsid w:val="00D36EA6"/>
    <w:rsid w:val="00D47367"/>
    <w:rsid w:val="00D510F2"/>
    <w:rsid w:val="00D5404B"/>
    <w:rsid w:val="00D546A7"/>
    <w:rsid w:val="00D57666"/>
    <w:rsid w:val="00D635DE"/>
    <w:rsid w:val="00D66F5A"/>
    <w:rsid w:val="00D72016"/>
    <w:rsid w:val="00D72922"/>
    <w:rsid w:val="00D7349B"/>
    <w:rsid w:val="00D75C1D"/>
    <w:rsid w:val="00D86733"/>
    <w:rsid w:val="00D87D78"/>
    <w:rsid w:val="00D90C31"/>
    <w:rsid w:val="00D94427"/>
    <w:rsid w:val="00D9482F"/>
    <w:rsid w:val="00DA7844"/>
    <w:rsid w:val="00DA78DC"/>
    <w:rsid w:val="00DB2279"/>
    <w:rsid w:val="00DC13B2"/>
    <w:rsid w:val="00DC5632"/>
    <w:rsid w:val="00DC7891"/>
    <w:rsid w:val="00DD5520"/>
    <w:rsid w:val="00DE4A8B"/>
    <w:rsid w:val="00DE7C2B"/>
    <w:rsid w:val="00DF0653"/>
    <w:rsid w:val="00E00353"/>
    <w:rsid w:val="00E01681"/>
    <w:rsid w:val="00E01DA4"/>
    <w:rsid w:val="00E0342C"/>
    <w:rsid w:val="00E06FA7"/>
    <w:rsid w:val="00E15368"/>
    <w:rsid w:val="00E1537F"/>
    <w:rsid w:val="00E2585D"/>
    <w:rsid w:val="00E30769"/>
    <w:rsid w:val="00E3464D"/>
    <w:rsid w:val="00E3530D"/>
    <w:rsid w:val="00E354A9"/>
    <w:rsid w:val="00E372C2"/>
    <w:rsid w:val="00E657AF"/>
    <w:rsid w:val="00E66AB0"/>
    <w:rsid w:val="00E677E1"/>
    <w:rsid w:val="00E71AA5"/>
    <w:rsid w:val="00E7546E"/>
    <w:rsid w:val="00E76AF0"/>
    <w:rsid w:val="00E76E5B"/>
    <w:rsid w:val="00E82262"/>
    <w:rsid w:val="00E8755D"/>
    <w:rsid w:val="00E93C7A"/>
    <w:rsid w:val="00E97E8A"/>
    <w:rsid w:val="00EA2348"/>
    <w:rsid w:val="00EA7F3F"/>
    <w:rsid w:val="00EC15AC"/>
    <w:rsid w:val="00EC2F8A"/>
    <w:rsid w:val="00EC3B86"/>
    <w:rsid w:val="00ED0AE3"/>
    <w:rsid w:val="00EE3902"/>
    <w:rsid w:val="00EE5853"/>
    <w:rsid w:val="00EF0290"/>
    <w:rsid w:val="00F12432"/>
    <w:rsid w:val="00F14ACE"/>
    <w:rsid w:val="00F14D05"/>
    <w:rsid w:val="00F159F1"/>
    <w:rsid w:val="00F20A91"/>
    <w:rsid w:val="00F21ED4"/>
    <w:rsid w:val="00F2651F"/>
    <w:rsid w:val="00F27106"/>
    <w:rsid w:val="00F277B8"/>
    <w:rsid w:val="00F314C0"/>
    <w:rsid w:val="00F32054"/>
    <w:rsid w:val="00F35B59"/>
    <w:rsid w:val="00F40B44"/>
    <w:rsid w:val="00F4191A"/>
    <w:rsid w:val="00F4273D"/>
    <w:rsid w:val="00F45319"/>
    <w:rsid w:val="00F472E5"/>
    <w:rsid w:val="00F51DF5"/>
    <w:rsid w:val="00F51E04"/>
    <w:rsid w:val="00F55FC3"/>
    <w:rsid w:val="00F5703F"/>
    <w:rsid w:val="00F64B12"/>
    <w:rsid w:val="00F651D4"/>
    <w:rsid w:val="00F732EE"/>
    <w:rsid w:val="00F75E34"/>
    <w:rsid w:val="00F75EA0"/>
    <w:rsid w:val="00F80A36"/>
    <w:rsid w:val="00F81527"/>
    <w:rsid w:val="00F81E53"/>
    <w:rsid w:val="00F8584C"/>
    <w:rsid w:val="00F91EB1"/>
    <w:rsid w:val="00FB0DEE"/>
    <w:rsid w:val="00FC3729"/>
    <w:rsid w:val="00FC3777"/>
    <w:rsid w:val="00FC441A"/>
    <w:rsid w:val="00FC4592"/>
    <w:rsid w:val="00FD1031"/>
    <w:rsid w:val="00FD5869"/>
    <w:rsid w:val="00FD77E9"/>
    <w:rsid w:val="00FE6378"/>
    <w:rsid w:val="00FE6A4E"/>
    <w:rsid w:val="00FF2271"/>
    <w:rsid w:val="00FF5D22"/>
    <w:rsid w:val="00FF603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4804A0"/>
  <w15:chartTrackingRefBased/>
  <w15:docId w15:val="{1B530CB8-D92B-4D5D-B3E7-AB0CFF761D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714D7"/>
    <w:pPr>
      <w:spacing w:before="120" w:after="0" w:line="240" w:lineRule="auto"/>
    </w:pPr>
    <w:rPr>
      <w:rFonts w:ascii="Calibri" w:eastAsia="Times New Roman" w:hAnsi="Calibri" w:cs="Times New Roman"/>
      <w:sz w:val="24"/>
      <w:szCs w:val="20"/>
      <w:lang w:eastAsia="en-AU"/>
    </w:rPr>
  </w:style>
  <w:style w:type="paragraph" w:styleId="Heading1">
    <w:name w:val="heading 1"/>
    <w:basedOn w:val="Normal"/>
    <w:next w:val="Normal"/>
    <w:link w:val="Heading1Char"/>
    <w:autoRedefine/>
    <w:uiPriority w:val="9"/>
    <w:qFormat/>
    <w:rsid w:val="00B714D7"/>
    <w:pPr>
      <w:keepNext/>
      <w:keepLines/>
      <w:pageBreakBefore/>
      <w:spacing w:before="0" w:after="240"/>
      <w:outlineLvl w:val="0"/>
    </w:pPr>
    <w:rPr>
      <w:b/>
      <w:bCs/>
      <w:color w:val="FF0000"/>
      <w:sz w:val="36"/>
      <w:szCs w:val="36"/>
    </w:rPr>
  </w:style>
  <w:style w:type="paragraph" w:styleId="Heading2">
    <w:name w:val="heading 2"/>
    <w:basedOn w:val="Normal"/>
    <w:next w:val="Normal"/>
    <w:link w:val="Heading2Char"/>
    <w:autoRedefine/>
    <w:uiPriority w:val="9"/>
    <w:unhideWhenUsed/>
    <w:qFormat/>
    <w:rsid w:val="004B4779"/>
    <w:pPr>
      <w:keepNext/>
      <w:tabs>
        <w:tab w:val="left" w:pos="1479"/>
      </w:tabs>
      <w:spacing w:before="240" w:after="120" w:line="360" w:lineRule="auto"/>
      <w:ind w:right="-306"/>
      <w:outlineLvl w:val="1"/>
    </w:pPr>
    <w:rPr>
      <w:b/>
      <w:bCs/>
      <w:iCs/>
      <w:szCs w:val="24"/>
    </w:rPr>
  </w:style>
  <w:style w:type="paragraph" w:styleId="Heading4">
    <w:name w:val="heading 4"/>
    <w:basedOn w:val="Normal"/>
    <w:next w:val="Normal"/>
    <w:link w:val="Heading4Char"/>
    <w:semiHidden/>
    <w:unhideWhenUsed/>
    <w:qFormat/>
    <w:rsid w:val="006373F0"/>
    <w:pPr>
      <w:keepNext/>
      <w:keepLines/>
      <w:spacing w:before="40" w:line="276" w:lineRule="auto"/>
      <w:outlineLvl w:val="3"/>
    </w:pPr>
    <w:rPr>
      <w:rFonts w:asciiTheme="majorHAnsi" w:eastAsiaTheme="majorEastAsia" w:hAnsiTheme="majorHAnsi" w:cstheme="majorBidi"/>
      <w:i/>
      <w:iCs/>
      <w:color w:val="2F5496" w:themeColor="accent1" w:themeShade="BF"/>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714D7"/>
    <w:rPr>
      <w:rFonts w:ascii="Calibri" w:eastAsia="Times New Roman" w:hAnsi="Calibri" w:cs="Times New Roman"/>
      <w:b/>
      <w:bCs/>
      <w:color w:val="FF0000"/>
      <w:sz w:val="36"/>
      <w:szCs w:val="36"/>
      <w:lang w:eastAsia="en-AU"/>
    </w:rPr>
  </w:style>
  <w:style w:type="character" w:customStyle="1" w:styleId="Heading2Char">
    <w:name w:val="Heading 2 Char"/>
    <w:basedOn w:val="DefaultParagraphFont"/>
    <w:link w:val="Heading2"/>
    <w:uiPriority w:val="9"/>
    <w:rsid w:val="004B4779"/>
    <w:rPr>
      <w:rFonts w:ascii="Calibri" w:eastAsia="Times New Roman" w:hAnsi="Calibri" w:cs="Times New Roman"/>
      <w:b/>
      <w:bCs/>
      <w:iCs/>
      <w:sz w:val="24"/>
      <w:szCs w:val="24"/>
      <w:lang w:eastAsia="en-AU"/>
    </w:rPr>
  </w:style>
  <w:style w:type="paragraph" w:customStyle="1" w:styleId="Default">
    <w:name w:val="Default"/>
    <w:rsid w:val="00B714D7"/>
    <w:pPr>
      <w:autoSpaceDE w:val="0"/>
      <w:autoSpaceDN w:val="0"/>
      <w:adjustRightInd w:val="0"/>
      <w:spacing w:after="0" w:line="240" w:lineRule="auto"/>
    </w:pPr>
    <w:rPr>
      <w:rFonts w:ascii="Arial" w:eastAsia="Times New Roman" w:hAnsi="Arial" w:cs="Arial"/>
      <w:color w:val="000000"/>
      <w:sz w:val="24"/>
      <w:szCs w:val="24"/>
    </w:rPr>
  </w:style>
  <w:style w:type="paragraph" w:styleId="Header">
    <w:name w:val="header"/>
    <w:basedOn w:val="Normal"/>
    <w:link w:val="HeaderChar"/>
    <w:uiPriority w:val="99"/>
    <w:unhideWhenUsed/>
    <w:rsid w:val="00B714D7"/>
    <w:pPr>
      <w:tabs>
        <w:tab w:val="center" w:pos="4513"/>
        <w:tab w:val="right" w:pos="9026"/>
      </w:tabs>
    </w:pPr>
  </w:style>
  <w:style w:type="character" w:customStyle="1" w:styleId="HeaderChar">
    <w:name w:val="Header Char"/>
    <w:basedOn w:val="DefaultParagraphFont"/>
    <w:link w:val="Header"/>
    <w:uiPriority w:val="99"/>
    <w:rsid w:val="00B714D7"/>
    <w:rPr>
      <w:rFonts w:ascii="Calibri" w:eastAsia="Times New Roman" w:hAnsi="Calibri" w:cs="Times New Roman"/>
      <w:sz w:val="24"/>
      <w:szCs w:val="20"/>
      <w:lang w:eastAsia="en-AU"/>
    </w:rPr>
  </w:style>
  <w:style w:type="paragraph" w:styleId="Footer">
    <w:name w:val="footer"/>
    <w:basedOn w:val="Normal"/>
    <w:link w:val="FooterChar"/>
    <w:uiPriority w:val="99"/>
    <w:unhideWhenUsed/>
    <w:rsid w:val="00B714D7"/>
    <w:pPr>
      <w:tabs>
        <w:tab w:val="center" w:pos="4513"/>
        <w:tab w:val="right" w:pos="9026"/>
      </w:tabs>
    </w:pPr>
  </w:style>
  <w:style w:type="character" w:customStyle="1" w:styleId="FooterChar">
    <w:name w:val="Footer Char"/>
    <w:basedOn w:val="DefaultParagraphFont"/>
    <w:link w:val="Footer"/>
    <w:uiPriority w:val="99"/>
    <w:rsid w:val="00B714D7"/>
    <w:rPr>
      <w:rFonts w:ascii="Calibri" w:eastAsia="Times New Roman" w:hAnsi="Calibri" w:cs="Times New Roman"/>
      <w:sz w:val="24"/>
      <w:szCs w:val="20"/>
      <w:lang w:eastAsia="en-AU"/>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527CE9"/>
    <w:pPr>
      <w:ind w:left="720"/>
      <w:contextualSpacing/>
    </w:pPr>
  </w:style>
  <w:style w:type="paragraph" w:customStyle="1" w:styleId="Amain">
    <w:name w:val="A main"/>
    <w:basedOn w:val="Normal"/>
    <w:rsid w:val="00B164E5"/>
    <w:pPr>
      <w:tabs>
        <w:tab w:val="right" w:pos="900"/>
        <w:tab w:val="left" w:pos="1100"/>
      </w:tabs>
      <w:spacing w:before="140"/>
      <w:ind w:left="1100" w:hanging="1100"/>
      <w:jc w:val="both"/>
      <w:outlineLvl w:val="5"/>
    </w:pPr>
    <w:rPr>
      <w:rFonts w:ascii="Times New Roman" w:hAnsi="Times New Roman"/>
      <w:lang w:eastAsia="en-US"/>
    </w:rPr>
  </w:style>
  <w:style w:type="paragraph" w:customStyle="1" w:styleId="aExamHead">
    <w:name w:val="aExam Head"/>
    <w:basedOn w:val="Normal"/>
    <w:next w:val="aExam"/>
    <w:rsid w:val="00B164E5"/>
    <w:pPr>
      <w:keepNext/>
      <w:spacing w:before="140"/>
      <w:ind w:left="1100"/>
    </w:pPr>
    <w:rPr>
      <w:rFonts w:ascii="Arial" w:hAnsi="Arial"/>
      <w:b/>
      <w:sz w:val="18"/>
      <w:lang w:eastAsia="en-US"/>
    </w:rPr>
  </w:style>
  <w:style w:type="paragraph" w:customStyle="1" w:styleId="aExam">
    <w:name w:val="aExam"/>
    <w:basedOn w:val="aNote"/>
    <w:rsid w:val="00B164E5"/>
    <w:pPr>
      <w:spacing w:before="60"/>
      <w:ind w:left="1100" w:firstLine="0"/>
    </w:pPr>
  </w:style>
  <w:style w:type="paragraph" w:customStyle="1" w:styleId="aNote">
    <w:name w:val="aNote"/>
    <w:basedOn w:val="Normal"/>
    <w:link w:val="aNoteChar"/>
    <w:rsid w:val="00B164E5"/>
    <w:pPr>
      <w:spacing w:before="140"/>
      <w:ind w:left="1900" w:hanging="800"/>
      <w:jc w:val="both"/>
    </w:pPr>
    <w:rPr>
      <w:rFonts w:ascii="Times New Roman" w:hAnsi="Times New Roman"/>
      <w:sz w:val="20"/>
      <w:lang w:eastAsia="en-US"/>
    </w:rPr>
  </w:style>
  <w:style w:type="character" w:customStyle="1" w:styleId="charItals">
    <w:name w:val="charItals"/>
    <w:basedOn w:val="DefaultParagraphFont"/>
    <w:rsid w:val="00B164E5"/>
    <w:rPr>
      <w:i/>
    </w:rPr>
  </w:style>
  <w:style w:type="character" w:customStyle="1" w:styleId="charCitHyperlinkAbbrev">
    <w:name w:val="charCitHyperlinkAbbrev"/>
    <w:basedOn w:val="Hyperlink"/>
    <w:uiPriority w:val="1"/>
    <w:rsid w:val="00B164E5"/>
    <w:rPr>
      <w:color w:val="0563C1" w:themeColor="hyperlink"/>
      <w:u w:val="none"/>
    </w:rPr>
  </w:style>
  <w:style w:type="character" w:customStyle="1" w:styleId="aNoteChar">
    <w:name w:val="aNote Char"/>
    <w:basedOn w:val="DefaultParagraphFont"/>
    <w:link w:val="aNote"/>
    <w:locked/>
    <w:rsid w:val="00B164E5"/>
    <w:rPr>
      <w:rFonts w:ascii="Times New Roman" w:eastAsia="Times New Roman" w:hAnsi="Times New Roman" w:cs="Times New Roman"/>
      <w:sz w:val="20"/>
      <w:szCs w:val="20"/>
    </w:rPr>
  </w:style>
  <w:style w:type="character" w:styleId="Hyperlink">
    <w:name w:val="Hyperlink"/>
    <w:basedOn w:val="DefaultParagraphFont"/>
    <w:uiPriority w:val="99"/>
    <w:semiHidden/>
    <w:unhideWhenUsed/>
    <w:rsid w:val="00B164E5"/>
    <w:rPr>
      <w:color w:val="0563C1" w:themeColor="hyperlink"/>
      <w:u w:val="single"/>
    </w:rPr>
  </w:style>
  <w:style w:type="character" w:styleId="CommentReference">
    <w:name w:val="annotation reference"/>
    <w:basedOn w:val="DefaultParagraphFont"/>
    <w:uiPriority w:val="99"/>
    <w:semiHidden/>
    <w:unhideWhenUsed/>
    <w:rsid w:val="000B0157"/>
    <w:rPr>
      <w:sz w:val="16"/>
      <w:szCs w:val="16"/>
    </w:rPr>
  </w:style>
  <w:style w:type="paragraph" w:styleId="CommentText">
    <w:name w:val="annotation text"/>
    <w:basedOn w:val="Normal"/>
    <w:link w:val="CommentTextChar"/>
    <w:uiPriority w:val="99"/>
    <w:unhideWhenUsed/>
    <w:rsid w:val="000B0157"/>
    <w:rPr>
      <w:sz w:val="20"/>
    </w:rPr>
  </w:style>
  <w:style w:type="character" w:customStyle="1" w:styleId="CommentTextChar">
    <w:name w:val="Comment Text Char"/>
    <w:basedOn w:val="DefaultParagraphFont"/>
    <w:link w:val="CommentText"/>
    <w:uiPriority w:val="99"/>
    <w:rsid w:val="000B0157"/>
    <w:rPr>
      <w:rFonts w:ascii="Calibri" w:eastAsia="Times New Roman" w:hAnsi="Calibri"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0B0157"/>
    <w:rPr>
      <w:b/>
      <w:bCs/>
    </w:rPr>
  </w:style>
  <w:style w:type="character" w:customStyle="1" w:styleId="CommentSubjectChar">
    <w:name w:val="Comment Subject Char"/>
    <w:basedOn w:val="CommentTextChar"/>
    <w:link w:val="CommentSubject"/>
    <w:uiPriority w:val="99"/>
    <w:semiHidden/>
    <w:rsid w:val="000B0157"/>
    <w:rPr>
      <w:rFonts w:ascii="Calibri" w:eastAsia="Times New Roman" w:hAnsi="Calibri" w:cs="Times New Roman"/>
      <w:b/>
      <w:bCs/>
      <w:sz w:val="20"/>
      <w:szCs w:val="20"/>
      <w:lang w:eastAsia="en-AU"/>
    </w:rPr>
  </w:style>
  <w:style w:type="paragraph" w:styleId="BalloonText">
    <w:name w:val="Balloon Text"/>
    <w:basedOn w:val="Normal"/>
    <w:link w:val="BalloonTextChar"/>
    <w:uiPriority w:val="99"/>
    <w:semiHidden/>
    <w:unhideWhenUsed/>
    <w:rsid w:val="000B0157"/>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0157"/>
    <w:rPr>
      <w:rFonts w:ascii="Segoe UI" w:eastAsia="Times New Roman" w:hAnsi="Segoe UI" w:cs="Segoe UI"/>
      <w:sz w:val="18"/>
      <w:szCs w:val="18"/>
      <w:lang w:eastAsia="en-AU"/>
    </w:rPr>
  </w:style>
  <w:style w:type="character" w:customStyle="1" w:styleId="Heading4Char">
    <w:name w:val="Heading 4 Char"/>
    <w:basedOn w:val="DefaultParagraphFont"/>
    <w:link w:val="Heading4"/>
    <w:semiHidden/>
    <w:rsid w:val="006373F0"/>
    <w:rPr>
      <w:rFonts w:asciiTheme="majorHAnsi" w:eastAsiaTheme="majorEastAsia" w:hAnsiTheme="majorHAnsi" w:cstheme="majorBidi"/>
      <w:i/>
      <w:iCs/>
      <w:color w:val="2F5496" w:themeColor="accent1" w:themeShade="BF"/>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D14F92"/>
    <w:rPr>
      <w:rFonts w:ascii="Calibri" w:eastAsia="Times New Roman" w:hAnsi="Calibri" w:cs="Times New Roman"/>
      <w:sz w:val="24"/>
      <w:szCs w:val="20"/>
      <w:lang w:eastAsia="en-AU"/>
    </w:rPr>
  </w:style>
  <w:style w:type="paragraph" w:styleId="NoSpacing">
    <w:name w:val="No Spacing"/>
    <w:uiPriority w:val="1"/>
    <w:qFormat/>
    <w:rsid w:val="00D47367"/>
    <w:pPr>
      <w:spacing w:after="0" w:line="240" w:lineRule="auto"/>
    </w:pPr>
    <w:rPr>
      <w:rFonts w:ascii="Calibri" w:eastAsia="Times New Roman" w:hAnsi="Calibri" w:cs="Times New Roman"/>
      <w:sz w:val="24"/>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69640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F833B7-B52C-4FC1-906B-E2E828AC9F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7583</Words>
  <Characters>40979</Characters>
  <Application>Microsoft Office Word</Application>
  <DocSecurity>0</DocSecurity>
  <Lines>698</Lines>
  <Paragraphs>264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2020-02-18T04:04:00Z</cp:lastPrinted>
  <dcterms:created xsi:type="dcterms:W3CDTF">2020-02-18T04:34:00Z</dcterms:created>
  <dcterms:modified xsi:type="dcterms:W3CDTF">2020-02-18T04:34:00Z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A24304573</vt:lpwstr>
  </property>
  <property fmtid="{D5CDD505-2E9C-101B-9397-08002B2CF9AE}" pid="4" name="Objective-Title">
    <vt:lpwstr>Attachment D - Explanatory Statement - Loose-fill Asbestos Legislation Amendment Bill 2020</vt:lpwstr>
  </property>
  <property fmtid="{D5CDD505-2E9C-101B-9397-08002B2CF9AE}" pid="5" name="Objective-Comment">
    <vt:lpwstr/>
  </property>
  <property fmtid="{D5CDD505-2E9C-101B-9397-08002B2CF9AE}" pid="6" name="Objective-CreationStamp">
    <vt:filetime>2019-12-13T04:27:39Z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2020-02-17T01:11:18Z</vt:filetime>
  </property>
  <property fmtid="{D5CDD505-2E9C-101B-9397-08002B2CF9AE}" pid="10" name="Objective-ModificationStamp">
    <vt:filetime>2020-02-17T01:11:18Z</vt:filetime>
  </property>
  <property fmtid="{D5CDD505-2E9C-101B-9397-08002B2CF9AE}" pid="11" name="Objective-Owner">
    <vt:lpwstr>Bronwyn Wrigley</vt:lpwstr>
  </property>
  <property fmtid="{D5CDD505-2E9C-101B-9397-08002B2CF9AE}" pid="12" name="Objective-Path">
    <vt:lpwstr>Whole of ACT Government:EPSDD - Environment Planning and Sustainable Development Directorate:07. Ministerial, Cabinet and Government Relations:05. Cabinet:01. 9th Assembly:02. EPSDD Active Cabinet Submissions:19/658 - Cabinet - Loose Fill Asbestos Pathway</vt:lpwstr>
  </property>
  <property fmtid="{D5CDD505-2E9C-101B-9397-08002B2CF9AE}" pid="13" name="Objective-Parent">
    <vt:lpwstr>03. Final Review Documentation</vt:lpwstr>
  </property>
  <property fmtid="{D5CDD505-2E9C-101B-9397-08002B2CF9AE}" pid="14" name="Objective-State">
    <vt:lpwstr>Published</vt:lpwstr>
  </property>
  <property fmtid="{D5CDD505-2E9C-101B-9397-08002B2CF9AE}" pid="15" name="Objective-Version">
    <vt:lpwstr>41.0</vt:lpwstr>
  </property>
  <property fmtid="{D5CDD505-2E9C-101B-9397-08002B2CF9AE}" pid="16" name="Objective-VersionNumber">
    <vt:r8>43</vt:r8>
  </property>
  <property fmtid="{D5CDD505-2E9C-101B-9397-08002B2CF9AE}" pid="17" name="Objective-VersionComment">
    <vt:lpwstr/>
  </property>
  <property fmtid="{D5CDD505-2E9C-101B-9397-08002B2CF9AE}" pid="18" name="Objective-FileNumber">
    <vt:lpwstr>1-2019/32950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