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DF6C9D">
      <w:pPr>
        <w:spacing w:after="0"/>
        <w:rPr>
          <w:rFonts w:ascii="Arial" w:hAnsi="Arial" w:cs="Arial"/>
          <w:b/>
          <w:sz w:val="24"/>
          <w:szCs w:val="24"/>
        </w:rPr>
      </w:pPr>
    </w:p>
    <w:p w14:paraId="69918477" w14:textId="333EC344"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DF6C9D">
        <w:rPr>
          <w:rFonts w:ascii="Arial" w:hAnsi="Arial" w:cs="Arial"/>
          <w:b/>
          <w:bCs/>
          <w:sz w:val="24"/>
          <w:szCs w:val="24"/>
        </w:rPr>
        <w:t>BIRTHS, DEATHS AND MARRIAGES REGISTRATION (TISSUE DONOR ACKNOWLEDGMENT) AMENDMENT</w:t>
      </w:r>
      <w:r w:rsidR="00741C4A" w:rsidRPr="00741C4A">
        <w:rPr>
          <w:rFonts w:ascii="Arial" w:hAnsi="Arial" w:cs="Arial"/>
          <w:b/>
          <w:bCs/>
          <w:sz w:val="24"/>
          <w:szCs w:val="24"/>
        </w:rPr>
        <w:t xml:space="preserve"> BILL 20</w:t>
      </w:r>
      <w:r w:rsidR="00130A37">
        <w:rPr>
          <w:rFonts w:ascii="Arial" w:hAnsi="Arial" w:cs="Arial"/>
          <w:b/>
          <w:bCs/>
          <w:sz w:val="24"/>
          <w:szCs w:val="24"/>
        </w:rPr>
        <w:t>20</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1CFDE076" w:rsidR="00BB387E" w:rsidRDefault="00BB387E" w:rsidP="00BB387E">
      <w:pPr>
        <w:spacing w:after="0"/>
        <w:jc w:val="center"/>
        <w:rPr>
          <w:rFonts w:ascii="Arial" w:hAnsi="Arial" w:cs="Arial"/>
          <w:b/>
          <w:bCs/>
          <w:sz w:val="24"/>
          <w:szCs w:val="24"/>
        </w:rPr>
      </w:pPr>
    </w:p>
    <w:p w14:paraId="5298D021" w14:textId="4B7563D8" w:rsidR="00DF6C9D" w:rsidRDefault="00DF6C9D" w:rsidP="00BB387E">
      <w:pPr>
        <w:spacing w:after="0"/>
        <w:jc w:val="center"/>
        <w:rPr>
          <w:rFonts w:ascii="Arial" w:hAnsi="Arial" w:cs="Arial"/>
          <w:b/>
          <w:bCs/>
          <w:sz w:val="24"/>
          <w:szCs w:val="24"/>
        </w:rPr>
      </w:pPr>
    </w:p>
    <w:p w14:paraId="718437D9" w14:textId="785F6CA0" w:rsidR="00DF6C9D" w:rsidRDefault="00DF6C9D" w:rsidP="00BB387E">
      <w:pPr>
        <w:spacing w:after="0"/>
        <w:jc w:val="center"/>
        <w:rPr>
          <w:rFonts w:ascii="Arial" w:hAnsi="Arial" w:cs="Arial"/>
          <w:b/>
          <w:bCs/>
          <w:sz w:val="24"/>
          <w:szCs w:val="24"/>
        </w:rPr>
      </w:pPr>
    </w:p>
    <w:p w14:paraId="7FD72C6F" w14:textId="77777777" w:rsidR="00DF6C9D" w:rsidRPr="00BB387E" w:rsidRDefault="00DF6C9D" w:rsidP="00BB387E">
      <w:pPr>
        <w:spacing w:after="0"/>
        <w:jc w:val="center"/>
        <w:rPr>
          <w:rFonts w:ascii="Arial" w:hAnsi="Arial" w:cs="Arial"/>
          <w:b/>
          <w:bCs/>
          <w:sz w:val="24"/>
          <w:szCs w:val="24"/>
        </w:rPr>
      </w:pPr>
    </w:p>
    <w:p w14:paraId="588053E2" w14:textId="31B95B72" w:rsidR="00BC3EF0" w:rsidRDefault="00DF6C9D" w:rsidP="00BB387E">
      <w:pPr>
        <w:spacing w:after="0"/>
        <w:jc w:val="center"/>
        <w:rPr>
          <w:rFonts w:ascii="Arial" w:hAnsi="Arial" w:cs="Arial"/>
          <w:b/>
          <w:bCs/>
          <w:sz w:val="24"/>
          <w:szCs w:val="24"/>
        </w:rPr>
      </w:pPr>
      <w:r>
        <w:rPr>
          <w:rFonts w:ascii="Arial" w:hAnsi="Arial" w:cs="Arial"/>
          <w:b/>
          <w:bCs/>
          <w:sz w:val="24"/>
          <w:szCs w:val="24"/>
        </w:rPr>
        <w:t xml:space="preserve">SUPPLEMENTARY </w:t>
      </w:r>
      <w:r w:rsidR="00BB387E" w:rsidRPr="00BB387E">
        <w:rPr>
          <w:rFonts w:ascii="Arial" w:hAnsi="Arial" w:cs="Arial"/>
          <w:b/>
          <w:bCs/>
          <w:sz w:val="24"/>
          <w:szCs w:val="24"/>
        </w:rPr>
        <w:t>EXPLANATORY STATEMENT</w:t>
      </w:r>
      <w:r w:rsidR="00BC3EF0">
        <w:rPr>
          <w:rFonts w:ascii="Arial" w:hAnsi="Arial" w:cs="Arial"/>
          <w:b/>
          <w:bCs/>
          <w:sz w:val="24"/>
          <w:szCs w:val="24"/>
        </w:rPr>
        <w:t xml:space="preserve"> </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50D4C163" w:rsidR="00BB387E" w:rsidRDefault="00BB387E" w:rsidP="00BB387E">
      <w:pPr>
        <w:keepNext/>
        <w:widowControl w:val="0"/>
        <w:spacing w:after="0"/>
        <w:jc w:val="center"/>
        <w:outlineLvl w:val="7"/>
        <w:rPr>
          <w:rFonts w:ascii="Arial" w:hAnsi="Arial" w:cs="Arial"/>
          <w:b/>
          <w:bCs/>
          <w:sz w:val="24"/>
          <w:szCs w:val="24"/>
        </w:rPr>
      </w:pPr>
    </w:p>
    <w:p w14:paraId="4E0CBAD1" w14:textId="5967CE06" w:rsidR="00DF6C9D" w:rsidRDefault="00DF6C9D" w:rsidP="00BB387E">
      <w:pPr>
        <w:keepNext/>
        <w:widowControl w:val="0"/>
        <w:spacing w:after="0"/>
        <w:jc w:val="center"/>
        <w:outlineLvl w:val="7"/>
        <w:rPr>
          <w:rFonts w:ascii="Arial" w:hAnsi="Arial" w:cs="Arial"/>
          <w:b/>
          <w:bCs/>
          <w:sz w:val="24"/>
          <w:szCs w:val="24"/>
        </w:rPr>
      </w:pPr>
    </w:p>
    <w:p w14:paraId="7E579DCF" w14:textId="024E020B" w:rsidR="00DF6C9D" w:rsidRDefault="00DF6C9D" w:rsidP="00BB387E">
      <w:pPr>
        <w:keepNext/>
        <w:widowControl w:val="0"/>
        <w:spacing w:after="0"/>
        <w:jc w:val="center"/>
        <w:outlineLvl w:val="7"/>
        <w:rPr>
          <w:rFonts w:ascii="Arial" w:hAnsi="Arial" w:cs="Arial"/>
          <w:b/>
          <w:bCs/>
          <w:sz w:val="24"/>
          <w:szCs w:val="24"/>
        </w:rPr>
      </w:pPr>
    </w:p>
    <w:p w14:paraId="05B10C95" w14:textId="743C6687" w:rsidR="00DF6C9D" w:rsidRDefault="00DF6C9D" w:rsidP="00BB387E">
      <w:pPr>
        <w:keepNext/>
        <w:widowControl w:val="0"/>
        <w:spacing w:after="0"/>
        <w:jc w:val="center"/>
        <w:outlineLvl w:val="7"/>
        <w:rPr>
          <w:rFonts w:ascii="Arial" w:hAnsi="Arial" w:cs="Arial"/>
          <w:b/>
          <w:bCs/>
          <w:sz w:val="24"/>
          <w:szCs w:val="24"/>
        </w:rPr>
      </w:pPr>
    </w:p>
    <w:p w14:paraId="4C3634EE" w14:textId="56996EBE" w:rsidR="00DF6C9D" w:rsidRDefault="00DF6C9D" w:rsidP="00BB387E">
      <w:pPr>
        <w:keepNext/>
        <w:widowControl w:val="0"/>
        <w:spacing w:after="0"/>
        <w:jc w:val="center"/>
        <w:outlineLvl w:val="7"/>
        <w:rPr>
          <w:rFonts w:ascii="Arial" w:hAnsi="Arial" w:cs="Arial"/>
          <w:b/>
          <w:bCs/>
          <w:sz w:val="24"/>
          <w:szCs w:val="24"/>
        </w:rPr>
      </w:pPr>
    </w:p>
    <w:p w14:paraId="573A5885" w14:textId="7462DCED" w:rsidR="00DF6C9D" w:rsidRDefault="00DF6C9D" w:rsidP="00BB387E">
      <w:pPr>
        <w:keepNext/>
        <w:widowControl w:val="0"/>
        <w:spacing w:after="0"/>
        <w:jc w:val="center"/>
        <w:outlineLvl w:val="7"/>
        <w:rPr>
          <w:rFonts w:ascii="Arial" w:hAnsi="Arial" w:cs="Arial"/>
          <w:b/>
          <w:bCs/>
          <w:sz w:val="24"/>
          <w:szCs w:val="24"/>
        </w:rPr>
      </w:pPr>
    </w:p>
    <w:p w14:paraId="0FC25E8C" w14:textId="2EB1CA72" w:rsidR="00DF6C9D" w:rsidRDefault="00DF6C9D" w:rsidP="00BB387E">
      <w:pPr>
        <w:keepNext/>
        <w:widowControl w:val="0"/>
        <w:spacing w:after="0"/>
        <w:jc w:val="center"/>
        <w:outlineLvl w:val="7"/>
        <w:rPr>
          <w:rFonts w:ascii="Arial" w:hAnsi="Arial" w:cs="Arial"/>
          <w:b/>
          <w:bCs/>
          <w:sz w:val="24"/>
          <w:szCs w:val="24"/>
        </w:rPr>
      </w:pPr>
    </w:p>
    <w:p w14:paraId="75B049FB" w14:textId="071328D5" w:rsidR="00DF6C9D" w:rsidRDefault="00DF6C9D" w:rsidP="00BB387E">
      <w:pPr>
        <w:keepNext/>
        <w:widowControl w:val="0"/>
        <w:spacing w:after="0"/>
        <w:jc w:val="center"/>
        <w:outlineLvl w:val="7"/>
        <w:rPr>
          <w:rFonts w:ascii="Arial" w:hAnsi="Arial" w:cs="Arial"/>
          <w:b/>
          <w:bCs/>
          <w:sz w:val="24"/>
          <w:szCs w:val="24"/>
        </w:rPr>
      </w:pPr>
    </w:p>
    <w:p w14:paraId="71EC9ADC" w14:textId="77777777" w:rsidR="00DF6C9D" w:rsidRPr="00BB387E" w:rsidRDefault="00DF6C9D"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09D5CBE4" w:rsidR="00BB387E" w:rsidRDefault="00DF6C9D" w:rsidP="00BB387E">
      <w:pPr>
        <w:spacing w:after="0"/>
        <w:ind w:right="686"/>
        <w:jc w:val="right"/>
        <w:rPr>
          <w:rFonts w:ascii="Arial" w:hAnsi="Arial" w:cs="Arial"/>
          <w:b/>
          <w:bCs/>
          <w:sz w:val="24"/>
          <w:szCs w:val="24"/>
        </w:rPr>
      </w:pPr>
      <w:r>
        <w:rPr>
          <w:rFonts w:ascii="Arial" w:hAnsi="Arial" w:cs="Arial"/>
          <w:b/>
          <w:bCs/>
          <w:sz w:val="24"/>
          <w:szCs w:val="24"/>
        </w:rPr>
        <w:t xml:space="preserve">Shane Rattenbury </w:t>
      </w:r>
      <w:r w:rsidR="00E954A1">
        <w:rPr>
          <w:rFonts w:ascii="Arial" w:hAnsi="Arial" w:cs="Arial"/>
          <w:b/>
          <w:bCs/>
          <w:sz w:val="24"/>
          <w:szCs w:val="24"/>
        </w:rPr>
        <w:t>MLA</w:t>
      </w:r>
    </w:p>
    <w:p w14:paraId="69FBA88A" w14:textId="3CA779E5" w:rsidR="00DF6C9D" w:rsidRPr="00BB387E" w:rsidRDefault="00DF6C9D" w:rsidP="00BB387E">
      <w:pPr>
        <w:spacing w:after="0"/>
        <w:ind w:right="686"/>
        <w:jc w:val="right"/>
        <w:rPr>
          <w:rFonts w:ascii="Arial" w:hAnsi="Arial" w:cs="Arial"/>
          <w:b/>
          <w:bCs/>
          <w:sz w:val="24"/>
          <w:szCs w:val="24"/>
        </w:rPr>
      </w:pPr>
      <w:r>
        <w:rPr>
          <w:rFonts w:ascii="Arial" w:hAnsi="Arial" w:cs="Arial"/>
          <w:b/>
          <w:bCs/>
          <w:sz w:val="24"/>
          <w:szCs w:val="24"/>
        </w:rPr>
        <w:t>Minister for Justice, Consumer Affairs and Road Safety</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7934556B" w:rsidR="00ED3B77" w:rsidRPr="00BB387E" w:rsidRDefault="00193278" w:rsidP="008C225D">
      <w:pPr>
        <w:pStyle w:val="Heading1"/>
        <w:jc w:val="center"/>
      </w:pPr>
      <w:bookmarkStart w:id="1" w:name="_Hlk35006291"/>
      <w:r>
        <w:lastRenderedPageBreak/>
        <w:t>BIRTHS, DEATHS AND MARRIAGES REGISTRATION (TISSUE DONOR ACKNOWLEDGMENT) AMENDMENT</w:t>
      </w:r>
      <w:r w:rsidR="00ED3B77" w:rsidRPr="00BB387E">
        <w:t xml:space="preserve"> BILL </w:t>
      </w:r>
      <w:r w:rsidR="00130A37" w:rsidRPr="00BB387E">
        <w:t>20</w:t>
      </w:r>
      <w:r w:rsidR="00130A37">
        <w:t>20</w:t>
      </w:r>
    </w:p>
    <w:bookmarkEnd w:id="1"/>
    <w:p w14:paraId="2612AE1F" w14:textId="77777777" w:rsidR="00834FC9" w:rsidRDefault="00834FC9" w:rsidP="007F3D56">
      <w:pPr>
        <w:spacing w:after="0"/>
        <w:contextualSpacing/>
        <w:rPr>
          <w:rFonts w:ascii="Arial" w:hAnsi="Arial" w:cs="Arial"/>
          <w:bCs/>
          <w:sz w:val="24"/>
          <w:szCs w:val="24"/>
        </w:rPr>
      </w:pPr>
    </w:p>
    <w:p w14:paraId="11B2151C" w14:textId="7D68E114" w:rsidR="00193278" w:rsidRPr="00193278" w:rsidRDefault="00193278" w:rsidP="00193278">
      <w:pPr>
        <w:spacing w:after="0"/>
        <w:rPr>
          <w:rFonts w:ascii="Arial" w:hAnsi="Arial" w:cs="Arial"/>
          <w:bCs/>
          <w:sz w:val="24"/>
          <w:szCs w:val="24"/>
        </w:rPr>
      </w:pPr>
      <w:r w:rsidRPr="00193278">
        <w:rPr>
          <w:rFonts w:ascii="Arial" w:hAnsi="Arial" w:cs="Arial"/>
          <w:bCs/>
          <w:sz w:val="24"/>
          <w:szCs w:val="24"/>
        </w:rPr>
        <w:t>This supplementary explanatory statement relates to the amendment</w:t>
      </w:r>
      <w:r>
        <w:rPr>
          <w:rFonts w:ascii="Arial" w:hAnsi="Arial" w:cs="Arial"/>
          <w:bCs/>
          <w:sz w:val="24"/>
          <w:szCs w:val="24"/>
        </w:rPr>
        <w:t xml:space="preserve">s moved by the Government (the </w:t>
      </w:r>
      <w:r w:rsidRPr="004E25C3">
        <w:rPr>
          <w:rFonts w:ascii="Arial" w:hAnsi="Arial" w:cs="Arial"/>
          <w:b/>
          <w:sz w:val="24"/>
          <w:szCs w:val="24"/>
        </w:rPr>
        <w:t>Government Amendments</w:t>
      </w:r>
      <w:r>
        <w:rPr>
          <w:rFonts w:ascii="Arial" w:hAnsi="Arial" w:cs="Arial"/>
          <w:bCs/>
          <w:sz w:val="24"/>
          <w:szCs w:val="24"/>
        </w:rPr>
        <w:t>)</w:t>
      </w:r>
      <w:r w:rsidRPr="00193278">
        <w:rPr>
          <w:rFonts w:ascii="Arial" w:hAnsi="Arial" w:cs="Arial"/>
          <w:bCs/>
          <w:sz w:val="24"/>
          <w:szCs w:val="24"/>
        </w:rPr>
        <w:t xml:space="preserve"> to the B</w:t>
      </w:r>
      <w:r>
        <w:rPr>
          <w:rFonts w:ascii="Arial" w:hAnsi="Arial" w:cs="Arial"/>
          <w:bCs/>
          <w:sz w:val="24"/>
          <w:szCs w:val="24"/>
        </w:rPr>
        <w:t>irths</w:t>
      </w:r>
      <w:r w:rsidRPr="00193278">
        <w:rPr>
          <w:rFonts w:ascii="Arial" w:hAnsi="Arial" w:cs="Arial"/>
          <w:bCs/>
          <w:sz w:val="24"/>
          <w:szCs w:val="24"/>
        </w:rPr>
        <w:t>, D</w:t>
      </w:r>
      <w:r>
        <w:rPr>
          <w:rFonts w:ascii="Arial" w:hAnsi="Arial" w:cs="Arial"/>
          <w:bCs/>
          <w:sz w:val="24"/>
          <w:szCs w:val="24"/>
        </w:rPr>
        <w:t>eaths</w:t>
      </w:r>
      <w:r w:rsidRPr="00193278">
        <w:rPr>
          <w:rFonts w:ascii="Arial" w:hAnsi="Arial" w:cs="Arial"/>
          <w:bCs/>
          <w:sz w:val="24"/>
          <w:szCs w:val="24"/>
        </w:rPr>
        <w:t xml:space="preserve"> </w:t>
      </w:r>
      <w:r>
        <w:rPr>
          <w:rFonts w:ascii="Arial" w:hAnsi="Arial" w:cs="Arial"/>
          <w:bCs/>
          <w:sz w:val="24"/>
          <w:szCs w:val="24"/>
        </w:rPr>
        <w:t>a</w:t>
      </w:r>
      <w:r w:rsidRPr="00193278">
        <w:rPr>
          <w:rFonts w:ascii="Arial" w:hAnsi="Arial" w:cs="Arial"/>
          <w:bCs/>
          <w:sz w:val="24"/>
          <w:szCs w:val="24"/>
        </w:rPr>
        <w:t>nd Marriages Registration (Tissue Donor Acknowledgment) Amendment Bill 2020</w:t>
      </w:r>
      <w:r>
        <w:rPr>
          <w:rFonts w:ascii="Arial" w:hAnsi="Arial" w:cs="Arial"/>
          <w:bCs/>
          <w:sz w:val="24"/>
          <w:szCs w:val="24"/>
        </w:rPr>
        <w:t xml:space="preserve"> (the </w:t>
      </w:r>
      <w:r w:rsidRPr="004E25C3">
        <w:rPr>
          <w:rFonts w:ascii="Arial" w:hAnsi="Arial" w:cs="Arial"/>
          <w:b/>
          <w:sz w:val="24"/>
          <w:szCs w:val="24"/>
        </w:rPr>
        <w:t>Bill</w:t>
      </w:r>
      <w:r>
        <w:rPr>
          <w:rFonts w:ascii="Arial" w:hAnsi="Arial" w:cs="Arial"/>
          <w:bCs/>
          <w:sz w:val="24"/>
          <w:szCs w:val="24"/>
        </w:rPr>
        <w:t xml:space="preserve">) </w:t>
      </w:r>
      <w:r w:rsidRPr="00193278">
        <w:rPr>
          <w:rFonts w:ascii="Arial" w:hAnsi="Arial" w:cs="Arial"/>
          <w:bCs/>
          <w:sz w:val="24"/>
          <w:szCs w:val="24"/>
        </w:rPr>
        <w:t xml:space="preserve">as presented to the Legislative Assembly. It has been prepared in order to assist the reader of the </w:t>
      </w:r>
      <w:r>
        <w:rPr>
          <w:rFonts w:ascii="Arial" w:hAnsi="Arial" w:cs="Arial"/>
          <w:bCs/>
          <w:sz w:val="24"/>
          <w:szCs w:val="24"/>
        </w:rPr>
        <w:t>Government Amendments</w:t>
      </w:r>
      <w:r w:rsidRPr="00193278">
        <w:rPr>
          <w:rFonts w:ascii="Arial" w:hAnsi="Arial" w:cs="Arial"/>
          <w:bCs/>
          <w:sz w:val="24"/>
          <w:szCs w:val="24"/>
        </w:rPr>
        <w:t xml:space="preserve"> and help inform debate on </w:t>
      </w:r>
      <w:r>
        <w:rPr>
          <w:rFonts w:ascii="Arial" w:hAnsi="Arial" w:cs="Arial"/>
          <w:bCs/>
          <w:sz w:val="24"/>
          <w:szCs w:val="24"/>
        </w:rPr>
        <w:t>them</w:t>
      </w:r>
      <w:r w:rsidRPr="00193278">
        <w:rPr>
          <w:rFonts w:ascii="Arial" w:hAnsi="Arial" w:cs="Arial"/>
          <w:bCs/>
          <w:sz w:val="24"/>
          <w:szCs w:val="24"/>
        </w:rPr>
        <w:t xml:space="preserve">. It does not form part of the </w:t>
      </w:r>
      <w:r>
        <w:rPr>
          <w:rFonts w:ascii="Arial" w:hAnsi="Arial" w:cs="Arial"/>
          <w:bCs/>
          <w:sz w:val="24"/>
          <w:szCs w:val="24"/>
        </w:rPr>
        <w:t>B</w:t>
      </w:r>
      <w:r w:rsidRPr="00193278">
        <w:rPr>
          <w:rFonts w:ascii="Arial" w:hAnsi="Arial" w:cs="Arial"/>
          <w:bCs/>
          <w:sz w:val="24"/>
          <w:szCs w:val="24"/>
        </w:rPr>
        <w:t xml:space="preserve">ill and has not been endorsed by the </w:t>
      </w:r>
      <w:r>
        <w:rPr>
          <w:rFonts w:ascii="Arial" w:hAnsi="Arial" w:cs="Arial"/>
          <w:bCs/>
          <w:sz w:val="24"/>
          <w:szCs w:val="24"/>
        </w:rPr>
        <w:t xml:space="preserve">Legislative </w:t>
      </w:r>
      <w:r w:rsidRPr="00193278">
        <w:rPr>
          <w:rFonts w:ascii="Arial" w:hAnsi="Arial" w:cs="Arial"/>
          <w:bCs/>
          <w:sz w:val="24"/>
          <w:szCs w:val="24"/>
        </w:rPr>
        <w:t>Assembly.</w:t>
      </w:r>
    </w:p>
    <w:p w14:paraId="6852EC77" w14:textId="77777777" w:rsidR="00193278" w:rsidRDefault="00193278" w:rsidP="00193278">
      <w:pPr>
        <w:spacing w:after="0"/>
        <w:rPr>
          <w:rFonts w:ascii="Arial" w:hAnsi="Arial" w:cs="Arial"/>
          <w:bCs/>
          <w:sz w:val="24"/>
          <w:szCs w:val="24"/>
        </w:rPr>
      </w:pPr>
    </w:p>
    <w:p w14:paraId="3F20865D" w14:textId="692298A8" w:rsidR="0052127F" w:rsidRDefault="00193278" w:rsidP="00193278">
      <w:pPr>
        <w:spacing w:after="0"/>
        <w:rPr>
          <w:rFonts w:ascii="Arial" w:hAnsi="Arial" w:cs="Arial"/>
          <w:bCs/>
          <w:sz w:val="24"/>
          <w:szCs w:val="24"/>
        </w:rPr>
      </w:pPr>
      <w:r w:rsidRPr="00193278">
        <w:rPr>
          <w:rFonts w:ascii="Arial" w:hAnsi="Arial" w:cs="Arial"/>
          <w:bCs/>
          <w:sz w:val="24"/>
          <w:szCs w:val="24"/>
        </w:rPr>
        <w:t xml:space="preserve">This statement must be read in conjunction with the </w:t>
      </w:r>
      <w:r>
        <w:rPr>
          <w:rFonts w:ascii="Arial" w:hAnsi="Arial" w:cs="Arial"/>
          <w:bCs/>
          <w:sz w:val="24"/>
          <w:szCs w:val="24"/>
        </w:rPr>
        <w:t>Government Amendments</w:t>
      </w:r>
      <w:r w:rsidRPr="00193278">
        <w:rPr>
          <w:rFonts w:ascii="Arial" w:hAnsi="Arial" w:cs="Arial"/>
          <w:bCs/>
          <w:sz w:val="24"/>
          <w:szCs w:val="24"/>
        </w:rPr>
        <w:t xml:space="preserve"> and the </w:t>
      </w:r>
      <w:r>
        <w:rPr>
          <w:rFonts w:ascii="Arial" w:hAnsi="Arial" w:cs="Arial"/>
          <w:bCs/>
          <w:sz w:val="24"/>
          <w:szCs w:val="24"/>
        </w:rPr>
        <w:t>B</w:t>
      </w:r>
      <w:r w:rsidRPr="00193278">
        <w:rPr>
          <w:rFonts w:ascii="Arial" w:hAnsi="Arial" w:cs="Arial"/>
          <w:bCs/>
          <w:sz w:val="24"/>
          <w:szCs w:val="24"/>
        </w:rPr>
        <w:t xml:space="preserve">ill. It is not, and is not intended to be, a comprehensive description of the </w:t>
      </w:r>
      <w:r>
        <w:rPr>
          <w:rFonts w:ascii="Arial" w:hAnsi="Arial" w:cs="Arial"/>
          <w:bCs/>
          <w:sz w:val="24"/>
          <w:szCs w:val="24"/>
        </w:rPr>
        <w:t>B</w:t>
      </w:r>
      <w:r w:rsidRPr="00193278">
        <w:rPr>
          <w:rFonts w:ascii="Arial" w:hAnsi="Arial" w:cs="Arial"/>
          <w:bCs/>
          <w:sz w:val="24"/>
          <w:szCs w:val="24"/>
        </w:rPr>
        <w:t>ill</w:t>
      </w:r>
      <w:r>
        <w:rPr>
          <w:rFonts w:ascii="Arial" w:hAnsi="Arial" w:cs="Arial"/>
          <w:bCs/>
          <w:sz w:val="24"/>
          <w:szCs w:val="24"/>
        </w:rPr>
        <w:t xml:space="preserve"> and the Government Amendments</w:t>
      </w:r>
      <w:r w:rsidRPr="00193278">
        <w:rPr>
          <w:rFonts w:ascii="Arial" w:hAnsi="Arial" w:cs="Arial"/>
          <w:bCs/>
          <w:sz w:val="24"/>
          <w:szCs w:val="24"/>
        </w:rPr>
        <w:t>. What is said about a provision is not to be taken as an authoritative guide to the meaning of a provision, this being a task for the courts.</w:t>
      </w:r>
    </w:p>
    <w:p w14:paraId="6F475EF0" w14:textId="77777777" w:rsidR="00193278" w:rsidRPr="00834FC9" w:rsidRDefault="00193278" w:rsidP="00193278">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7E20FA38" w14:textId="44ED988F" w:rsidR="00D7062D" w:rsidRDefault="004E25C3" w:rsidP="00954502">
      <w:pPr>
        <w:spacing w:after="120"/>
        <w:ind w:right="-45"/>
        <w:rPr>
          <w:rFonts w:ascii="Arial" w:hAnsi="Arial" w:cs="Arial"/>
          <w:iCs/>
          <w:sz w:val="24"/>
          <w:szCs w:val="24"/>
        </w:rPr>
      </w:pPr>
      <w:r w:rsidRPr="00954502">
        <w:rPr>
          <w:rFonts w:ascii="Arial" w:hAnsi="Arial" w:cs="Arial"/>
          <w:iCs/>
          <w:sz w:val="24"/>
          <w:szCs w:val="24"/>
        </w:rPr>
        <w:t xml:space="preserve">The purpose of the Government Amendments is to </w:t>
      </w:r>
      <w:r w:rsidR="00954502">
        <w:rPr>
          <w:rFonts w:ascii="Arial" w:hAnsi="Arial" w:cs="Arial"/>
          <w:iCs/>
          <w:sz w:val="24"/>
          <w:szCs w:val="24"/>
        </w:rPr>
        <w:t>reduce the complexity of the scheme as embodied in the Bill to avoid unintended impacts, and to allow it to be successfully implemented.</w:t>
      </w:r>
    </w:p>
    <w:p w14:paraId="6A02742C" w14:textId="75AFD2A5" w:rsidR="00DB1C7F" w:rsidRDefault="00DB1C7F" w:rsidP="00954502">
      <w:pPr>
        <w:spacing w:after="120"/>
        <w:ind w:right="-45"/>
        <w:rPr>
          <w:rFonts w:ascii="Arial" w:hAnsi="Arial" w:cs="Arial"/>
          <w:iCs/>
          <w:sz w:val="24"/>
          <w:szCs w:val="24"/>
        </w:rPr>
      </w:pPr>
      <w:r>
        <w:rPr>
          <w:rFonts w:ascii="Arial" w:hAnsi="Arial" w:cs="Arial"/>
          <w:iCs/>
          <w:sz w:val="24"/>
          <w:szCs w:val="24"/>
        </w:rPr>
        <w:t>The Amendments will limit the scope of recognition of tissue donors on the Register and on death certificates to deceased tissue donors, rather than allowing for recognition of all persons who made tissue donations during their lifetime.</w:t>
      </w:r>
    </w:p>
    <w:p w14:paraId="7530F71A" w14:textId="4BE685FF" w:rsidR="00DB1C7F" w:rsidRDefault="00DB1C7F" w:rsidP="00954502">
      <w:pPr>
        <w:spacing w:after="120"/>
        <w:ind w:right="-45"/>
        <w:rPr>
          <w:rFonts w:ascii="Arial" w:hAnsi="Arial" w:cs="Arial"/>
          <w:iCs/>
          <w:sz w:val="24"/>
          <w:szCs w:val="24"/>
        </w:rPr>
      </w:pPr>
      <w:r>
        <w:rPr>
          <w:rFonts w:ascii="Arial" w:hAnsi="Arial" w:cs="Arial"/>
          <w:iCs/>
          <w:sz w:val="24"/>
          <w:szCs w:val="24"/>
        </w:rPr>
        <w:t>It removes the aspect of the Bill providing for the Registrar-General to notify the Chief Minister of the wish of the next of kin to receive a letter of acknowledgement. Such letters can be provided through administrative processes.</w:t>
      </w:r>
    </w:p>
    <w:p w14:paraId="65AF684B" w14:textId="006309DD" w:rsidR="00DB1C7F" w:rsidRDefault="00DB1C7F" w:rsidP="00954502">
      <w:pPr>
        <w:spacing w:after="120"/>
        <w:ind w:right="-45"/>
        <w:rPr>
          <w:rFonts w:ascii="Arial" w:hAnsi="Arial" w:cs="Arial"/>
          <w:iCs/>
          <w:sz w:val="24"/>
          <w:szCs w:val="24"/>
        </w:rPr>
      </w:pPr>
      <w:r>
        <w:rPr>
          <w:rFonts w:ascii="Arial" w:hAnsi="Arial" w:cs="Arial"/>
          <w:iCs/>
          <w:sz w:val="24"/>
          <w:szCs w:val="24"/>
        </w:rPr>
        <w:t>Finally the Amendments provide for a delayed commencement to allow additional time for implementation of the proposals.</w:t>
      </w:r>
    </w:p>
    <w:p w14:paraId="40FDB9F7" w14:textId="60D417F6" w:rsidR="000A094B" w:rsidRDefault="000A094B" w:rsidP="00954502">
      <w:pPr>
        <w:spacing w:after="120"/>
        <w:ind w:right="-45"/>
        <w:rPr>
          <w:rFonts w:ascii="Arial" w:hAnsi="Arial" w:cs="Arial"/>
          <w:iCs/>
          <w:sz w:val="24"/>
          <w:szCs w:val="24"/>
        </w:rPr>
      </w:pPr>
    </w:p>
    <w:p w14:paraId="43A83366" w14:textId="7DC0FEED" w:rsidR="000A094B" w:rsidRDefault="000A094B" w:rsidP="00954502">
      <w:pPr>
        <w:spacing w:after="120"/>
        <w:ind w:right="-45"/>
        <w:rPr>
          <w:rFonts w:ascii="Arial" w:hAnsi="Arial" w:cs="Arial"/>
          <w:b/>
          <w:bCs/>
          <w:iCs/>
          <w:sz w:val="24"/>
          <w:szCs w:val="24"/>
        </w:rPr>
      </w:pPr>
      <w:r>
        <w:rPr>
          <w:rFonts w:ascii="Arial" w:hAnsi="Arial" w:cs="Arial"/>
          <w:b/>
          <w:bCs/>
          <w:iCs/>
          <w:sz w:val="24"/>
          <w:szCs w:val="24"/>
        </w:rPr>
        <w:t>HUMAN RIGHTS IMPACT</w:t>
      </w:r>
    </w:p>
    <w:p w14:paraId="7000D6E3" w14:textId="3E379555" w:rsidR="000A094B" w:rsidRDefault="000A094B" w:rsidP="00954502">
      <w:pPr>
        <w:spacing w:after="120"/>
        <w:ind w:right="-45"/>
        <w:rPr>
          <w:rFonts w:ascii="Arial" w:hAnsi="Arial" w:cs="Arial"/>
          <w:iCs/>
          <w:sz w:val="24"/>
          <w:szCs w:val="24"/>
        </w:rPr>
      </w:pPr>
      <w:r w:rsidRPr="000A094B">
        <w:rPr>
          <w:rFonts w:ascii="Arial" w:hAnsi="Arial" w:cs="Arial"/>
          <w:iCs/>
          <w:sz w:val="24"/>
          <w:szCs w:val="24"/>
        </w:rPr>
        <w:t xml:space="preserve">The </w:t>
      </w:r>
      <w:r>
        <w:rPr>
          <w:rFonts w:ascii="Arial" w:hAnsi="Arial" w:cs="Arial"/>
          <w:iCs/>
          <w:sz w:val="24"/>
          <w:szCs w:val="24"/>
        </w:rPr>
        <w:t xml:space="preserve">Government Amendments may promote the right to privacy protected in s 12 of the </w:t>
      </w:r>
      <w:r w:rsidRPr="000A094B">
        <w:rPr>
          <w:rFonts w:ascii="Arial" w:hAnsi="Arial" w:cs="Arial"/>
          <w:i/>
          <w:sz w:val="24"/>
          <w:szCs w:val="24"/>
        </w:rPr>
        <w:t>Human Rights Act</w:t>
      </w:r>
      <w:r>
        <w:rPr>
          <w:rFonts w:ascii="Arial" w:hAnsi="Arial" w:cs="Arial"/>
          <w:i/>
          <w:sz w:val="24"/>
          <w:szCs w:val="24"/>
        </w:rPr>
        <w:t xml:space="preserve"> 2004</w:t>
      </w:r>
      <w:r>
        <w:rPr>
          <w:rFonts w:ascii="Arial" w:hAnsi="Arial" w:cs="Arial"/>
          <w:iCs/>
          <w:sz w:val="24"/>
          <w:szCs w:val="24"/>
        </w:rPr>
        <w:t>, in removing the requirement for a family member to apply to the Registrar-General to receive an acknowledgement letter from the Chief Minister. Removing this requirement, and instead allowing a letter to be sought directly from the Chief Minister through administrative processes, will reduce the level of disclosure of personal information required from family members to different Government agencies.</w:t>
      </w:r>
    </w:p>
    <w:p w14:paraId="65F939E4" w14:textId="7568AB6D" w:rsidR="000A094B" w:rsidRDefault="000A094B" w:rsidP="00954502">
      <w:pPr>
        <w:spacing w:after="120"/>
        <w:ind w:right="-45"/>
        <w:rPr>
          <w:rFonts w:ascii="Arial" w:hAnsi="Arial" w:cs="Arial"/>
          <w:iCs/>
          <w:sz w:val="24"/>
          <w:szCs w:val="24"/>
        </w:rPr>
      </w:pPr>
      <w:r>
        <w:rPr>
          <w:rFonts w:ascii="Arial" w:hAnsi="Arial" w:cs="Arial"/>
          <w:iCs/>
          <w:sz w:val="24"/>
          <w:szCs w:val="24"/>
        </w:rPr>
        <w:t xml:space="preserve">The Government Amendments do not otherwise engage human rights. Although the amendments will reduce the scope of recognition to deceased tissue donors, rather than including recognition of a tissue donation made by the person during their </w:t>
      </w:r>
      <w:r>
        <w:rPr>
          <w:rFonts w:ascii="Arial" w:hAnsi="Arial" w:cs="Arial"/>
          <w:iCs/>
          <w:sz w:val="24"/>
          <w:szCs w:val="24"/>
        </w:rPr>
        <w:lastRenderedPageBreak/>
        <w:t>lifetime, this differential treatment of different circumstances is reasonable and does not substantively limit equality rights of family members.</w:t>
      </w:r>
    </w:p>
    <w:p w14:paraId="5DDD9853" w14:textId="77777777" w:rsidR="00954502" w:rsidRPr="00954502" w:rsidRDefault="00954502" w:rsidP="00954502">
      <w:pPr>
        <w:spacing w:after="120"/>
        <w:ind w:right="-45"/>
        <w:rPr>
          <w:rFonts w:ascii="Arial" w:hAnsi="Arial" w:cs="Arial"/>
          <w:b/>
          <w:bCs/>
          <w:iCs/>
          <w:sz w:val="24"/>
          <w:szCs w:val="24"/>
        </w:rPr>
      </w:pPr>
    </w:p>
    <w:p w14:paraId="67EF48A8" w14:textId="6561393C" w:rsidR="00954502" w:rsidRPr="00954502" w:rsidRDefault="00954502" w:rsidP="00954502">
      <w:pPr>
        <w:spacing w:after="120"/>
        <w:ind w:right="-45"/>
        <w:rPr>
          <w:rFonts w:ascii="Arial" w:hAnsi="Arial" w:cs="Arial"/>
          <w:b/>
          <w:bCs/>
          <w:iCs/>
          <w:sz w:val="24"/>
          <w:szCs w:val="24"/>
        </w:rPr>
      </w:pPr>
      <w:r w:rsidRPr="00954502">
        <w:rPr>
          <w:rFonts w:ascii="Arial" w:hAnsi="Arial" w:cs="Arial"/>
          <w:b/>
          <w:bCs/>
          <w:iCs/>
          <w:sz w:val="24"/>
          <w:szCs w:val="24"/>
        </w:rPr>
        <w:t>CLAUSE NOTES</w:t>
      </w:r>
    </w:p>
    <w:p w14:paraId="61C353E2" w14:textId="77777777" w:rsidR="00954502" w:rsidRPr="00954502" w:rsidRDefault="00954502" w:rsidP="00954502">
      <w:pPr>
        <w:spacing w:after="120"/>
        <w:ind w:right="-45"/>
        <w:rPr>
          <w:rFonts w:ascii="Arial" w:hAnsi="Arial" w:cs="Arial"/>
          <w:iCs/>
          <w:sz w:val="24"/>
          <w:szCs w:val="24"/>
        </w:rPr>
      </w:pPr>
    </w:p>
    <w:p w14:paraId="1D75F2CD" w14:textId="650FA6B9" w:rsidR="00954502" w:rsidRPr="00671195" w:rsidRDefault="001C1DA6" w:rsidP="00954502">
      <w:pPr>
        <w:spacing w:after="120"/>
        <w:ind w:right="-45"/>
        <w:rPr>
          <w:rFonts w:ascii="Arial" w:hAnsi="Arial" w:cs="Arial"/>
          <w:b/>
          <w:bCs/>
          <w:iCs/>
          <w:sz w:val="24"/>
          <w:szCs w:val="24"/>
        </w:rPr>
      </w:pPr>
      <w:r w:rsidRPr="00671195">
        <w:rPr>
          <w:rFonts w:ascii="Arial" w:hAnsi="Arial" w:cs="Arial"/>
          <w:b/>
          <w:bCs/>
          <w:iCs/>
          <w:sz w:val="24"/>
          <w:szCs w:val="24"/>
        </w:rPr>
        <w:t>Government Amendment 1</w:t>
      </w:r>
      <w:r w:rsidR="00954502" w:rsidRPr="00671195">
        <w:rPr>
          <w:rFonts w:ascii="Arial" w:hAnsi="Arial" w:cs="Arial"/>
          <w:b/>
          <w:bCs/>
          <w:iCs/>
          <w:sz w:val="24"/>
          <w:szCs w:val="24"/>
        </w:rPr>
        <w:tab/>
      </w:r>
      <w:r w:rsidRPr="00671195">
        <w:rPr>
          <w:rFonts w:ascii="Arial" w:hAnsi="Arial" w:cs="Arial"/>
          <w:b/>
          <w:bCs/>
          <w:iCs/>
          <w:sz w:val="24"/>
          <w:szCs w:val="24"/>
        </w:rPr>
        <w:t>Clause</w:t>
      </w:r>
      <w:r w:rsidR="00393576" w:rsidRPr="00671195">
        <w:rPr>
          <w:rFonts w:ascii="Arial" w:hAnsi="Arial" w:cs="Arial"/>
          <w:b/>
          <w:bCs/>
          <w:iCs/>
          <w:sz w:val="24"/>
          <w:szCs w:val="24"/>
        </w:rPr>
        <w:t xml:space="preserve"> 2, page 2, line 4</w:t>
      </w:r>
    </w:p>
    <w:p w14:paraId="247BE5C2" w14:textId="1139E6F2" w:rsidR="00393576" w:rsidRPr="00954502" w:rsidRDefault="00393576" w:rsidP="00954502">
      <w:pPr>
        <w:spacing w:after="120"/>
        <w:ind w:right="-45"/>
        <w:rPr>
          <w:rFonts w:ascii="Arial" w:hAnsi="Arial" w:cs="Arial"/>
          <w:iCs/>
          <w:sz w:val="24"/>
          <w:szCs w:val="24"/>
        </w:rPr>
      </w:pPr>
      <w:r>
        <w:rPr>
          <w:rFonts w:ascii="Arial" w:hAnsi="Arial" w:cs="Arial"/>
          <w:iCs/>
          <w:sz w:val="24"/>
          <w:szCs w:val="24"/>
        </w:rPr>
        <w:t xml:space="preserve">This amendment delays the commencement of the Bill up to twelve months beginning on the day the Bill is notified. The Minister may by written notice fix the commencement of the Bill on a day before the end of the twelve-month period. </w:t>
      </w:r>
    </w:p>
    <w:p w14:paraId="0B2EE728" w14:textId="77777777" w:rsidR="00671195" w:rsidRDefault="00671195" w:rsidP="00954502">
      <w:pPr>
        <w:spacing w:after="120"/>
        <w:ind w:right="-45"/>
        <w:rPr>
          <w:rFonts w:ascii="Arial" w:hAnsi="Arial" w:cs="Arial"/>
          <w:iCs/>
          <w:sz w:val="24"/>
          <w:szCs w:val="24"/>
        </w:rPr>
      </w:pPr>
    </w:p>
    <w:p w14:paraId="50F052F3" w14:textId="091F272F" w:rsidR="00954502" w:rsidRPr="00671195" w:rsidRDefault="001C1DA6" w:rsidP="00954502">
      <w:pPr>
        <w:spacing w:after="120"/>
        <w:ind w:right="-45"/>
        <w:rPr>
          <w:rFonts w:ascii="Arial" w:hAnsi="Arial" w:cs="Arial"/>
          <w:b/>
          <w:bCs/>
          <w:iCs/>
          <w:sz w:val="24"/>
          <w:szCs w:val="24"/>
        </w:rPr>
      </w:pPr>
      <w:r w:rsidRPr="00671195">
        <w:rPr>
          <w:rFonts w:ascii="Arial" w:hAnsi="Arial" w:cs="Arial"/>
          <w:b/>
          <w:bCs/>
          <w:iCs/>
          <w:sz w:val="24"/>
          <w:szCs w:val="24"/>
        </w:rPr>
        <w:t>Government Amendment</w:t>
      </w:r>
      <w:r w:rsidR="00954502" w:rsidRPr="00671195">
        <w:rPr>
          <w:rFonts w:ascii="Arial" w:hAnsi="Arial" w:cs="Arial"/>
          <w:b/>
          <w:bCs/>
          <w:iCs/>
          <w:sz w:val="24"/>
          <w:szCs w:val="24"/>
        </w:rPr>
        <w:t xml:space="preserve"> 2</w:t>
      </w:r>
      <w:r w:rsidR="00954502" w:rsidRPr="00671195">
        <w:rPr>
          <w:rFonts w:ascii="Arial" w:hAnsi="Arial" w:cs="Arial"/>
          <w:b/>
          <w:bCs/>
          <w:iCs/>
          <w:sz w:val="24"/>
          <w:szCs w:val="24"/>
        </w:rPr>
        <w:tab/>
        <w:t>C</w:t>
      </w:r>
      <w:r w:rsidR="00393576" w:rsidRPr="00671195">
        <w:rPr>
          <w:rFonts w:ascii="Arial" w:hAnsi="Arial" w:cs="Arial"/>
          <w:b/>
          <w:bCs/>
          <w:iCs/>
          <w:sz w:val="24"/>
          <w:szCs w:val="24"/>
        </w:rPr>
        <w:t>lause 4, page 2, line 21</w:t>
      </w:r>
    </w:p>
    <w:p w14:paraId="20A7D56F" w14:textId="00CA68BC" w:rsidR="00393576" w:rsidRPr="00954502" w:rsidRDefault="00393576" w:rsidP="00954502">
      <w:pPr>
        <w:spacing w:after="120"/>
        <w:ind w:right="-45"/>
        <w:rPr>
          <w:rFonts w:ascii="Arial" w:hAnsi="Arial" w:cs="Arial"/>
          <w:iCs/>
          <w:sz w:val="24"/>
          <w:szCs w:val="24"/>
        </w:rPr>
      </w:pPr>
      <w:r>
        <w:rPr>
          <w:rFonts w:ascii="Arial" w:hAnsi="Arial" w:cs="Arial"/>
          <w:iCs/>
          <w:sz w:val="24"/>
          <w:szCs w:val="24"/>
        </w:rPr>
        <w:t>This amendment removes the part of the Bill that relates to the Registrar-General notifying the Chief Minister of the request of a next of kin for a letter of acknowledgment.</w:t>
      </w:r>
    </w:p>
    <w:p w14:paraId="665C9724" w14:textId="77777777" w:rsidR="00671195" w:rsidRDefault="00671195" w:rsidP="00954502">
      <w:pPr>
        <w:spacing w:after="120"/>
        <w:ind w:right="-45"/>
        <w:rPr>
          <w:rFonts w:ascii="Arial" w:hAnsi="Arial" w:cs="Arial"/>
          <w:iCs/>
          <w:sz w:val="24"/>
          <w:szCs w:val="24"/>
        </w:rPr>
      </w:pPr>
    </w:p>
    <w:p w14:paraId="02B81405" w14:textId="0A43CEAE" w:rsidR="00954502" w:rsidRPr="00671195" w:rsidRDefault="00393576" w:rsidP="00954502">
      <w:pPr>
        <w:spacing w:after="120"/>
        <w:ind w:right="-45"/>
        <w:rPr>
          <w:rFonts w:ascii="Arial" w:hAnsi="Arial" w:cs="Arial"/>
          <w:b/>
          <w:bCs/>
          <w:iCs/>
          <w:sz w:val="24"/>
          <w:szCs w:val="24"/>
        </w:rPr>
      </w:pPr>
      <w:r w:rsidRPr="00671195">
        <w:rPr>
          <w:rFonts w:ascii="Arial" w:hAnsi="Arial" w:cs="Arial"/>
          <w:b/>
          <w:bCs/>
          <w:iCs/>
          <w:sz w:val="24"/>
          <w:szCs w:val="24"/>
        </w:rPr>
        <w:t>Government Amendment</w:t>
      </w:r>
      <w:r w:rsidR="00954502" w:rsidRPr="00671195">
        <w:rPr>
          <w:rFonts w:ascii="Arial" w:hAnsi="Arial" w:cs="Arial"/>
          <w:b/>
          <w:bCs/>
          <w:iCs/>
          <w:sz w:val="24"/>
          <w:szCs w:val="24"/>
        </w:rPr>
        <w:t xml:space="preserve"> 3</w:t>
      </w:r>
      <w:r w:rsidR="00954502" w:rsidRPr="00671195">
        <w:rPr>
          <w:rFonts w:ascii="Arial" w:hAnsi="Arial" w:cs="Arial"/>
          <w:b/>
          <w:bCs/>
          <w:iCs/>
          <w:sz w:val="24"/>
          <w:szCs w:val="24"/>
        </w:rPr>
        <w:tab/>
      </w:r>
      <w:r w:rsidRPr="00671195">
        <w:rPr>
          <w:rFonts w:ascii="Arial" w:hAnsi="Arial" w:cs="Arial"/>
          <w:b/>
          <w:bCs/>
          <w:iCs/>
          <w:sz w:val="24"/>
          <w:szCs w:val="24"/>
        </w:rPr>
        <w:t>Clause 4, page 3, line 4</w:t>
      </w:r>
    </w:p>
    <w:p w14:paraId="2D83E31E" w14:textId="729C8B79" w:rsidR="00393576" w:rsidRPr="00954502" w:rsidRDefault="00393576" w:rsidP="00954502">
      <w:pPr>
        <w:spacing w:after="120"/>
        <w:ind w:right="-45"/>
        <w:rPr>
          <w:rFonts w:ascii="Arial" w:hAnsi="Arial" w:cs="Arial"/>
          <w:iCs/>
          <w:sz w:val="24"/>
          <w:szCs w:val="24"/>
        </w:rPr>
      </w:pPr>
      <w:r>
        <w:rPr>
          <w:rFonts w:ascii="Arial" w:hAnsi="Arial" w:cs="Arial"/>
          <w:iCs/>
          <w:sz w:val="24"/>
          <w:szCs w:val="24"/>
        </w:rPr>
        <w:t>The amendment confines the operation of the Bill to</w:t>
      </w:r>
      <w:r w:rsidR="00671195">
        <w:rPr>
          <w:rFonts w:ascii="Arial" w:hAnsi="Arial" w:cs="Arial"/>
          <w:iCs/>
          <w:sz w:val="24"/>
          <w:szCs w:val="24"/>
        </w:rPr>
        <w:t xml:space="preserve"> </w:t>
      </w:r>
      <w:r w:rsidR="000A094B">
        <w:rPr>
          <w:rFonts w:ascii="Arial" w:hAnsi="Arial" w:cs="Arial"/>
          <w:iCs/>
          <w:sz w:val="24"/>
          <w:szCs w:val="24"/>
        </w:rPr>
        <w:t>provide that only deceased tissue don</w:t>
      </w:r>
      <w:r w:rsidR="00DB1C7F">
        <w:rPr>
          <w:rFonts w:ascii="Arial" w:hAnsi="Arial" w:cs="Arial"/>
          <w:iCs/>
          <w:sz w:val="24"/>
          <w:szCs w:val="24"/>
        </w:rPr>
        <w:t>ors</w:t>
      </w:r>
      <w:r w:rsidR="000A094B">
        <w:rPr>
          <w:rFonts w:ascii="Arial" w:hAnsi="Arial" w:cs="Arial"/>
          <w:iCs/>
          <w:sz w:val="24"/>
          <w:szCs w:val="24"/>
        </w:rPr>
        <w:t xml:space="preserve"> will be recorded on the Register and on a death certificate.</w:t>
      </w:r>
    </w:p>
    <w:sectPr w:rsidR="00393576" w:rsidRPr="00954502"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36B1E" w14:textId="77777777" w:rsidR="00BB7F77" w:rsidRDefault="00BB7F77">
      <w:pPr>
        <w:spacing w:after="0" w:line="240" w:lineRule="auto"/>
      </w:pPr>
      <w:r>
        <w:separator/>
      </w:r>
    </w:p>
  </w:endnote>
  <w:endnote w:type="continuationSeparator" w:id="0">
    <w:p w14:paraId="48A05301" w14:textId="77777777" w:rsidR="00BB7F77" w:rsidRDefault="00BB7F77">
      <w:pPr>
        <w:spacing w:after="0" w:line="240" w:lineRule="auto"/>
      </w:pPr>
      <w:r>
        <w:continuationSeparator/>
      </w:r>
    </w:p>
  </w:endnote>
  <w:endnote w:type="continuationNotice" w:id="1">
    <w:p w14:paraId="2FCA26F9" w14:textId="77777777" w:rsidR="00BB7F77" w:rsidRDefault="00BB7F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FBDE" w14:textId="77777777" w:rsidR="003D44A3" w:rsidRDefault="003D4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5355" w14:textId="3EA2D941" w:rsidR="003D44A3" w:rsidRPr="003D44A3" w:rsidRDefault="003D44A3" w:rsidP="003D44A3">
    <w:pPr>
      <w:pStyle w:val="Footer"/>
      <w:jc w:val="center"/>
      <w:rPr>
        <w:rFonts w:cs="Arial"/>
        <w:sz w:val="14"/>
      </w:rPr>
    </w:pPr>
    <w:r w:rsidRPr="003D44A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77D820B8"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396C33A5" w14:textId="07062413" w:rsidR="003D44A3" w:rsidRPr="003D44A3" w:rsidRDefault="003D44A3" w:rsidP="003D44A3">
    <w:pPr>
      <w:pStyle w:val="Footer"/>
      <w:spacing w:before="60" w:line="240" w:lineRule="auto"/>
      <w:jc w:val="center"/>
      <w:rPr>
        <w:rFonts w:cs="Arial"/>
        <w:sz w:val="14"/>
      </w:rPr>
    </w:pPr>
    <w:r w:rsidRPr="003D44A3">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0875632A"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1A69FFDA" w14:textId="6F890D82" w:rsidR="003D44A3" w:rsidRPr="003D44A3" w:rsidRDefault="003D44A3" w:rsidP="003D44A3">
    <w:pPr>
      <w:pStyle w:val="Footer"/>
      <w:jc w:val="center"/>
      <w:rPr>
        <w:rFonts w:cs="Arial"/>
        <w:sz w:val="14"/>
      </w:rPr>
    </w:pPr>
    <w:r w:rsidRPr="003D44A3">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7703A" w14:textId="77777777" w:rsidR="00BB7F77" w:rsidRDefault="00BB7F77">
      <w:pPr>
        <w:spacing w:after="0" w:line="240" w:lineRule="auto"/>
      </w:pPr>
      <w:r>
        <w:separator/>
      </w:r>
    </w:p>
  </w:footnote>
  <w:footnote w:type="continuationSeparator" w:id="0">
    <w:p w14:paraId="7FDF5C48" w14:textId="77777777" w:rsidR="00BB7F77" w:rsidRDefault="00BB7F77">
      <w:pPr>
        <w:spacing w:after="0" w:line="240" w:lineRule="auto"/>
      </w:pPr>
      <w:r>
        <w:continuationSeparator/>
      </w:r>
    </w:p>
  </w:footnote>
  <w:footnote w:type="continuationNotice" w:id="1">
    <w:p w14:paraId="69B05411" w14:textId="77777777" w:rsidR="00BB7F77" w:rsidRDefault="00BB7F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01B1" w14:textId="77777777" w:rsidR="003D44A3" w:rsidRDefault="003D4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1649D" w14:textId="77777777" w:rsidR="003D44A3" w:rsidRDefault="003D4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D471" w14:textId="77777777" w:rsidR="003D44A3" w:rsidRDefault="003D4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3"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4"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1"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4"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17"/>
  </w:num>
  <w:num w:numId="4">
    <w:abstractNumId w:val="0"/>
  </w:num>
  <w:num w:numId="5">
    <w:abstractNumId w:val="6"/>
  </w:num>
  <w:num w:numId="6">
    <w:abstractNumId w:val="9"/>
  </w:num>
  <w:num w:numId="7">
    <w:abstractNumId w:val="37"/>
  </w:num>
  <w:num w:numId="8">
    <w:abstractNumId w:val="4"/>
  </w:num>
  <w:num w:numId="9">
    <w:abstractNumId w:val="20"/>
  </w:num>
  <w:num w:numId="10">
    <w:abstractNumId w:val="36"/>
  </w:num>
  <w:num w:numId="11">
    <w:abstractNumId w:val="16"/>
  </w:num>
  <w:num w:numId="12">
    <w:abstractNumId w:val="12"/>
  </w:num>
  <w:num w:numId="13">
    <w:abstractNumId w:val="11"/>
  </w:num>
  <w:num w:numId="14">
    <w:abstractNumId w:val="26"/>
  </w:num>
  <w:num w:numId="15">
    <w:abstractNumId w:val="25"/>
  </w:num>
  <w:num w:numId="16">
    <w:abstractNumId w:val="38"/>
  </w:num>
  <w:num w:numId="17">
    <w:abstractNumId w:val="32"/>
  </w:num>
  <w:num w:numId="18">
    <w:abstractNumId w:val="44"/>
  </w:num>
  <w:num w:numId="19">
    <w:abstractNumId w:val="2"/>
  </w:num>
  <w:num w:numId="20">
    <w:abstractNumId w:val="13"/>
  </w:num>
  <w:num w:numId="21">
    <w:abstractNumId w:val="21"/>
  </w:num>
  <w:num w:numId="22">
    <w:abstractNumId w:val="22"/>
  </w:num>
  <w:num w:numId="23">
    <w:abstractNumId w:val="39"/>
  </w:num>
  <w:num w:numId="24">
    <w:abstractNumId w:val="45"/>
  </w:num>
  <w:num w:numId="25">
    <w:abstractNumId w:val="31"/>
  </w:num>
  <w:num w:numId="26">
    <w:abstractNumId w:val="18"/>
  </w:num>
  <w:num w:numId="27">
    <w:abstractNumId w:val="42"/>
  </w:num>
  <w:num w:numId="28">
    <w:abstractNumId w:val="33"/>
  </w:num>
  <w:num w:numId="29">
    <w:abstractNumId w:val="34"/>
  </w:num>
  <w:num w:numId="30">
    <w:abstractNumId w:val="40"/>
  </w:num>
  <w:num w:numId="31">
    <w:abstractNumId w:val="47"/>
  </w:num>
  <w:num w:numId="32">
    <w:abstractNumId w:val="29"/>
  </w:num>
  <w:num w:numId="33">
    <w:abstractNumId w:val="10"/>
  </w:num>
  <w:num w:numId="34">
    <w:abstractNumId w:val="15"/>
  </w:num>
  <w:num w:numId="35">
    <w:abstractNumId w:val="14"/>
  </w:num>
  <w:num w:numId="36">
    <w:abstractNumId w:val="14"/>
  </w:num>
  <w:num w:numId="37">
    <w:abstractNumId w:val="35"/>
  </w:num>
  <w:num w:numId="38">
    <w:abstractNumId w:val="28"/>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8"/>
  </w:num>
  <w:num w:numId="42">
    <w:abstractNumId w:val="5"/>
  </w:num>
  <w:num w:numId="43">
    <w:abstractNumId w:val="3"/>
  </w:num>
  <w:num w:numId="44">
    <w:abstractNumId w:val="19"/>
  </w:num>
  <w:num w:numId="45">
    <w:abstractNumId w:val="7"/>
  </w:num>
  <w:num w:numId="46">
    <w:abstractNumId w:val="41"/>
  </w:num>
  <w:num w:numId="47">
    <w:abstractNumId w:val="1"/>
  </w:num>
  <w:num w:numId="48">
    <w:abstractNumId w:val="27"/>
  </w:num>
  <w:num w:numId="4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0D8F"/>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4B"/>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278"/>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A6"/>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576"/>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4A3"/>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5C3"/>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0D3"/>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573"/>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1195"/>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4502"/>
    <w:rsid w:val="00954B3E"/>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B7F77"/>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1C7F"/>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C9D"/>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528C0-3886-4BA7-84AF-F3E9BBA6D8EF}">
  <ds:schemaRefs>
    <ds:schemaRef ds:uri="http://schemas.openxmlformats.org/officeDocument/2006/bibliography"/>
  </ds:schemaRefs>
</ds:datastoreItem>
</file>

<file path=customXml/itemProps2.xml><?xml version="1.0" encoding="utf-8"?>
<ds:datastoreItem xmlns:ds="http://schemas.openxmlformats.org/officeDocument/2006/customXml" ds:itemID="{6AAC9728-41F2-4DC1-8BC1-9CAF14ED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3050</Characters>
  <Application>Microsoft Office Word</Application>
  <DocSecurity>0</DocSecurity>
  <Lines>103</Lines>
  <Paragraphs>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2020-05-21T00:23:00Z</dcterms:created>
  <dcterms:modified xsi:type="dcterms:W3CDTF">2020-05-21T00:23:00Z</dcterms:modified>
</cp:coreProperties>
</file>