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2BDBF44A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7EBB3C19" w:rsidR="00741C4A" w:rsidRPr="00741C4A" w:rsidRDefault="00DD49E6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INTEREST DISCLOSURE AMENDMENT BILL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20</w:t>
      </w:r>
      <w:r w:rsidR="00130A37">
        <w:rPr>
          <w:rFonts w:ascii="Arial" w:hAnsi="Arial" w:cs="Arial"/>
          <w:b/>
          <w:bCs/>
          <w:sz w:val="24"/>
          <w:szCs w:val="24"/>
        </w:rPr>
        <w:t>20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6BB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053E2" w14:textId="5DAE15C5" w:rsidR="00BC3EF0" w:rsidRDefault="00492655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BB387E"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48E1C4" w14:textId="77777777" w:rsidR="00492655" w:rsidRDefault="00492655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7858B" w14:textId="4109D9DF" w:rsid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8064C" w14:textId="13166AA1" w:rsidR="00492655" w:rsidRDefault="00492655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054DDF" w14:textId="77777777" w:rsidR="00492655" w:rsidRPr="00BB387E" w:rsidRDefault="00492655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70ED50A9" w:rsidR="00BB387E" w:rsidRDefault="00DD49E6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B3C501D" w14:textId="4CB251DC" w:rsidR="00DD49E6" w:rsidRPr="00BB387E" w:rsidRDefault="00DD49E6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Chief Minister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39B664B2" w:rsidR="00ED3B77" w:rsidRPr="00BB387E" w:rsidRDefault="00AA69C6" w:rsidP="008C225D">
      <w:pPr>
        <w:pStyle w:val="Heading1"/>
        <w:jc w:val="center"/>
      </w:pPr>
      <w:r>
        <w:lastRenderedPageBreak/>
        <w:t>PUBLIC INTEREST DISCLOSURE AMENDMENT</w:t>
      </w:r>
      <w:r w:rsidR="00ED3B77" w:rsidRPr="00BB387E">
        <w:t xml:space="preserve"> BILL </w:t>
      </w:r>
      <w:r w:rsidR="00130A37" w:rsidRPr="00BB387E">
        <w:t>20</w:t>
      </w:r>
      <w:r w:rsidR="00130A37">
        <w:t>20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4FEC9E61" w14:textId="3494A883" w:rsidR="00D52431" w:rsidRDefault="00D52431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  <w:r w:rsidRPr="00D52431">
        <w:rPr>
          <w:rFonts w:ascii="Arial" w:hAnsi="Arial" w:cs="Arial"/>
          <w:bCs/>
          <w:iCs/>
          <w:sz w:val="24"/>
          <w:szCs w:val="24"/>
        </w:rPr>
        <w:t xml:space="preserve">On </w:t>
      </w:r>
      <w:r>
        <w:rPr>
          <w:rFonts w:ascii="Arial" w:hAnsi="Arial" w:cs="Arial"/>
          <w:bCs/>
          <w:iCs/>
          <w:sz w:val="24"/>
          <w:szCs w:val="24"/>
        </w:rPr>
        <w:t>20 February</w:t>
      </w:r>
      <w:r w:rsidRPr="00D52431">
        <w:rPr>
          <w:rFonts w:ascii="Arial" w:hAnsi="Arial" w:cs="Arial"/>
          <w:bCs/>
          <w:iCs/>
          <w:sz w:val="24"/>
          <w:szCs w:val="24"/>
        </w:rPr>
        <w:t xml:space="preserve"> 2020, the Public Interest Disclosure Amendment Bill 2020 </w:t>
      </w:r>
      <w:r>
        <w:rPr>
          <w:rFonts w:ascii="Arial" w:hAnsi="Arial" w:cs="Arial"/>
          <w:bCs/>
          <w:iCs/>
          <w:sz w:val="24"/>
          <w:szCs w:val="24"/>
        </w:rPr>
        <w:t>(</w:t>
      </w:r>
      <w:r w:rsidRPr="00D52431">
        <w:rPr>
          <w:rFonts w:ascii="Arial" w:hAnsi="Arial" w:cs="Arial"/>
          <w:bCs/>
          <w:iCs/>
          <w:sz w:val="24"/>
          <w:szCs w:val="24"/>
        </w:rPr>
        <w:t xml:space="preserve">the Bill) was introduced to the Legislative Assembly. </w:t>
      </w:r>
    </w:p>
    <w:p w14:paraId="21D68876" w14:textId="77D1541C" w:rsidR="00D52431" w:rsidRDefault="00D52431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</w:p>
    <w:p w14:paraId="67BA0265" w14:textId="1301588B" w:rsidR="00D52431" w:rsidRDefault="00D52431" w:rsidP="00D52431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52431">
        <w:rPr>
          <w:rFonts w:ascii="Arial" w:hAnsi="Arial" w:cs="Arial"/>
          <w:bCs/>
          <w:iCs/>
          <w:sz w:val="24"/>
          <w:szCs w:val="24"/>
        </w:rPr>
        <w:t xml:space="preserve">The explanatory statement accompanying the Bill provides a detailed account of the provisions contained in the Bill and can be accessed at: </w:t>
      </w:r>
    </w:p>
    <w:p w14:paraId="35AE7E40" w14:textId="49C89071" w:rsidR="00D52431" w:rsidRPr="00D52431" w:rsidRDefault="0049767E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  <w:hyperlink r:id="rId15" w:history="1">
        <w:r w:rsidR="00D52431" w:rsidRPr="00D52431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https://www.legislation.act.gov.au/b/db_61759/</w:t>
        </w:r>
      </w:hyperlink>
    </w:p>
    <w:p w14:paraId="65FAD8B2" w14:textId="0C8275AB" w:rsidR="00D52431" w:rsidRPr="00D52431" w:rsidRDefault="00D52431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</w:p>
    <w:p w14:paraId="5E50BB8E" w14:textId="1E208EF1" w:rsidR="00D86CCB" w:rsidRPr="00D86CCB" w:rsidRDefault="00D86CCB" w:rsidP="00D86CCB">
      <w:pPr>
        <w:pStyle w:val="Heading2"/>
        <w:spacing w:before="0" w:after="20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>OUTLINE OF GOVERNMENT AMENDMENTS</w:t>
      </w:r>
    </w:p>
    <w:p w14:paraId="6358161B" w14:textId="38789541" w:rsidR="00D52431" w:rsidRDefault="00D52431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  <w:r w:rsidRPr="00D52431">
        <w:rPr>
          <w:rFonts w:ascii="Arial" w:hAnsi="Arial" w:cs="Arial"/>
          <w:bCs/>
          <w:iCs/>
          <w:sz w:val="24"/>
          <w:szCs w:val="24"/>
        </w:rPr>
        <w:t>This supplementary explanatory statement relates to Government amendments to the Bill (the Government amendments).</w:t>
      </w:r>
      <w:r w:rsidR="000A7AA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502A400" w14:textId="515A4F1E" w:rsidR="00D86CCB" w:rsidRDefault="00D86CCB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</w:p>
    <w:p w14:paraId="109A17CE" w14:textId="68CB3C3E" w:rsidR="00D86CCB" w:rsidRPr="00D52431" w:rsidRDefault="00D86CCB" w:rsidP="00D52431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  <w:r w:rsidRPr="0086559A">
        <w:rPr>
          <w:rFonts w:ascii="Arial" w:hAnsi="Arial" w:cs="Arial"/>
          <w:bCs/>
          <w:sz w:val="24"/>
          <w:szCs w:val="24"/>
        </w:rPr>
        <w:t xml:space="preserve">The Government amendments seek to better align </w:t>
      </w:r>
      <w:r w:rsidRPr="0086559A">
        <w:rPr>
          <w:rFonts w:ascii="Arial" w:hAnsi="Arial" w:cs="Arial"/>
          <w:bCs/>
          <w:iCs/>
          <w:sz w:val="24"/>
          <w:szCs w:val="24"/>
        </w:rPr>
        <w:t>the Bill with the recommendations of the</w:t>
      </w:r>
      <w:r w:rsidR="004D53BD" w:rsidRPr="0086559A">
        <w:rPr>
          <w:rFonts w:ascii="Arial" w:hAnsi="Arial" w:cs="Arial"/>
          <w:bCs/>
          <w:iCs/>
          <w:sz w:val="24"/>
          <w:szCs w:val="24"/>
        </w:rPr>
        <w:t xml:space="preserve"> independent review of the</w:t>
      </w:r>
      <w:r w:rsidRPr="008655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394CB3" w:rsidRPr="0086559A">
        <w:rPr>
          <w:rFonts w:ascii="Arial" w:hAnsi="Arial" w:cs="Arial"/>
          <w:bCs/>
          <w:i/>
          <w:sz w:val="24"/>
          <w:szCs w:val="24"/>
        </w:rPr>
        <w:t xml:space="preserve">Public Interest Disclosure Act 2012 </w:t>
      </w:r>
      <w:r w:rsidR="00394CB3" w:rsidRPr="0086559A">
        <w:rPr>
          <w:rFonts w:ascii="Arial" w:hAnsi="Arial" w:cs="Arial"/>
          <w:bCs/>
          <w:iCs/>
          <w:sz w:val="24"/>
          <w:szCs w:val="24"/>
        </w:rPr>
        <w:t>(PID Act)</w:t>
      </w:r>
      <w:r w:rsidRPr="0086559A">
        <w:rPr>
          <w:rFonts w:ascii="Arial" w:hAnsi="Arial" w:cs="Arial"/>
          <w:bCs/>
          <w:iCs/>
          <w:sz w:val="24"/>
          <w:szCs w:val="24"/>
        </w:rPr>
        <w:t>.</w:t>
      </w:r>
      <w:r w:rsidR="0086559A" w:rsidRPr="0086559A">
        <w:rPr>
          <w:rFonts w:ascii="Arial" w:hAnsi="Arial" w:cs="Arial"/>
          <w:bCs/>
          <w:iCs/>
          <w:sz w:val="24"/>
          <w:szCs w:val="24"/>
        </w:rPr>
        <w:t xml:space="preserve"> T</w:t>
      </w:r>
      <w:r w:rsidR="0086559A">
        <w:rPr>
          <w:rFonts w:ascii="Arial" w:hAnsi="Arial" w:cs="Arial"/>
          <w:bCs/>
          <w:iCs/>
          <w:sz w:val="24"/>
          <w:szCs w:val="24"/>
        </w:rPr>
        <w:t>he Government amendments also seek to incorporate feedback from stakeholders.</w:t>
      </w:r>
      <w:r w:rsidRPr="000A7AA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65CFE963" w14:textId="47E2934A" w:rsidR="00D52431" w:rsidRDefault="00D52431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5A394F8E" w14:textId="36371054" w:rsidR="00D52431" w:rsidRDefault="00D52431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A1A6F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supplementary explanatory s</w:t>
      </w:r>
      <w:r w:rsidRPr="006A1A6F">
        <w:rPr>
          <w:rFonts w:ascii="Arial" w:hAnsi="Arial" w:cs="Arial"/>
          <w:bCs/>
          <w:sz w:val="24"/>
          <w:szCs w:val="24"/>
        </w:rPr>
        <w:t xml:space="preserve">tatement must be read in conjunction with the Bill. It is not, and is not meant to be, a comprehensive description of the Bill. What is said about a provision is not to be taken as an authoritative guide to the meaning of a provision, this being a task for the courts. </w:t>
      </w:r>
    </w:p>
    <w:p w14:paraId="65B25678" w14:textId="77777777" w:rsidR="006A1A6F" w:rsidRDefault="006A1A6F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0E3AED59" w14:textId="23C55DF5" w:rsidR="006A1A6F" w:rsidRPr="006A1A6F" w:rsidRDefault="006A1A6F" w:rsidP="006A1A6F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A1A6F">
        <w:rPr>
          <w:rFonts w:ascii="Arial" w:hAnsi="Arial" w:cs="Arial"/>
          <w:b/>
          <w:sz w:val="24"/>
          <w:szCs w:val="24"/>
          <w:u w:val="single"/>
        </w:rPr>
        <w:t xml:space="preserve">Human Rights Implications </w:t>
      </w:r>
    </w:p>
    <w:p w14:paraId="38F8F263" w14:textId="77777777" w:rsidR="006A1A6F" w:rsidRDefault="006A1A6F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33A0DB80" w14:textId="4B5C5922" w:rsidR="00BA3CF8" w:rsidRPr="00BA3CF8" w:rsidRDefault="00BA3CF8" w:rsidP="00BA3CF8">
      <w:pPr>
        <w:spacing w:after="0"/>
        <w:contextualSpacing/>
        <w:rPr>
          <w:rFonts w:ascii="Arial" w:hAnsi="Arial" w:cs="Arial"/>
          <w:bCs/>
          <w:iCs/>
          <w:sz w:val="24"/>
          <w:szCs w:val="24"/>
        </w:rPr>
      </w:pPr>
      <w:r w:rsidRPr="00BA3CF8">
        <w:rPr>
          <w:rFonts w:ascii="Arial" w:hAnsi="Arial" w:cs="Arial"/>
          <w:bCs/>
          <w:iCs/>
          <w:sz w:val="24"/>
          <w:szCs w:val="24"/>
        </w:rPr>
        <w:t xml:space="preserve">As outlined in the explanatory statement to the Bill, the Bill engages but does not unreasonably limit rights protected under the </w:t>
      </w:r>
      <w:r w:rsidRPr="00BA3CF8">
        <w:rPr>
          <w:rFonts w:ascii="Arial" w:hAnsi="Arial" w:cs="Arial"/>
          <w:bCs/>
          <w:i/>
          <w:sz w:val="24"/>
          <w:szCs w:val="24"/>
        </w:rPr>
        <w:t>Human Rights Act 2004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BA3CF8">
        <w:rPr>
          <w:rFonts w:ascii="Arial" w:hAnsi="Arial" w:cs="Arial"/>
          <w:bCs/>
          <w:iCs/>
          <w:sz w:val="24"/>
          <w:szCs w:val="24"/>
        </w:rPr>
        <w:t xml:space="preserve">The considerations in the explanatory statement for the Bill largely remain extant. </w:t>
      </w:r>
    </w:p>
    <w:p w14:paraId="47DCF266" w14:textId="77777777" w:rsidR="00BA3CF8" w:rsidRDefault="00BA3CF8" w:rsidP="006A1A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76919819" w14:textId="4151B45F" w:rsidR="00AB54BA" w:rsidRPr="00AB54BA" w:rsidRDefault="006A1A6F" w:rsidP="00AB54B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46328482"/>
      <w:r w:rsidRPr="00A22B0B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1</w:t>
      </w:r>
      <w:r w:rsidRPr="00A22B0B">
        <w:rPr>
          <w:rFonts w:ascii="Arial" w:hAnsi="Arial" w:cs="Arial"/>
          <w:b/>
          <w:bCs/>
          <w:sz w:val="24"/>
          <w:szCs w:val="24"/>
        </w:rPr>
        <w:tab/>
      </w:r>
      <w:r w:rsidR="00AB54BA" w:rsidRPr="00A22B0B">
        <w:rPr>
          <w:rFonts w:ascii="Arial" w:hAnsi="Arial" w:cs="Arial"/>
          <w:b/>
          <w:bCs/>
          <w:sz w:val="24"/>
          <w:szCs w:val="24"/>
        </w:rPr>
        <w:t>Clause 1</w:t>
      </w:r>
      <w:r w:rsidR="005C3F90" w:rsidRPr="00A22B0B">
        <w:rPr>
          <w:rFonts w:ascii="Arial" w:hAnsi="Arial" w:cs="Arial"/>
          <w:b/>
          <w:bCs/>
          <w:sz w:val="24"/>
          <w:szCs w:val="24"/>
        </w:rPr>
        <w:t>3</w:t>
      </w:r>
      <w:r w:rsidR="00AB54BA" w:rsidRPr="00A22B0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71F4E" w:rsidRPr="00D71F4E">
        <w:rPr>
          <w:rFonts w:ascii="Arial" w:hAnsi="Arial" w:cs="Arial"/>
          <w:b/>
          <w:bCs/>
          <w:sz w:val="24"/>
          <w:szCs w:val="24"/>
        </w:rPr>
        <w:t>Proposed new section 18, definition of investigating entity, paragraph</w:t>
      </w:r>
      <w:r w:rsidR="008777F9">
        <w:rPr>
          <w:rFonts w:ascii="Arial" w:hAnsi="Arial" w:cs="Arial"/>
          <w:b/>
          <w:bCs/>
          <w:sz w:val="24"/>
          <w:szCs w:val="24"/>
        </w:rPr>
        <w:t xml:space="preserve"> </w:t>
      </w:r>
      <w:r w:rsidR="00D71F4E" w:rsidRPr="00D71F4E">
        <w:rPr>
          <w:rFonts w:ascii="Arial" w:hAnsi="Arial" w:cs="Arial"/>
          <w:b/>
          <w:bCs/>
          <w:sz w:val="24"/>
          <w:szCs w:val="24"/>
        </w:rPr>
        <w:t>(a)</w:t>
      </w:r>
    </w:p>
    <w:p w14:paraId="5030CD5B" w14:textId="5DB8DD77" w:rsidR="00F64235" w:rsidRDefault="00A22B0B" w:rsidP="00AB5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amendment to s</w:t>
      </w:r>
      <w:r w:rsidR="00F64235">
        <w:rPr>
          <w:rFonts w:ascii="Arial" w:hAnsi="Arial" w:cs="Arial"/>
          <w:sz w:val="24"/>
          <w:szCs w:val="24"/>
        </w:rPr>
        <w:t>ection 1</w:t>
      </w:r>
      <w:r w:rsidR="008B5C89">
        <w:rPr>
          <w:rFonts w:ascii="Arial" w:hAnsi="Arial" w:cs="Arial"/>
          <w:sz w:val="24"/>
          <w:szCs w:val="24"/>
        </w:rPr>
        <w:t>8</w:t>
      </w:r>
      <w:r w:rsidR="008777F9">
        <w:rPr>
          <w:rFonts w:ascii="Arial" w:hAnsi="Arial" w:cs="Arial"/>
          <w:sz w:val="24"/>
          <w:szCs w:val="24"/>
        </w:rPr>
        <w:t>(a)</w:t>
      </w:r>
      <w:r w:rsidR="008B5C89">
        <w:rPr>
          <w:rFonts w:ascii="Arial" w:hAnsi="Arial" w:cs="Arial"/>
          <w:sz w:val="24"/>
          <w:szCs w:val="24"/>
        </w:rPr>
        <w:t xml:space="preserve"> </w:t>
      </w:r>
      <w:r w:rsidR="00505AB9">
        <w:rPr>
          <w:rFonts w:ascii="Arial" w:hAnsi="Arial" w:cs="Arial"/>
          <w:sz w:val="24"/>
          <w:szCs w:val="24"/>
        </w:rPr>
        <w:t>omits the reference to section 19(2)(b) and substitutes it with section 19(2)</w:t>
      </w:r>
      <w:r w:rsidR="004563B9">
        <w:rPr>
          <w:rFonts w:ascii="Arial" w:hAnsi="Arial" w:cs="Arial"/>
          <w:sz w:val="24"/>
          <w:szCs w:val="24"/>
        </w:rPr>
        <w:t xml:space="preserve"> to reflect the amendments made to section 19</w:t>
      </w:r>
      <w:r w:rsidR="008777F9">
        <w:rPr>
          <w:rFonts w:ascii="Arial" w:hAnsi="Arial" w:cs="Arial"/>
          <w:sz w:val="24"/>
          <w:szCs w:val="24"/>
        </w:rPr>
        <w:t xml:space="preserve">(2) </w:t>
      </w:r>
      <w:r w:rsidR="004563B9">
        <w:rPr>
          <w:rFonts w:ascii="Arial" w:hAnsi="Arial" w:cs="Arial"/>
          <w:sz w:val="24"/>
          <w:szCs w:val="24"/>
        </w:rPr>
        <w:t xml:space="preserve">discussed below at Amendment </w:t>
      </w:r>
      <w:r w:rsidR="002069E2">
        <w:rPr>
          <w:rFonts w:ascii="Arial" w:hAnsi="Arial" w:cs="Arial"/>
          <w:sz w:val="24"/>
          <w:szCs w:val="24"/>
        </w:rPr>
        <w:t>3</w:t>
      </w:r>
      <w:r w:rsidRPr="00F64235">
        <w:rPr>
          <w:rFonts w:ascii="Arial" w:hAnsi="Arial" w:cs="Arial"/>
          <w:sz w:val="24"/>
          <w:szCs w:val="24"/>
        </w:rPr>
        <w:t>.</w:t>
      </w:r>
    </w:p>
    <w:p w14:paraId="7800A19C" w14:textId="4B44C346" w:rsidR="008777F9" w:rsidRDefault="008777F9" w:rsidP="00AB54BA">
      <w:pPr>
        <w:spacing w:after="0"/>
        <w:rPr>
          <w:rFonts w:ascii="Arial" w:hAnsi="Arial" w:cs="Arial"/>
          <w:sz w:val="24"/>
          <w:szCs w:val="24"/>
        </w:rPr>
      </w:pPr>
    </w:p>
    <w:p w14:paraId="43C7EA94" w14:textId="7869519A" w:rsidR="008777F9" w:rsidRPr="00AB54BA" w:rsidRDefault="008777F9" w:rsidP="008777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2B0B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2</w:t>
      </w:r>
      <w:r w:rsidRPr="00A22B0B">
        <w:rPr>
          <w:rFonts w:ascii="Arial" w:hAnsi="Arial" w:cs="Arial"/>
          <w:b/>
          <w:bCs/>
          <w:sz w:val="24"/>
          <w:szCs w:val="24"/>
        </w:rPr>
        <w:tab/>
        <w:t xml:space="preserve">Clause 13 – </w:t>
      </w:r>
      <w:r w:rsidRPr="00D71F4E">
        <w:rPr>
          <w:rFonts w:ascii="Arial" w:hAnsi="Arial" w:cs="Arial"/>
          <w:b/>
          <w:bCs/>
          <w:sz w:val="24"/>
          <w:szCs w:val="24"/>
        </w:rPr>
        <w:t>Proposed new section 18, definition of investigating entity, paragraph (b)</w:t>
      </w:r>
    </w:p>
    <w:p w14:paraId="0E718854" w14:textId="0DABD4A8" w:rsidR="008777F9" w:rsidRDefault="008777F9" w:rsidP="008777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 to section 18(b) omits the reference to section 19(2)(b) and substitutes it with section 19(2) to reflect the amendments made to section 19(2) discussed below at Amendment </w:t>
      </w:r>
      <w:r w:rsidR="002069E2">
        <w:rPr>
          <w:rFonts w:ascii="Arial" w:hAnsi="Arial" w:cs="Arial"/>
          <w:sz w:val="24"/>
          <w:szCs w:val="24"/>
        </w:rPr>
        <w:t>3</w:t>
      </w:r>
      <w:r w:rsidRPr="00F64235">
        <w:rPr>
          <w:rFonts w:ascii="Arial" w:hAnsi="Arial" w:cs="Arial"/>
          <w:sz w:val="24"/>
          <w:szCs w:val="24"/>
        </w:rPr>
        <w:t>.</w:t>
      </w:r>
    </w:p>
    <w:p w14:paraId="6754FC9E" w14:textId="77777777" w:rsidR="00AB54BA" w:rsidRPr="00AB54BA" w:rsidRDefault="00AB54BA" w:rsidP="00AB54BA">
      <w:pPr>
        <w:spacing w:after="0"/>
        <w:rPr>
          <w:rFonts w:ascii="Arial" w:hAnsi="Arial" w:cs="Arial"/>
          <w:sz w:val="24"/>
          <w:szCs w:val="24"/>
        </w:rPr>
      </w:pPr>
    </w:p>
    <w:p w14:paraId="577687AE" w14:textId="5C398DC2" w:rsidR="00B60428" w:rsidRDefault="006A1A6F" w:rsidP="00AB54B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2B0B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3</w:t>
      </w:r>
      <w:r w:rsidR="00B60428" w:rsidRPr="00A22B0B">
        <w:rPr>
          <w:rFonts w:ascii="Arial" w:hAnsi="Arial" w:cs="Arial"/>
          <w:b/>
          <w:bCs/>
          <w:sz w:val="24"/>
          <w:szCs w:val="24"/>
        </w:rPr>
        <w:tab/>
      </w:r>
      <w:r w:rsidR="00D71F4E" w:rsidRPr="00D71F4E">
        <w:rPr>
          <w:rFonts w:ascii="Arial" w:hAnsi="Arial" w:cs="Arial"/>
          <w:b/>
          <w:bCs/>
          <w:sz w:val="24"/>
          <w:szCs w:val="24"/>
        </w:rPr>
        <w:t>Clause 13 Proposed new section 19 (2)</w:t>
      </w:r>
    </w:p>
    <w:p w14:paraId="232C15DE" w14:textId="03F77D09" w:rsidR="00B60428" w:rsidRDefault="004563B9" w:rsidP="00B604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amendment to section 19(2)</w:t>
      </w:r>
      <w:r w:rsidRPr="004563B9">
        <w:t xml:space="preserve"> </w:t>
      </w:r>
      <w:r w:rsidRPr="004563B9">
        <w:rPr>
          <w:rFonts w:ascii="Arial" w:hAnsi="Arial" w:cs="Arial"/>
          <w:sz w:val="24"/>
          <w:szCs w:val="24"/>
        </w:rPr>
        <w:t>remove</w:t>
      </w:r>
      <w:r>
        <w:rPr>
          <w:rFonts w:ascii="Arial" w:hAnsi="Arial" w:cs="Arial"/>
          <w:sz w:val="24"/>
          <w:szCs w:val="24"/>
        </w:rPr>
        <w:t>s</w:t>
      </w:r>
      <w:r w:rsidRPr="004563B9">
        <w:rPr>
          <w:rFonts w:ascii="Arial" w:hAnsi="Arial" w:cs="Arial"/>
          <w:sz w:val="24"/>
          <w:szCs w:val="24"/>
        </w:rPr>
        <w:t xml:space="preserve"> the provision that enables the Integrity Commissioner to refer a disclosure relating to a Legislative Assembly entity to the Legislative Assembly commissioner for standards</w:t>
      </w:r>
      <w:r w:rsidR="001641DD">
        <w:rPr>
          <w:rFonts w:ascii="Arial" w:hAnsi="Arial" w:cs="Arial"/>
          <w:sz w:val="24"/>
          <w:szCs w:val="24"/>
        </w:rPr>
        <w:t xml:space="preserve"> (formerly referred to as Parliamentary Standards Commissioner)</w:t>
      </w:r>
      <w:r w:rsidRPr="004563B9">
        <w:rPr>
          <w:rFonts w:ascii="Arial" w:hAnsi="Arial" w:cs="Arial"/>
          <w:sz w:val="24"/>
          <w:szCs w:val="24"/>
        </w:rPr>
        <w:t xml:space="preserve">. </w:t>
      </w:r>
      <w:r w:rsidR="00D86CCB">
        <w:rPr>
          <w:rFonts w:ascii="Arial" w:hAnsi="Arial" w:cs="Arial"/>
          <w:sz w:val="24"/>
          <w:szCs w:val="24"/>
        </w:rPr>
        <w:t>The amendment to section 19(2) provides clarification that i</w:t>
      </w:r>
      <w:r w:rsidRPr="004563B9">
        <w:rPr>
          <w:rFonts w:ascii="Arial" w:hAnsi="Arial" w:cs="Arial"/>
          <w:sz w:val="24"/>
          <w:szCs w:val="24"/>
        </w:rPr>
        <w:t xml:space="preserve">f a disclosure relates to a Legislative Assembly entity, it </w:t>
      </w:r>
      <w:r w:rsidR="00D86CCB">
        <w:rPr>
          <w:rFonts w:ascii="Arial" w:hAnsi="Arial" w:cs="Arial"/>
          <w:sz w:val="24"/>
          <w:szCs w:val="24"/>
        </w:rPr>
        <w:t xml:space="preserve">must </w:t>
      </w:r>
      <w:r w:rsidRPr="004563B9">
        <w:rPr>
          <w:rFonts w:ascii="Arial" w:hAnsi="Arial" w:cs="Arial"/>
          <w:sz w:val="24"/>
          <w:szCs w:val="24"/>
        </w:rPr>
        <w:t xml:space="preserve">be </w:t>
      </w:r>
      <w:r w:rsidR="004D53BD">
        <w:rPr>
          <w:rFonts w:ascii="Arial" w:hAnsi="Arial" w:cs="Arial"/>
          <w:sz w:val="24"/>
          <w:szCs w:val="24"/>
        </w:rPr>
        <w:t xml:space="preserve">only be </w:t>
      </w:r>
      <w:r w:rsidRPr="004563B9">
        <w:rPr>
          <w:rFonts w:ascii="Arial" w:hAnsi="Arial" w:cs="Arial"/>
          <w:sz w:val="24"/>
          <w:szCs w:val="24"/>
        </w:rPr>
        <w:t xml:space="preserve">investigated by the Integrity Commissioner and </w:t>
      </w:r>
      <w:r w:rsidR="004D53BD">
        <w:rPr>
          <w:rFonts w:ascii="Arial" w:hAnsi="Arial" w:cs="Arial"/>
          <w:sz w:val="24"/>
          <w:szCs w:val="24"/>
        </w:rPr>
        <w:t xml:space="preserve">must </w:t>
      </w:r>
      <w:r w:rsidRPr="004563B9">
        <w:rPr>
          <w:rFonts w:ascii="Arial" w:hAnsi="Arial" w:cs="Arial"/>
          <w:sz w:val="24"/>
          <w:szCs w:val="24"/>
        </w:rPr>
        <w:t>not</w:t>
      </w:r>
      <w:r w:rsidR="004D53BD">
        <w:rPr>
          <w:rFonts w:ascii="Arial" w:hAnsi="Arial" w:cs="Arial"/>
          <w:sz w:val="24"/>
          <w:szCs w:val="24"/>
        </w:rPr>
        <w:t xml:space="preserve"> be</w:t>
      </w:r>
      <w:r w:rsidRPr="004563B9">
        <w:rPr>
          <w:rFonts w:ascii="Arial" w:hAnsi="Arial" w:cs="Arial"/>
          <w:sz w:val="24"/>
          <w:szCs w:val="24"/>
        </w:rPr>
        <w:t xml:space="preserve"> referred.</w:t>
      </w:r>
    </w:p>
    <w:p w14:paraId="420D1D37" w14:textId="608461C5" w:rsidR="00A22B0B" w:rsidRDefault="00A22B0B" w:rsidP="00B60428">
      <w:pPr>
        <w:spacing w:after="0"/>
        <w:rPr>
          <w:rFonts w:ascii="Arial" w:hAnsi="Arial" w:cs="Arial"/>
          <w:sz w:val="24"/>
          <w:szCs w:val="24"/>
        </w:rPr>
      </w:pPr>
    </w:p>
    <w:p w14:paraId="51A7A15A" w14:textId="4C28A026" w:rsidR="00915796" w:rsidRPr="00915796" w:rsidRDefault="00915796" w:rsidP="00B604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5796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4</w:t>
      </w:r>
      <w:r w:rsidRPr="00915796">
        <w:rPr>
          <w:rFonts w:ascii="Arial" w:hAnsi="Arial" w:cs="Arial"/>
          <w:b/>
          <w:bCs/>
          <w:sz w:val="24"/>
          <w:szCs w:val="24"/>
        </w:rPr>
        <w:tab/>
        <w:t>Clause 13 Proposed new section 19A (2) (c)</w:t>
      </w:r>
    </w:p>
    <w:p w14:paraId="725D6C18" w14:textId="5BCEA782" w:rsidR="00915796" w:rsidRDefault="00150D12" w:rsidP="009157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amendment to section 19A(2)(c) omits the reference to section 19(2)(b) and substitutes it with section 19(2) to reflect the amendments made to section 19</w:t>
      </w:r>
      <w:r w:rsidR="008777F9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discussed above at Amendment </w:t>
      </w:r>
      <w:r w:rsidR="002069E2">
        <w:rPr>
          <w:rFonts w:ascii="Arial" w:hAnsi="Arial" w:cs="Arial"/>
          <w:sz w:val="24"/>
          <w:szCs w:val="24"/>
        </w:rPr>
        <w:t>3</w:t>
      </w:r>
      <w:r w:rsidRPr="00F64235">
        <w:rPr>
          <w:rFonts w:ascii="Arial" w:hAnsi="Arial" w:cs="Arial"/>
          <w:sz w:val="24"/>
          <w:szCs w:val="24"/>
        </w:rPr>
        <w:t>.</w:t>
      </w:r>
    </w:p>
    <w:p w14:paraId="58A66F50" w14:textId="7665CF11" w:rsidR="00915796" w:rsidRDefault="00915796" w:rsidP="00B60428">
      <w:pPr>
        <w:spacing w:after="0"/>
        <w:rPr>
          <w:rFonts w:ascii="Arial" w:hAnsi="Arial" w:cs="Arial"/>
          <w:sz w:val="24"/>
          <w:szCs w:val="24"/>
        </w:rPr>
      </w:pPr>
    </w:p>
    <w:p w14:paraId="3AC5C4C6" w14:textId="045402B1" w:rsidR="00915796" w:rsidRPr="00915796" w:rsidRDefault="00915796" w:rsidP="00B604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5796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5</w:t>
      </w:r>
      <w:r w:rsidRPr="00915796">
        <w:rPr>
          <w:rFonts w:ascii="Arial" w:hAnsi="Arial" w:cs="Arial"/>
          <w:b/>
          <w:bCs/>
          <w:sz w:val="24"/>
          <w:szCs w:val="24"/>
        </w:rPr>
        <w:tab/>
        <w:t>Clause 43 Proposed new section 32 (1) (c)</w:t>
      </w:r>
    </w:p>
    <w:p w14:paraId="3410C847" w14:textId="11664660" w:rsidR="00915796" w:rsidRPr="00915796" w:rsidRDefault="00915796" w:rsidP="001641DD">
      <w:pPr>
        <w:rPr>
          <w:rFonts w:ascii="Arial" w:hAnsi="Arial" w:cs="Arial"/>
          <w:sz w:val="24"/>
          <w:szCs w:val="24"/>
        </w:rPr>
      </w:pPr>
      <w:r w:rsidRPr="00915796">
        <w:rPr>
          <w:rFonts w:ascii="Arial" w:hAnsi="Arial" w:cs="Arial"/>
          <w:sz w:val="24"/>
          <w:szCs w:val="24"/>
        </w:rPr>
        <w:t>Th</w:t>
      </w:r>
      <w:r w:rsidR="001641DD">
        <w:rPr>
          <w:rFonts w:ascii="Arial" w:hAnsi="Arial" w:cs="Arial"/>
          <w:sz w:val="24"/>
          <w:szCs w:val="24"/>
        </w:rPr>
        <w:t xml:space="preserve">e amendment to section </w:t>
      </w:r>
      <w:r w:rsidR="001641DD" w:rsidRPr="001641DD">
        <w:rPr>
          <w:rFonts w:ascii="Arial" w:hAnsi="Arial" w:cs="Arial"/>
          <w:sz w:val="24"/>
          <w:szCs w:val="24"/>
        </w:rPr>
        <w:t>32(1)</w:t>
      </w:r>
      <w:r w:rsidR="001641DD">
        <w:rPr>
          <w:rFonts w:ascii="Arial" w:hAnsi="Arial" w:cs="Arial"/>
          <w:sz w:val="24"/>
          <w:szCs w:val="24"/>
        </w:rPr>
        <w:t xml:space="preserve"> provides</w:t>
      </w:r>
      <w:r w:rsidR="001641DD" w:rsidRPr="001641DD">
        <w:rPr>
          <w:rFonts w:ascii="Arial" w:hAnsi="Arial" w:cs="Arial"/>
          <w:sz w:val="24"/>
          <w:szCs w:val="24"/>
        </w:rPr>
        <w:t xml:space="preserve"> that the Integrity Commissioner guidelines </w:t>
      </w:r>
      <w:r w:rsidR="001641DD">
        <w:rPr>
          <w:rFonts w:ascii="Arial" w:hAnsi="Arial" w:cs="Arial"/>
          <w:sz w:val="24"/>
          <w:szCs w:val="24"/>
        </w:rPr>
        <w:t xml:space="preserve">must </w:t>
      </w:r>
      <w:r w:rsidR="001641DD" w:rsidRPr="001641DD">
        <w:rPr>
          <w:rFonts w:ascii="Arial" w:hAnsi="Arial" w:cs="Arial"/>
          <w:sz w:val="24"/>
          <w:szCs w:val="24"/>
        </w:rPr>
        <w:t xml:space="preserve">provide guidance to </w:t>
      </w:r>
      <w:r w:rsidR="001641DD">
        <w:rPr>
          <w:rFonts w:ascii="Arial" w:hAnsi="Arial" w:cs="Arial"/>
          <w:sz w:val="24"/>
          <w:szCs w:val="24"/>
        </w:rPr>
        <w:t>members of the Legislative Assembly</w:t>
      </w:r>
      <w:r w:rsidR="001641DD" w:rsidRPr="001641DD">
        <w:rPr>
          <w:rFonts w:ascii="Arial" w:hAnsi="Arial" w:cs="Arial"/>
          <w:sz w:val="24"/>
          <w:szCs w:val="24"/>
        </w:rPr>
        <w:t xml:space="preserve"> in relation to section</w:t>
      </w:r>
      <w:r w:rsidR="00756BAF">
        <w:rPr>
          <w:rFonts w:ascii="Arial" w:hAnsi="Arial" w:cs="Arial"/>
          <w:sz w:val="24"/>
          <w:szCs w:val="24"/>
        </w:rPr>
        <w:t> </w:t>
      </w:r>
      <w:r w:rsidR="001641DD" w:rsidRPr="001641DD">
        <w:rPr>
          <w:rFonts w:ascii="Arial" w:hAnsi="Arial" w:cs="Arial"/>
          <w:sz w:val="24"/>
          <w:szCs w:val="24"/>
        </w:rPr>
        <w:t>27 (Giving disclosure of disclosable conduct to Legislative Assembly or journalist) and section 27A (Giving public interest disclosure to Legislative Assembly or journalist).</w:t>
      </w:r>
    </w:p>
    <w:p w14:paraId="6A4E92D6" w14:textId="36C84E84" w:rsidR="005C3F90" w:rsidRDefault="00B60428" w:rsidP="00AB54B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069E2">
        <w:rPr>
          <w:rFonts w:ascii="Arial" w:hAnsi="Arial" w:cs="Arial"/>
          <w:b/>
          <w:bCs/>
          <w:sz w:val="24"/>
          <w:szCs w:val="24"/>
        </w:rPr>
        <w:t>6</w:t>
      </w:r>
      <w:r w:rsidR="006A1A6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Clause 44 </w:t>
      </w:r>
      <w:r w:rsidRPr="00B60428">
        <w:rPr>
          <w:rFonts w:ascii="Arial" w:hAnsi="Arial" w:cs="Arial"/>
          <w:b/>
          <w:bCs/>
          <w:sz w:val="24"/>
          <w:szCs w:val="24"/>
        </w:rPr>
        <w:t>Proposed new section 34 (1) (c)</w:t>
      </w:r>
    </w:p>
    <w:p w14:paraId="115421A2" w14:textId="390D034A" w:rsidR="00AB54BA" w:rsidRDefault="005C3F90" w:rsidP="00AB54BA">
      <w:pPr>
        <w:spacing w:after="0"/>
        <w:rPr>
          <w:rFonts w:ascii="Arial" w:hAnsi="Arial" w:cs="Arial"/>
          <w:sz w:val="24"/>
          <w:szCs w:val="24"/>
        </w:rPr>
      </w:pPr>
      <w:r w:rsidRPr="00AB54B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amendment </w:t>
      </w:r>
      <w:r w:rsidR="006A1A6F">
        <w:rPr>
          <w:rFonts w:ascii="Arial" w:hAnsi="Arial" w:cs="Arial"/>
          <w:sz w:val="24"/>
          <w:szCs w:val="24"/>
        </w:rPr>
        <w:t>omits</w:t>
      </w:r>
      <w:r>
        <w:rPr>
          <w:rFonts w:ascii="Arial" w:hAnsi="Arial" w:cs="Arial"/>
          <w:sz w:val="24"/>
          <w:szCs w:val="24"/>
        </w:rPr>
        <w:t xml:space="preserve"> the reference to the Parliamentary Standards Commissioner in </w:t>
      </w:r>
      <w:r w:rsidRPr="005C3F90">
        <w:rPr>
          <w:rFonts w:ascii="Arial" w:hAnsi="Arial" w:cs="Arial"/>
          <w:sz w:val="24"/>
          <w:szCs w:val="24"/>
        </w:rPr>
        <w:t>section 34(1)(c)</w:t>
      </w:r>
      <w:r w:rsidR="00F030B2">
        <w:rPr>
          <w:rFonts w:ascii="Arial" w:hAnsi="Arial" w:cs="Arial"/>
          <w:sz w:val="24"/>
          <w:szCs w:val="24"/>
        </w:rPr>
        <w:t xml:space="preserve">. </w:t>
      </w:r>
      <w:r w:rsidR="00F64235">
        <w:rPr>
          <w:rFonts w:ascii="Arial" w:hAnsi="Arial" w:cs="Arial"/>
          <w:sz w:val="24"/>
          <w:szCs w:val="24"/>
        </w:rPr>
        <w:t>T</w:t>
      </w:r>
      <w:r w:rsidR="00F030B2">
        <w:rPr>
          <w:rFonts w:ascii="Arial" w:hAnsi="Arial" w:cs="Arial"/>
          <w:sz w:val="24"/>
          <w:szCs w:val="24"/>
        </w:rPr>
        <w:t xml:space="preserve">he Ombudsman </w:t>
      </w:r>
      <w:r w:rsidR="00F64235">
        <w:rPr>
          <w:rFonts w:ascii="Arial" w:hAnsi="Arial" w:cs="Arial"/>
          <w:sz w:val="24"/>
          <w:szCs w:val="24"/>
        </w:rPr>
        <w:t>will not have a role</w:t>
      </w:r>
      <w:r w:rsidR="00F030B2">
        <w:rPr>
          <w:rFonts w:ascii="Arial" w:hAnsi="Arial" w:cs="Arial"/>
          <w:sz w:val="24"/>
          <w:szCs w:val="24"/>
        </w:rPr>
        <w:t xml:space="preserve"> in relation to </w:t>
      </w:r>
      <w:r w:rsidR="00F64235">
        <w:rPr>
          <w:rFonts w:ascii="Arial" w:hAnsi="Arial" w:cs="Arial"/>
          <w:sz w:val="24"/>
          <w:szCs w:val="24"/>
        </w:rPr>
        <w:t>any action taken by the</w:t>
      </w:r>
      <w:r w:rsidR="00F03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Legislative Assembly commissioner for standards</w:t>
      </w:r>
      <w:r w:rsidR="00F64235">
        <w:rPr>
          <w:rFonts w:ascii="Arial" w:hAnsi="Arial" w:cs="Arial"/>
          <w:sz w:val="24"/>
          <w:szCs w:val="24"/>
        </w:rPr>
        <w:t xml:space="preserve"> in the exercise of a function under this Act</w:t>
      </w:r>
      <w:r>
        <w:rPr>
          <w:rFonts w:ascii="Arial" w:hAnsi="Arial" w:cs="Arial"/>
          <w:sz w:val="24"/>
          <w:szCs w:val="24"/>
        </w:rPr>
        <w:t>.</w:t>
      </w:r>
    </w:p>
    <w:p w14:paraId="32956C94" w14:textId="044BF882" w:rsidR="005C3F90" w:rsidRDefault="005C3F90" w:rsidP="00AB54BA">
      <w:pPr>
        <w:spacing w:after="0"/>
        <w:rPr>
          <w:rFonts w:ascii="Arial" w:hAnsi="Arial" w:cs="Arial"/>
          <w:sz w:val="24"/>
          <w:szCs w:val="24"/>
        </w:rPr>
      </w:pPr>
    </w:p>
    <w:p w14:paraId="4AA23246" w14:textId="12A73B5A" w:rsidR="00B60428" w:rsidRPr="00F030B2" w:rsidRDefault="00F030B2" w:rsidP="00AB54B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30B2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482733">
        <w:rPr>
          <w:rFonts w:ascii="Arial" w:hAnsi="Arial" w:cs="Arial"/>
          <w:b/>
          <w:bCs/>
          <w:sz w:val="24"/>
          <w:szCs w:val="24"/>
        </w:rPr>
        <w:t>7</w:t>
      </w:r>
      <w:r w:rsidRPr="00F030B2">
        <w:rPr>
          <w:rFonts w:ascii="Arial" w:hAnsi="Arial" w:cs="Arial"/>
          <w:b/>
          <w:bCs/>
          <w:sz w:val="24"/>
          <w:szCs w:val="24"/>
        </w:rPr>
        <w:tab/>
      </w:r>
      <w:r w:rsidR="00B60428" w:rsidRPr="00F030B2">
        <w:rPr>
          <w:rFonts w:ascii="Arial" w:hAnsi="Arial" w:cs="Arial"/>
          <w:b/>
          <w:bCs/>
          <w:sz w:val="24"/>
          <w:szCs w:val="24"/>
        </w:rPr>
        <w:t>Proposed new clause 60A</w:t>
      </w:r>
    </w:p>
    <w:p w14:paraId="0F042E26" w14:textId="4DAE3A97" w:rsidR="00B60428" w:rsidRPr="00F030B2" w:rsidRDefault="00F030B2" w:rsidP="00AB5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amendment includes the Public Sector Standards Commissioner into the note in the Dictionary. It provides advice that the definition of this term can be found in the </w:t>
      </w:r>
      <w:r>
        <w:rPr>
          <w:rFonts w:ascii="Arial" w:hAnsi="Arial" w:cs="Arial"/>
          <w:i/>
          <w:iCs/>
          <w:sz w:val="24"/>
          <w:szCs w:val="24"/>
        </w:rPr>
        <w:t>Legislation Act 2001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7F6A2F1" w14:textId="77777777" w:rsidR="00F030B2" w:rsidRPr="00AB54BA" w:rsidRDefault="00F030B2" w:rsidP="00AB54BA">
      <w:pPr>
        <w:spacing w:after="0"/>
        <w:rPr>
          <w:rFonts w:ascii="Arial" w:hAnsi="Arial" w:cs="Arial"/>
          <w:sz w:val="24"/>
          <w:szCs w:val="24"/>
        </w:rPr>
      </w:pPr>
    </w:p>
    <w:bookmarkEnd w:id="1"/>
    <w:sectPr w:rsidR="00F030B2" w:rsidRPr="00AB54BA" w:rsidSect="00F41A2F">
      <w:footerReference w:type="default" r:id="rId16"/>
      <w:footerReference w:type="first" r:id="rId17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8A78" w14:textId="77777777" w:rsidR="00F0409F" w:rsidRDefault="00F0409F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F0409F" w:rsidRDefault="00F0409F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F0409F" w:rsidRDefault="00F04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C3A1" w14:textId="77777777" w:rsidR="0049767E" w:rsidRDefault="00497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EB60" w14:textId="684A092B" w:rsidR="0049767E" w:rsidRPr="0049767E" w:rsidRDefault="0049767E" w:rsidP="0049767E">
    <w:pPr>
      <w:pStyle w:val="Footer"/>
      <w:jc w:val="center"/>
      <w:rPr>
        <w:rFonts w:cs="Arial"/>
        <w:sz w:val="14"/>
      </w:rPr>
    </w:pPr>
    <w:r w:rsidRPr="004976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B8" w14:textId="77777777" w:rsidR="00F0409F" w:rsidRDefault="00F0409F">
    <w:pPr>
      <w:pStyle w:val="Footer"/>
      <w:jc w:val="right"/>
    </w:pPr>
  </w:p>
  <w:p w14:paraId="1B19A0D3" w14:textId="77777777" w:rsidR="00F0409F" w:rsidRPr="00DC5912" w:rsidRDefault="00F0409F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F91" w14:textId="1A59FB83" w:rsidR="00F0409F" w:rsidRDefault="00F0409F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9128CE9" w14:textId="27B48297" w:rsidR="0049767E" w:rsidRPr="0049767E" w:rsidRDefault="0049767E" w:rsidP="0049767E">
    <w:pPr>
      <w:pStyle w:val="Footer"/>
      <w:spacing w:before="60" w:line="240" w:lineRule="auto"/>
      <w:jc w:val="center"/>
      <w:rPr>
        <w:rFonts w:cs="Arial"/>
        <w:sz w:val="14"/>
      </w:rPr>
    </w:pPr>
    <w:r w:rsidRPr="0049767E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75DD" w14:textId="7B4E9B65" w:rsidR="00F0409F" w:rsidRDefault="00F040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AC7DA9" w14:textId="215D7B90" w:rsidR="0049767E" w:rsidRPr="0049767E" w:rsidRDefault="0049767E" w:rsidP="0049767E">
    <w:pPr>
      <w:pStyle w:val="Footer"/>
      <w:jc w:val="center"/>
      <w:rPr>
        <w:rFonts w:cs="Arial"/>
        <w:sz w:val="14"/>
      </w:rPr>
    </w:pPr>
    <w:r w:rsidRPr="0049767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EA50" w14:textId="77777777" w:rsidR="00F0409F" w:rsidRDefault="00F0409F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F0409F" w:rsidRDefault="00F0409F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F0409F" w:rsidRDefault="00F04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ADB0" w14:textId="77777777" w:rsidR="0049767E" w:rsidRDefault="0049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5FA1" w14:textId="77777777" w:rsidR="0049767E" w:rsidRDefault="00497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C80" w14:textId="77777777" w:rsidR="0049767E" w:rsidRDefault="0049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1F8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5A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5D8F"/>
    <w:rsid w:val="000273A7"/>
    <w:rsid w:val="000274AB"/>
    <w:rsid w:val="000276C7"/>
    <w:rsid w:val="00030336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45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3877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793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25A4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69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6FBB"/>
    <w:rsid w:val="000A76D9"/>
    <w:rsid w:val="000A7AA5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3E9C"/>
    <w:rsid w:val="000B478E"/>
    <w:rsid w:val="000B4CEC"/>
    <w:rsid w:val="000B526A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3817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530D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921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B6"/>
    <w:rsid w:val="000F46C6"/>
    <w:rsid w:val="000F4A83"/>
    <w:rsid w:val="000F4FA7"/>
    <w:rsid w:val="000F514E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728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AB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52E"/>
    <w:rsid w:val="00123C64"/>
    <w:rsid w:val="00124189"/>
    <w:rsid w:val="001254CC"/>
    <w:rsid w:val="001255A5"/>
    <w:rsid w:val="0012597C"/>
    <w:rsid w:val="0012620D"/>
    <w:rsid w:val="0012637F"/>
    <w:rsid w:val="001267FD"/>
    <w:rsid w:val="0012749C"/>
    <w:rsid w:val="001276BA"/>
    <w:rsid w:val="00127EFD"/>
    <w:rsid w:val="00127F6F"/>
    <w:rsid w:val="0013028F"/>
    <w:rsid w:val="00130A37"/>
    <w:rsid w:val="00130A7A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923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0050"/>
    <w:rsid w:val="00150D12"/>
    <w:rsid w:val="00151B9B"/>
    <w:rsid w:val="00152510"/>
    <w:rsid w:val="00152730"/>
    <w:rsid w:val="0015320A"/>
    <w:rsid w:val="0015362B"/>
    <w:rsid w:val="001538A4"/>
    <w:rsid w:val="00153971"/>
    <w:rsid w:val="001564B6"/>
    <w:rsid w:val="001577A9"/>
    <w:rsid w:val="00157D43"/>
    <w:rsid w:val="0016098D"/>
    <w:rsid w:val="001609F9"/>
    <w:rsid w:val="00160B3A"/>
    <w:rsid w:val="0016184C"/>
    <w:rsid w:val="00162E78"/>
    <w:rsid w:val="001630FA"/>
    <w:rsid w:val="001641DD"/>
    <w:rsid w:val="0016454F"/>
    <w:rsid w:val="00164A49"/>
    <w:rsid w:val="00164B78"/>
    <w:rsid w:val="00164D5A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352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6CE"/>
    <w:rsid w:val="001A3907"/>
    <w:rsid w:val="001A3A45"/>
    <w:rsid w:val="001A3ECA"/>
    <w:rsid w:val="001A3EDE"/>
    <w:rsid w:val="001A4947"/>
    <w:rsid w:val="001A4BA1"/>
    <w:rsid w:val="001A4E63"/>
    <w:rsid w:val="001A56E0"/>
    <w:rsid w:val="001A6C2F"/>
    <w:rsid w:val="001A79CF"/>
    <w:rsid w:val="001A7AAC"/>
    <w:rsid w:val="001B01CD"/>
    <w:rsid w:val="001B02DB"/>
    <w:rsid w:val="001B0684"/>
    <w:rsid w:val="001B06B5"/>
    <w:rsid w:val="001B06FD"/>
    <w:rsid w:val="001B0BCC"/>
    <w:rsid w:val="001B0E7F"/>
    <w:rsid w:val="001B11FC"/>
    <w:rsid w:val="001B1C20"/>
    <w:rsid w:val="001B1FD7"/>
    <w:rsid w:val="001B2388"/>
    <w:rsid w:val="001B2479"/>
    <w:rsid w:val="001B258C"/>
    <w:rsid w:val="001B332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20C6"/>
    <w:rsid w:val="001C2AA4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1A32"/>
    <w:rsid w:val="001E25FA"/>
    <w:rsid w:val="001E26F3"/>
    <w:rsid w:val="001E2952"/>
    <w:rsid w:val="001E2B5B"/>
    <w:rsid w:val="001E2DED"/>
    <w:rsid w:val="001E33FE"/>
    <w:rsid w:val="001E3FC0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2A28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69C"/>
    <w:rsid w:val="00205808"/>
    <w:rsid w:val="0020585F"/>
    <w:rsid w:val="0020655C"/>
    <w:rsid w:val="002069E2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6C7D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22C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1B41"/>
    <w:rsid w:val="00242131"/>
    <w:rsid w:val="00242879"/>
    <w:rsid w:val="00244799"/>
    <w:rsid w:val="002458E2"/>
    <w:rsid w:val="00245D51"/>
    <w:rsid w:val="00245F00"/>
    <w:rsid w:val="00246553"/>
    <w:rsid w:val="00246764"/>
    <w:rsid w:val="00247355"/>
    <w:rsid w:val="00247397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636"/>
    <w:rsid w:val="00253A3C"/>
    <w:rsid w:val="0025410F"/>
    <w:rsid w:val="002541C0"/>
    <w:rsid w:val="00254694"/>
    <w:rsid w:val="00256826"/>
    <w:rsid w:val="00256C1E"/>
    <w:rsid w:val="00257DA0"/>
    <w:rsid w:val="00261E42"/>
    <w:rsid w:val="00262807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204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425A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031E"/>
    <w:rsid w:val="002910A1"/>
    <w:rsid w:val="00291A96"/>
    <w:rsid w:val="00291DB6"/>
    <w:rsid w:val="00292395"/>
    <w:rsid w:val="00295448"/>
    <w:rsid w:val="00295802"/>
    <w:rsid w:val="0029592E"/>
    <w:rsid w:val="00295CAB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12F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EE"/>
    <w:rsid w:val="002C36FD"/>
    <w:rsid w:val="002C571D"/>
    <w:rsid w:val="002C5A61"/>
    <w:rsid w:val="002C5E44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5EBC"/>
    <w:rsid w:val="002F60D1"/>
    <w:rsid w:val="002F61F0"/>
    <w:rsid w:val="002F6466"/>
    <w:rsid w:val="002F7A86"/>
    <w:rsid w:val="00300933"/>
    <w:rsid w:val="00301047"/>
    <w:rsid w:val="00301378"/>
    <w:rsid w:val="0030141A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0E25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1EB9"/>
    <w:rsid w:val="00322606"/>
    <w:rsid w:val="00322A3D"/>
    <w:rsid w:val="00322A80"/>
    <w:rsid w:val="0032386E"/>
    <w:rsid w:val="00323BA3"/>
    <w:rsid w:val="00323BF4"/>
    <w:rsid w:val="00323D51"/>
    <w:rsid w:val="0032411F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03F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610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5E6C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44D5"/>
    <w:rsid w:val="00394CB3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8F8"/>
    <w:rsid w:val="003A6D12"/>
    <w:rsid w:val="003A7637"/>
    <w:rsid w:val="003B074C"/>
    <w:rsid w:val="003B13BC"/>
    <w:rsid w:val="003B1449"/>
    <w:rsid w:val="003B1503"/>
    <w:rsid w:val="003B1869"/>
    <w:rsid w:val="003B1D23"/>
    <w:rsid w:val="003B269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B6"/>
    <w:rsid w:val="003C1FEF"/>
    <w:rsid w:val="003C21FC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59"/>
    <w:rsid w:val="003C436B"/>
    <w:rsid w:val="003C4D5A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0C9"/>
    <w:rsid w:val="003D57EA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15B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C9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444A"/>
    <w:rsid w:val="004051A5"/>
    <w:rsid w:val="004061EA"/>
    <w:rsid w:val="00406420"/>
    <w:rsid w:val="004067A1"/>
    <w:rsid w:val="00407676"/>
    <w:rsid w:val="00407F0F"/>
    <w:rsid w:val="004108E5"/>
    <w:rsid w:val="00411053"/>
    <w:rsid w:val="0041144A"/>
    <w:rsid w:val="004126F8"/>
    <w:rsid w:val="004131EB"/>
    <w:rsid w:val="004135D5"/>
    <w:rsid w:val="00414534"/>
    <w:rsid w:val="00414921"/>
    <w:rsid w:val="004149E8"/>
    <w:rsid w:val="00414DDB"/>
    <w:rsid w:val="00415778"/>
    <w:rsid w:val="00415BAF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843"/>
    <w:rsid w:val="004229E2"/>
    <w:rsid w:val="00422DEA"/>
    <w:rsid w:val="004234D0"/>
    <w:rsid w:val="004240EE"/>
    <w:rsid w:val="004241F9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117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3B9"/>
    <w:rsid w:val="00456704"/>
    <w:rsid w:val="00456CDA"/>
    <w:rsid w:val="0045753F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598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5A1"/>
    <w:rsid w:val="00481649"/>
    <w:rsid w:val="00481880"/>
    <w:rsid w:val="00481C17"/>
    <w:rsid w:val="00482733"/>
    <w:rsid w:val="004831AE"/>
    <w:rsid w:val="004835B5"/>
    <w:rsid w:val="004845D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655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67E"/>
    <w:rsid w:val="004977DC"/>
    <w:rsid w:val="004A044B"/>
    <w:rsid w:val="004A06DC"/>
    <w:rsid w:val="004A0ED7"/>
    <w:rsid w:val="004A1685"/>
    <w:rsid w:val="004A19DA"/>
    <w:rsid w:val="004A1BD7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A6D51"/>
    <w:rsid w:val="004A701A"/>
    <w:rsid w:val="004B0EAD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AF9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3BD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924"/>
    <w:rsid w:val="004F7C00"/>
    <w:rsid w:val="004F7EFD"/>
    <w:rsid w:val="00500A09"/>
    <w:rsid w:val="005016B5"/>
    <w:rsid w:val="00501EB5"/>
    <w:rsid w:val="00502582"/>
    <w:rsid w:val="00502844"/>
    <w:rsid w:val="00503607"/>
    <w:rsid w:val="00503AAB"/>
    <w:rsid w:val="00503EE9"/>
    <w:rsid w:val="00503F2D"/>
    <w:rsid w:val="00504247"/>
    <w:rsid w:val="00504BA3"/>
    <w:rsid w:val="00505363"/>
    <w:rsid w:val="00505AB9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14"/>
    <w:rsid w:val="00512ED7"/>
    <w:rsid w:val="0051375C"/>
    <w:rsid w:val="00513ABE"/>
    <w:rsid w:val="00513E23"/>
    <w:rsid w:val="005144C8"/>
    <w:rsid w:val="005149B2"/>
    <w:rsid w:val="00514F66"/>
    <w:rsid w:val="00515073"/>
    <w:rsid w:val="00515A86"/>
    <w:rsid w:val="005162FA"/>
    <w:rsid w:val="00516D30"/>
    <w:rsid w:val="005171AF"/>
    <w:rsid w:val="00517527"/>
    <w:rsid w:val="00517AF5"/>
    <w:rsid w:val="00520326"/>
    <w:rsid w:val="00520A71"/>
    <w:rsid w:val="00520B41"/>
    <w:rsid w:val="00520CFB"/>
    <w:rsid w:val="0052127F"/>
    <w:rsid w:val="00521595"/>
    <w:rsid w:val="005229C8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872"/>
    <w:rsid w:val="005269EF"/>
    <w:rsid w:val="00526C23"/>
    <w:rsid w:val="00527C0E"/>
    <w:rsid w:val="00530F6B"/>
    <w:rsid w:val="00532056"/>
    <w:rsid w:val="0053277B"/>
    <w:rsid w:val="00532BA2"/>
    <w:rsid w:val="00532D05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6C95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67C43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536"/>
    <w:rsid w:val="00592A04"/>
    <w:rsid w:val="005930D9"/>
    <w:rsid w:val="00593116"/>
    <w:rsid w:val="005939FB"/>
    <w:rsid w:val="00593BE4"/>
    <w:rsid w:val="00593BFB"/>
    <w:rsid w:val="00593CAD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19B"/>
    <w:rsid w:val="005A35BE"/>
    <w:rsid w:val="005A3E76"/>
    <w:rsid w:val="005A471D"/>
    <w:rsid w:val="005A4765"/>
    <w:rsid w:val="005A4A4A"/>
    <w:rsid w:val="005A4D8E"/>
    <w:rsid w:val="005A5CEE"/>
    <w:rsid w:val="005A5D50"/>
    <w:rsid w:val="005A6876"/>
    <w:rsid w:val="005A743D"/>
    <w:rsid w:val="005A7945"/>
    <w:rsid w:val="005A7AC7"/>
    <w:rsid w:val="005A7F30"/>
    <w:rsid w:val="005B0FB6"/>
    <w:rsid w:val="005B23A3"/>
    <w:rsid w:val="005B2C3F"/>
    <w:rsid w:val="005B36E3"/>
    <w:rsid w:val="005B3751"/>
    <w:rsid w:val="005B38F2"/>
    <w:rsid w:val="005B3FCE"/>
    <w:rsid w:val="005B452D"/>
    <w:rsid w:val="005B4B09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3F90"/>
    <w:rsid w:val="005C43F0"/>
    <w:rsid w:val="005C579A"/>
    <w:rsid w:val="005C5EB2"/>
    <w:rsid w:val="005C6710"/>
    <w:rsid w:val="005C67DC"/>
    <w:rsid w:val="005C6966"/>
    <w:rsid w:val="005C6B99"/>
    <w:rsid w:val="005C723B"/>
    <w:rsid w:val="005C775D"/>
    <w:rsid w:val="005C7924"/>
    <w:rsid w:val="005C7B6E"/>
    <w:rsid w:val="005C7D84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5DD9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3801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1865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1BC1"/>
    <w:rsid w:val="00622225"/>
    <w:rsid w:val="0062300E"/>
    <w:rsid w:val="00623483"/>
    <w:rsid w:val="00623541"/>
    <w:rsid w:val="00623655"/>
    <w:rsid w:val="00623B53"/>
    <w:rsid w:val="00625BC3"/>
    <w:rsid w:val="00625BED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448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6BCB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2E4F"/>
    <w:rsid w:val="0065316E"/>
    <w:rsid w:val="0065350C"/>
    <w:rsid w:val="006538F5"/>
    <w:rsid w:val="00653940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2EDA"/>
    <w:rsid w:val="00663D99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56DF"/>
    <w:rsid w:val="00675AE7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678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5C74"/>
    <w:rsid w:val="0069696D"/>
    <w:rsid w:val="00696A9C"/>
    <w:rsid w:val="006974E5"/>
    <w:rsid w:val="00697825"/>
    <w:rsid w:val="006979ED"/>
    <w:rsid w:val="00697AE0"/>
    <w:rsid w:val="006A03D7"/>
    <w:rsid w:val="006A0765"/>
    <w:rsid w:val="006A07E6"/>
    <w:rsid w:val="006A0FCF"/>
    <w:rsid w:val="006A1538"/>
    <w:rsid w:val="006A1A6F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DAB"/>
    <w:rsid w:val="006A4E4D"/>
    <w:rsid w:val="006A4F15"/>
    <w:rsid w:val="006A5099"/>
    <w:rsid w:val="006A511B"/>
    <w:rsid w:val="006A52D9"/>
    <w:rsid w:val="006A5339"/>
    <w:rsid w:val="006A54AA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97A"/>
    <w:rsid w:val="006B3C87"/>
    <w:rsid w:val="006B4237"/>
    <w:rsid w:val="006B4296"/>
    <w:rsid w:val="006B5051"/>
    <w:rsid w:val="006B5124"/>
    <w:rsid w:val="006B523E"/>
    <w:rsid w:val="006B5571"/>
    <w:rsid w:val="006B56C5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49E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35C"/>
    <w:rsid w:val="006D3619"/>
    <w:rsid w:val="006D3F79"/>
    <w:rsid w:val="006D4692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D7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3D64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DA1"/>
    <w:rsid w:val="006F7E52"/>
    <w:rsid w:val="007001DD"/>
    <w:rsid w:val="00700338"/>
    <w:rsid w:val="00700704"/>
    <w:rsid w:val="007014E9"/>
    <w:rsid w:val="00702000"/>
    <w:rsid w:val="00702519"/>
    <w:rsid w:val="00702DBB"/>
    <w:rsid w:val="007041A0"/>
    <w:rsid w:val="0070425D"/>
    <w:rsid w:val="00704703"/>
    <w:rsid w:val="00704755"/>
    <w:rsid w:val="0070538C"/>
    <w:rsid w:val="00706C0F"/>
    <w:rsid w:val="00707F42"/>
    <w:rsid w:val="0071014C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0F72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1A6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AF"/>
    <w:rsid w:val="00756BBA"/>
    <w:rsid w:val="007571CB"/>
    <w:rsid w:val="007572AD"/>
    <w:rsid w:val="00760DC9"/>
    <w:rsid w:val="007616C3"/>
    <w:rsid w:val="00761A84"/>
    <w:rsid w:val="00761C1A"/>
    <w:rsid w:val="00761E8C"/>
    <w:rsid w:val="00762389"/>
    <w:rsid w:val="007626D5"/>
    <w:rsid w:val="007629C9"/>
    <w:rsid w:val="00762EC2"/>
    <w:rsid w:val="00762F81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66FAA"/>
    <w:rsid w:val="007703F7"/>
    <w:rsid w:val="0077059A"/>
    <w:rsid w:val="00770A14"/>
    <w:rsid w:val="00771B9A"/>
    <w:rsid w:val="007726FE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019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3EC0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03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14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301"/>
    <w:rsid w:val="007F46BE"/>
    <w:rsid w:val="007F4D8C"/>
    <w:rsid w:val="007F4F1A"/>
    <w:rsid w:val="007F501D"/>
    <w:rsid w:val="007F5089"/>
    <w:rsid w:val="007F5092"/>
    <w:rsid w:val="007F510F"/>
    <w:rsid w:val="007F5225"/>
    <w:rsid w:val="007F5450"/>
    <w:rsid w:val="007F54D5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351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4909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09F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298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10F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3B5"/>
    <w:rsid w:val="00847966"/>
    <w:rsid w:val="00850800"/>
    <w:rsid w:val="00850C21"/>
    <w:rsid w:val="00851A3D"/>
    <w:rsid w:val="00851B3B"/>
    <w:rsid w:val="00851BBA"/>
    <w:rsid w:val="00851F66"/>
    <w:rsid w:val="0085209F"/>
    <w:rsid w:val="00852760"/>
    <w:rsid w:val="0085385B"/>
    <w:rsid w:val="00853D3F"/>
    <w:rsid w:val="00853FD5"/>
    <w:rsid w:val="00854068"/>
    <w:rsid w:val="00854597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59A"/>
    <w:rsid w:val="00865A7F"/>
    <w:rsid w:val="00865B08"/>
    <w:rsid w:val="00865DE9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7F9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862"/>
    <w:rsid w:val="00884EDD"/>
    <w:rsid w:val="00884FF2"/>
    <w:rsid w:val="00885580"/>
    <w:rsid w:val="008859B7"/>
    <w:rsid w:val="00885BAB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63F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487"/>
    <w:rsid w:val="008B5AC8"/>
    <w:rsid w:val="008B5AE9"/>
    <w:rsid w:val="008B5C8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E7B7B"/>
    <w:rsid w:val="008F04B9"/>
    <w:rsid w:val="008F1017"/>
    <w:rsid w:val="008F163E"/>
    <w:rsid w:val="008F1D26"/>
    <w:rsid w:val="008F2B6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796"/>
    <w:rsid w:val="009158E3"/>
    <w:rsid w:val="0091788D"/>
    <w:rsid w:val="00917BF2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277F3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A5A"/>
    <w:rsid w:val="00944B9C"/>
    <w:rsid w:val="00944C87"/>
    <w:rsid w:val="00944C9D"/>
    <w:rsid w:val="00945D90"/>
    <w:rsid w:val="0094647A"/>
    <w:rsid w:val="0094715A"/>
    <w:rsid w:val="00947472"/>
    <w:rsid w:val="00947760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6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398"/>
    <w:rsid w:val="009705AB"/>
    <w:rsid w:val="00970CAB"/>
    <w:rsid w:val="00971117"/>
    <w:rsid w:val="0097216C"/>
    <w:rsid w:val="00972323"/>
    <w:rsid w:val="00972717"/>
    <w:rsid w:val="009738AF"/>
    <w:rsid w:val="009738ED"/>
    <w:rsid w:val="00973BE7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3B0"/>
    <w:rsid w:val="0099670B"/>
    <w:rsid w:val="0099693C"/>
    <w:rsid w:val="00996E02"/>
    <w:rsid w:val="009977FC"/>
    <w:rsid w:val="009979F8"/>
    <w:rsid w:val="009A1BE2"/>
    <w:rsid w:val="009A268F"/>
    <w:rsid w:val="009A26D4"/>
    <w:rsid w:val="009A2CE2"/>
    <w:rsid w:val="009A31AA"/>
    <w:rsid w:val="009A5A71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388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23B7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310"/>
    <w:rsid w:val="009D56B8"/>
    <w:rsid w:val="009D5AF0"/>
    <w:rsid w:val="009D5D2A"/>
    <w:rsid w:val="009D5E55"/>
    <w:rsid w:val="009D66C9"/>
    <w:rsid w:val="009D6B47"/>
    <w:rsid w:val="009D6DD1"/>
    <w:rsid w:val="009D73BF"/>
    <w:rsid w:val="009D764B"/>
    <w:rsid w:val="009D7C0C"/>
    <w:rsid w:val="009E1222"/>
    <w:rsid w:val="009E157A"/>
    <w:rsid w:val="009E1F2D"/>
    <w:rsid w:val="009E226B"/>
    <w:rsid w:val="009E2DD1"/>
    <w:rsid w:val="009E2F60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6D5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1BF2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9EF"/>
    <w:rsid w:val="00A17CF9"/>
    <w:rsid w:val="00A204E7"/>
    <w:rsid w:val="00A20748"/>
    <w:rsid w:val="00A227A1"/>
    <w:rsid w:val="00A22988"/>
    <w:rsid w:val="00A22B0B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325"/>
    <w:rsid w:val="00A317CB"/>
    <w:rsid w:val="00A31920"/>
    <w:rsid w:val="00A3351D"/>
    <w:rsid w:val="00A3369C"/>
    <w:rsid w:val="00A34349"/>
    <w:rsid w:val="00A34D05"/>
    <w:rsid w:val="00A34F16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46B95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439D"/>
    <w:rsid w:val="00A65189"/>
    <w:rsid w:val="00A65D70"/>
    <w:rsid w:val="00A6618C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AEF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160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3E5"/>
    <w:rsid w:val="00AA26F6"/>
    <w:rsid w:val="00AA27F7"/>
    <w:rsid w:val="00AA2967"/>
    <w:rsid w:val="00AA3F39"/>
    <w:rsid w:val="00AA4233"/>
    <w:rsid w:val="00AA4812"/>
    <w:rsid w:val="00AA5067"/>
    <w:rsid w:val="00AA511F"/>
    <w:rsid w:val="00AA69C6"/>
    <w:rsid w:val="00AB040C"/>
    <w:rsid w:val="00AB0A0E"/>
    <w:rsid w:val="00AB25F3"/>
    <w:rsid w:val="00AB4AEF"/>
    <w:rsid w:val="00AB54BA"/>
    <w:rsid w:val="00AB5504"/>
    <w:rsid w:val="00AB5A28"/>
    <w:rsid w:val="00AB632F"/>
    <w:rsid w:val="00AB65A5"/>
    <w:rsid w:val="00AB69BC"/>
    <w:rsid w:val="00AB6F1A"/>
    <w:rsid w:val="00AB700A"/>
    <w:rsid w:val="00AB7116"/>
    <w:rsid w:val="00AC0556"/>
    <w:rsid w:val="00AC0749"/>
    <w:rsid w:val="00AC1332"/>
    <w:rsid w:val="00AC291C"/>
    <w:rsid w:val="00AC34DD"/>
    <w:rsid w:val="00AC41B4"/>
    <w:rsid w:val="00AC48F6"/>
    <w:rsid w:val="00AC4947"/>
    <w:rsid w:val="00AC59DF"/>
    <w:rsid w:val="00AC5F64"/>
    <w:rsid w:val="00AC6493"/>
    <w:rsid w:val="00AC6C62"/>
    <w:rsid w:val="00AC72CC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2348"/>
    <w:rsid w:val="00AE4728"/>
    <w:rsid w:val="00AE57B4"/>
    <w:rsid w:val="00AE6CA7"/>
    <w:rsid w:val="00AE6D52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6F2E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B14"/>
    <w:rsid w:val="00B10C81"/>
    <w:rsid w:val="00B10DEA"/>
    <w:rsid w:val="00B10F0E"/>
    <w:rsid w:val="00B10F57"/>
    <w:rsid w:val="00B1103C"/>
    <w:rsid w:val="00B1130D"/>
    <w:rsid w:val="00B118D2"/>
    <w:rsid w:val="00B1211B"/>
    <w:rsid w:val="00B1254C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16B04"/>
    <w:rsid w:val="00B20B5E"/>
    <w:rsid w:val="00B21A71"/>
    <w:rsid w:val="00B21E45"/>
    <w:rsid w:val="00B21F9A"/>
    <w:rsid w:val="00B236D2"/>
    <w:rsid w:val="00B23781"/>
    <w:rsid w:val="00B23BB7"/>
    <w:rsid w:val="00B25570"/>
    <w:rsid w:val="00B25A3E"/>
    <w:rsid w:val="00B26973"/>
    <w:rsid w:val="00B26AF2"/>
    <w:rsid w:val="00B27697"/>
    <w:rsid w:val="00B278A9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BE5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5970"/>
    <w:rsid w:val="00B563EF"/>
    <w:rsid w:val="00B56578"/>
    <w:rsid w:val="00B5765C"/>
    <w:rsid w:val="00B57DA0"/>
    <w:rsid w:val="00B57FE7"/>
    <w:rsid w:val="00B60428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638"/>
    <w:rsid w:val="00B63A06"/>
    <w:rsid w:val="00B63B16"/>
    <w:rsid w:val="00B64166"/>
    <w:rsid w:val="00B649C8"/>
    <w:rsid w:val="00B64C8A"/>
    <w:rsid w:val="00B70669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CF8"/>
    <w:rsid w:val="00BA3D86"/>
    <w:rsid w:val="00BA4069"/>
    <w:rsid w:val="00BA5CE4"/>
    <w:rsid w:val="00BA5FC1"/>
    <w:rsid w:val="00BA60F9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12D"/>
    <w:rsid w:val="00BD72ED"/>
    <w:rsid w:val="00BD752F"/>
    <w:rsid w:val="00BD756B"/>
    <w:rsid w:val="00BD7EA6"/>
    <w:rsid w:val="00BE0294"/>
    <w:rsid w:val="00BE1856"/>
    <w:rsid w:val="00BE2372"/>
    <w:rsid w:val="00BE268F"/>
    <w:rsid w:val="00BE3667"/>
    <w:rsid w:val="00BE3E6C"/>
    <w:rsid w:val="00BE4168"/>
    <w:rsid w:val="00BE455B"/>
    <w:rsid w:val="00BE4AF1"/>
    <w:rsid w:val="00BE4B47"/>
    <w:rsid w:val="00BE5D4F"/>
    <w:rsid w:val="00BE640F"/>
    <w:rsid w:val="00BE7818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36A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1921"/>
    <w:rsid w:val="00C22961"/>
    <w:rsid w:val="00C2356C"/>
    <w:rsid w:val="00C2491E"/>
    <w:rsid w:val="00C252A5"/>
    <w:rsid w:val="00C25402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4D8"/>
    <w:rsid w:val="00C36F46"/>
    <w:rsid w:val="00C37635"/>
    <w:rsid w:val="00C40771"/>
    <w:rsid w:val="00C40C45"/>
    <w:rsid w:val="00C40F4A"/>
    <w:rsid w:val="00C423D6"/>
    <w:rsid w:val="00C42AC8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9E0"/>
    <w:rsid w:val="00C54B32"/>
    <w:rsid w:val="00C54C56"/>
    <w:rsid w:val="00C54E1B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787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2F0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38A5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3B0B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3BB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0CD7"/>
    <w:rsid w:val="00CF14A1"/>
    <w:rsid w:val="00CF170A"/>
    <w:rsid w:val="00CF1970"/>
    <w:rsid w:val="00CF1DE7"/>
    <w:rsid w:val="00CF24D3"/>
    <w:rsid w:val="00CF3A27"/>
    <w:rsid w:val="00CF3B54"/>
    <w:rsid w:val="00CF459B"/>
    <w:rsid w:val="00CF5085"/>
    <w:rsid w:val="00CF51DA"/>
    <w:rsid w:val="00CF523F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6FB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C99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2FC8"/>
    <w:rsid w:val="00D43DEC"/>
    <w:rsid w:val="00D43E85"/>
    <w:rsid w:val="00D4401A"/>
    <w:rsid w:val="00D44828"/>
    <w:rsid w:val="00D45602"/>
    <w:rsid w:val="00D45917"/>
    <w:rsid w:val="00D47072"/>
    <w:rsid w:val="00D47D37"/>
    <w:rsid w:val="00D47FCA"/>
    <w:rsid w:val="00D502B7"/>
    <w:rsid w:val="00D521BD"/>
    <w:rsid w:val="00D52431"/>
    <w:rsid w:val="00D52C58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675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0CEA"/>
    <w:rsid w:val="00D71378"/>
    <w:rsid w:val="00D7196C"/>
    <w:rsid w:val="00D71995"/>
    <w:rsid w:val="00D71C17"/>
    <w:rsid w:val="00D71F4E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6CCB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43D"/>
    <w:rsid w:val="00D937FE"/>
    <w:rsid w:val="00D944C1"/>
    <w:rsid w:val="00D94B05"/>
    <w:rsid w:val="00D94C04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5C6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19C"/>
    <w:rsid w:val="00DB5819"/>
    <w:rsid w:val="00DB5A12"/>
    <w:rsid w:val="00DB6E48"/>
    <w:rsid w:val="00DC00D9"/>
    <w:rsid w:val="00DC0412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07C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49E6"/>
    <w:rsid w:val="00DD50ED"/>
    <w:rsid w:val="00DD567F"/>
    <w:rsid w:val="00DD63CC"/>
    <w:rsid w:val="00DD6723"/>
    <w:rsid w:val="00DD7966"/>
    <w:rsid w:val="00DD79D4"/>
    <w:rsid w:val="00DD7C7F"/>
    <w:rsid w:val="00DD7F4E"/>
    <w:rsid w:val="00DE01E7"/>
    <w:rsid w:val="00DE093A"/>
    <w:rsid w:val="00DE0986"/>
    <w:rsid w:val="00DE0BAA"/>
    <w:rsid w:val="00DE0FBC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3FA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2F1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7F5"/>
    <w:rsid w:val="00E24EF1"/>
    <w:rsid w:val="00E25B57"/>
    <w:rsid w:val="00E2742D"/>
    <w:rsid w:val="00E27780"/>
    <w:rsid w:val="00E27E40"/>
    <w:rsid w:val="00E30467"/>
    <w:rsid w:val="00E30786"/>
    <w:rsid w:val="00E31106"/>
    <w:rsid w:val="00E312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B3F"/>
    <w:rsid w:val="00E40C4B"/>
    <w:rsid w:val="00E4104B"/>
    <w:rsid w:val="00E41135"/>
    <w:rsid w:val="00E412DF"/>
    <w:rsid w:val="00E43BF8"/>
    <w:rsid w:val="00E4425F"/>
    <w:rsid w:val="00E44839"/>
    <w:rsid w:val="00E4538B"/>
    <w:rsid w:val="00E45DEA"/>
    <w:rsid w:val="00E464BB"/>
    <w:rsid w:val="00E5002E"/>
    <w:rsid w:val="00E50A6F"/>
    <w:rsid w:val="00E516EA"/>
    <w:rsid w:val="00E51C8C"/>
    <w:rsid w:val="00E52448"/>
    <w:rsid w:val="00E52452"/>
    <w:rsid w:val="00E54B25"/>
    <w:rsid w:val="00E54E03"/>
    <w:rsid w:val="00E54F4F"/>
    <w:rsid w:val="00E54F90"/>
    <w:rsid w:val="00E5526F"/>
    <w:rsid w:val="00E55A01"/>
    <w:rsid w:val="00E55EDD"/>
    <w:rsid w:val="00E55F4E"/>
    <w:rsid w:val="00E56A7E"/>
    <w:rsid w:val="00E56C72"/>
    <w:rsid w:val="00E56F7A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2B4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76"/>
    <w:rsid w:val="00E77DF4"/>
    <w:rsid w:val="00E80156"/>
    <w:rsid w:val="00E807A3"/>
    <w:rsid w:val="00E80FB6"/>
    <w:rsid w:val="00E819C1"/>
    <w:rsid w:val="00E82C1B"/>
    <w:rsid w:val="00E82D05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06"/>
    <w:rsid w:val="00E86B25"/>
    <w:rsid w:val="00E86B44"/>
    <w:rsid w:val="00E90C19"/>
    <w:rsid w:val="00E90F60"/>
    <w:rsid w:val="00E911D4"/>
    <w:rsid w:val="00E93511"/>
    <w:rsid w:val="00E93933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6E9B"/>
    <w:rsid w:val="00EA7EEE"/>
    <w:rsid w:val="00EA7FED"/>
    <w:rsid w:val="00EB0103"/>
    <w:rsid w:val="00EB0382"/>
    <w:rsid w:val="00EB10AF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B7A0C"/>
    <w:rsid w:val="00EC0C81"/>
    <w:rsid w:val="00EC0CAE"/>
    <w:rsid w:val="00EC1238"/>
    <w:rsid w:val="00EC13BF"/>
    <w:rsid w:val="00EC1617"/>
    <w:rsid w:val="00EC2285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C741F"/>
    <w:rsid w:val="00ED09EB"/>
    <w:rsid w:val="00ED1E85"/>
    <w:rsid w:val="00ED21F7"/>
    <w:rsid w:val="00ED2F36"/>
    <w:rsid w:val="00ED315A"/>
    <w:rsid w:val="00ED3B77"/>
    <w:rsid w:val="00ED40D1"/>
    <w:rsid w:val="00ED415B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0D6F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0B2"/>
    <w:rsid w:val="00F03292"/>
    <w:rsid w:val="00F03AFE"/>
    <w:rsid w:val="00F0409F"/>
    <w:rsid w:val="00F04546"/>
    <w:rsid w:val="00F0486D"/>
    <w:rsid w:val="00F059D2"/>
    <w:rsid w:val="00F05D84"/>
    <w:rsid w:val="00F06FCF"/>
    <w:rsid w:val="00F0738C"/>
    <w:rsid w:val="00F10976"/>
    <w:rsid w:val="00F113F2"/>
    <w:rsid w:val="00F11E24"/>
    <w:rsid w:val="00F1213C"/>
    <w:rsid w:val="00F12D8C"/>
    <w:rsid w:val="00F130AF"/>
    <w:rsid w:val="00F134D2"/>
    <w:rsid w:val="00F13507"/>
    <w:rsid w:val="00F13615"/>
    <w:rsid w:val="00F13697"/>
    <w:rsid w:val="00F162FA"/>
    <w:rsid w:val="00F17B36"/>
    <w:rsid w:val="00F206B7"/>
    <w:rsid w:val="00F20FB7"/>
    <w:rsid w:val="00F21056"/>
    <w:rsid w:val="00F21194"/>
    <w:rsid w:val="00F21C0C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212"/>
    <w:rsid w:val="00F3030A"/>
    <w:rsid w:val="00F30569"/>
    <w:rsid w:val="00F31064"/>
    <w:rsid w:val="00F314A9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7FA"/>
    <w:rsid w:val="00F40BFD"/>
    <w:rsid w:val="00F40C3A"/>
    <w:rsid w:val="00F40CFB"/>
    <w:rsid w:val="00F40DB4"/>
    <w:rsid w:val="00F40EE1"/>
    <w:rsid w:val="00F41335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0BF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235"/>
    <w:rsid w:val="00F645A7"/>
    <w:rsid w:val="00F648C7"/>
    <w:rsid w:val="00F64E41"/>
    <w:rsid w:val="00F65E96"/>
    <w:rsid w:val="00F66842"/>
    <w:rsid w:val="00F674EF"/>
    <w:rsid w:val="00F67A42"/>
    <w:rsid w:val="00F67BA7"/>
    <w:rsid w:val="00F67D35"/>
    <w:rsid w:val="00F700BC"/>
    <w:rsid w:val="00F705D6"/>
    <w:rsid w:val="00F71C01"/>
    <w:rsid w:val="00F7289E"/>
    <w:rsid w:val="00F72A74"/>
    <w:rsid w:val="00F72DC7"/>
    <w:rsid w:val="00F73961"/>
    <w:rsid w:val="00F7489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2EFB"/>
    <w:rsid w:val="00F833E0"/>
    <w:rsid w:val="00F83CCE"/>
    <w:rsid w:val="00F83D50"/>
    <w:rsid w:val="00F843EA"/>
    <w:rsid w:val="00F85185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7AB"/>
    <w:rsid w:val="00F95A4B"/>
    <w:rsid w:val="00F97653"/>
    <w:rsid w:val="00FA0396"/>
    <w:rsid w:val="00FA1F41"/>
    <w:rsid w:val="00FA2089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6F80"/>
    <w:rsid w:val="00FA771C"/>
    <w:rsid w:val="00FA7BF8"/>
    <w:rsid w:val="00FB0CED"/>
    <w:rsid w:val="00FB17C3"/>
    <w:rsid w:val="00FB3244"/>
    <w:rsid w:val="00FB361C"/>
    <w:rsid w:val="00FB3B35"/>
    <w:rsid w:val="00FB416D"/>
    <w:rsid w:val="00FB4676"/>
    <w:rsid w:val="00FB52EB"/>
    <w:rsid w:val="00FB5A21"/>
    <w:rsid w:val="00FB64F8"/>
    <w:rsid w:val="00FB7381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5A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4F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A23"/>
    <w:rsid w:val="00FE4D1A"/>
    <w:rsid w:val="00FE518D"/>
    <w:rsid w:val="00FE5CAA"/>
    <w:rsid w:val="00FE630D"/>
    <w:rsid w:val="00FE63AB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69C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legislation.act.gov.au/b/db_61759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085A-241C-4FF5-9723-0D02E52F8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E6660-CF64-455D-85D5-C0C8127D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3243</Characters>
  <Application>Microsoft Office Word</Application>
  <DocSecurity>0</DocSecurity>
  <Lines>109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2019-05-13T07:51:00Z</cp:lastPrinted>
  <dcterms:created xsi:type="dcterms:W3CDTF">2020-08-19T02:42:00Z</dcterms:created>
  <dcterms:modified xsi:type="dcterms:W3CDTF">2020-08-19T02:42:00Z</dcterms:modified>
</cp:coreProperties>
</file>