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C77E" w14:textId="77777777" w:rsidR="00061B36" w:rsidRDefault="00061B36" w:rsidP="00061B36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B97BB39" w14:textId="16EB9325" w:rsidR="00061B36" w:rsidRPr="00061B36" w:rsidRDefault="00061B36" w:rsidP="008343B8">
      <w:pPr>
        <w:spacing w:before="700" w:after="100"/>
        <w:rPr>
          <w:rFonts w:ascii="Arial" w:hAnsi="Arial"/>
          <w:b/>
          <w:bCs/>
          <w:sz w:val="40"/>
        </w:rPr>
      </w:pPr>
      <w:r w:rsidRPr="00061B36">
        <w:rPr>
          <w:rFonts w:ascii="Arial" w:hAnsi="Arial"/>
          <w:b/>
          <w:bCs/>
          <w:sz w:val="40"/>
        </w:rPr>
        <w:t xml:space="preserve">Road Transport </w:t>
      </w:r>
      <w:r w:rsidR="00F138F8">
        <w:rPr>
          <w:rFonts w:ascii="Arial" w:hAnsi="Arial"/>
          <w:b/>
          <w:bCs/>
          <w:sz w:val="40"/>
        </w:rPr>
        <w:t>(Offences)</w:t>
      </w:r>
      <w:r w:rsidRPr="00061B36">
        <w:rPr>
          <w:rFonts w:ascii="Arial" w:hAnsi="Arial"/>
          <w:b/>
          <w:bCs/>
          <w:sz w:val="40"/>
        </w:rPr>
        <w:t xml:space="preserve"> Amendment Regulation 20</w:t>
      </w:r>
      <w:r w:rsidR="00F138F8">
        <w:rPr>
          <w:rFonts w:ascii="Arial" w:hAnsi="Arial"/>
          <w:b/>
          <w:bCs/>
          <w:sz w:val="40"/>
        </w:rPr>
        <w:t>20</w:t>
      </w:r>
      <w:r w:rsidRPr="00061B36">
        <w:rPr>
          <w:rFonts w:ascii="Arial" w:hAnsi="Arial"/>
          <w:b/>
          <w:bCs/>
          <w:sz w:val="40"/>
        </w:rPr>
        <w:t xml:space="preserve"> (No </w:t>
      </w:r>
      <w:r w:rsidR="00782825">
        <w:rPr>
          <w:rFonts w:ascii="Arial" w:hAnsi="Arial"/>
          <w:b/>
          <w:bCs/>
          <w:sz w:val="40"/>
        </w:rPr>
        <w:t>1</w:t>
      </w:r>
      <w:r w:rsidRPr="00061B36">
        <w:rPr>
          <w:rFonts w:ascii="Arial" w:hAnsi="Arial"/>
          <w:b/>
          <w:bCs/>
          <w:sz w:val="40"/>
        </w:rPr>
        <w:t xml:space="preserve">) </w:t>
      </w:r>
    </w:p>
    <w:p w14:paraId="32616EF8" w14:textId="0120453F" w:rsidR="00061B36" w:rsidRDefault="00061B36" w:rsidP="00061B3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SL20</w:t>
      </w:r>
      <w:r w:rsidR="00F138F8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DF134D">
        <w:rPr>
          <w:rFonts w:ascii="Arial" w:hAnsi="Arial" w:cs="Arial"/>
          <w:b/>
          <w:bCs/>
        </w:rPr>
        <w:t>8</w:t>
      </w:r>
    </w:p>
    <w:p w14:paraId="5EEAEE05" w14:textId="77777777" w:rsidR="00061B36" w:rsidRDefault="00061B36" w:rsidP="00061B36">
      <w:pPr>
        <w:pStyle w:val="madeunder"/>
        <w:spacing w:before="300" w:after="0"/>
      </w:pPr>
      <w:r>
        <w:t xml:space="preserve">made under the  </w:t>
      </w:r>
    </w:p>
    <w:p w14:paraId="2EE11052" w14:textId="13469876" w:rsidR="00584A95" w:rsidRDefault="004A087F" w:rsidP="00F159C6">
      <w:pPr>
        <w:pStyle w:val="CoverActName"/>
        <w:spacing w:before="320"/>
        <w:rPr>
          <w:rFonts w:ascii="Times New Roman" w:hAnsi="Times New Roman"/>
          <w:b w:val="0"/>
          <w:i/>
          <w:iCs/>
          <w:szCs w:val="24"/>
        </w:rPr>
      </w:pPr>
      <w:r w:rsidRPr="00CC52A2">
        <w:rPr>
          <w:rFonts w:cs="Arial"/>
          <w:i/>
          <w:iCs/>
          <w:sz w:val="20"/>
        </w:rPr>
        <w:t xml:space="preserve">Road Transport (General) Act 1999, </w:t>
      </w:r>
      <w:r w:rsidRPr="00CC52A2">
        <w:rPr>
          <w:rFonts w:cs="Arial"/>
          <w:sz w:val="20"/>
        </w:rPr>
        <w:t>section 23</w:t>
      </w:r>
      <w:r w:rsidR="005A00B4" w:rsidRPr="00CC52A2">
        <w:rPr>
          <w:rFonts w:cs="Arial"/>
          <w:sz w:val="20"/>
        </w:rPr>
        <w:t xml:space="preserve"> (regulations about infringement notice offences) </w:t>
      </w:r>
      <w:r w:rsidR="00277FEA" w:rsidRPr="00CC52A2">
        <w:rPr>
          <w:rFonts w:cs="Arial"/>
          <w:sz w:val="20"/>
        </w:rPr>
        <w:t>and section 233 (General regulation-making power)</w:t>
      </w:r>
    </w:p>
    <w:p w14:paraId="24A1B55B" w14:textId="6ADA5B7E" w:rsidR="006815C9" w:rsidRDefault="00061B36" w:rsidP="00FF2EF0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5F4E18A" w14:textId="77777777" w:rsidR="008A625E" w:rsidRPr="00FF2EF0" w:rsidRDefault="008A625E" w:rsidP="008A625E">
      <w:pPr>
        <w:ind w:right="565"/>
        <w:rPr>
          <w:rFonts w:ascii="Arial" w:hAnsi="Arial" w:cs="Arial"/>
          <w:b/>
          <w:bCs/>
          <w:sz w:val="28"/>
          <w:szCs w:val="28"/>
        </w:rPr>
      </w:pPr>
    </w:p>
    <w:p w14:paraId="6AB73774" w14:textId="20DD7D55" w:rsidR="006815C9" w:rsidRPr="003C2F18" w:rsidRDefault="006815C9" w:rsidP="003C2F18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5547409F" w14:textId="0611E91A" w:rsidR="004A3B0A" w:rsidRDefault="00584A95" w:rsidP="00FB3A49">
      <w:pPr>
        <w:spacing w:after="120"/>
        <w:rPr>
          <w:i/>
          <w:iCs/>
        </w:rPr>
      </w:pPr>
      <w:r>
        <w:t>T</w:t>
      </w:r>
      <w:r w:rsidR="00240F93">
        <w:t>his Regulation</w:t>
      </w:r>
      <w:r w:rsidR="004A3B0A">
        <w:t xml:space="preserve"> amends the</w:t>
      </w:r>
      <w:r w:rsidR="004A3B0A" w:rsidRPr="00404169">
        <w:t xml:space="preserve"> </w:t>
      </w:r>
      <w:r w:rsidR="004A3B0A" w:rsidRPr="001521F3">
        <w:rPr>
          <w:i/>
          <w:iCs/>
        </w:rPr>
        <w:t>Road Transport (Offences) Regulation 2005</w:t>
      </w:r>
      <w:r>
        <w:t>.</w:t>
      </w:r>
    </w:p>
    <w:p w14:paraId="2CA9AA46" w14:textId="25588418" w:rsidR="00584A95" w:rsidRDefault="00584A95" w:rsidP="00584A95">
      <w:pPr>
        <w:spacing w:after="120"/>
        <w:rPr>
          <w:szCs w:val="24"/>
        </w:rPr>
      </w:pPr>
      <w:r>
        <w:rPr>
          <w:szCs w:val="24"/>
        </w:rPr>
        <w:t>The amendments in this Regulation:</w:t>
      </w:r>
    </w:p>
    <w:p w14:paraId="3A2A206D" w14:textId="0A16AC9C" w:rsidR="00D1341B" w:rsidRDefault="00D1341B" w:rsidP="00DA5186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>
        <w:t>insert infringement notice penalty amounts for four (4) offences relating to work and rest hours for solo and two-up drivers where the breach is reducing a major rest break or increasing a driving period by 30 minutes or less;</w:t>
      </w:r>
    </w:p>
    <w:p w14:paraId="12130CE2" w14:textId="6CC8B126" w:rsidR="00A07955" w:rsidRPr="00936289" w:rsidRDefault="00D1341B" w:rsidP="00A07955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bookmarkStart w:id="2" w:name="_Hlk33097000"/>
      <w:r>
        <w:t xml:space="preserve">relocate the infringement notice penalty for operating a vehicle in contravention of a self-clearing defect notice as a consequence of commencement of parts of the </w:t>
      </w:r>
      <w:r w:rsidRPr="00D1341B">
        <w:rPr>
          <w:i/>
        </w:rPr>
        <w:t>Heavy Vehicle National Law and Other Legislation Amendment Act 2019</w:t>
      </w:r>
      <w:r w:rsidR="009A581B">
        <w:rPr>
          <w:i/>
        </w:rPr>
        <w:t xml:space="preserve"> </w:t>
      </w:r>
      <w:r w:rsidR="009A581B">
        <w:rPr>
          <w:iCs/>
        </w:rPr>
        <w:t>(QLD)</w:t>
      </w:r>
      <w:r w:rsidR="00936289">
        <w:rPr>
          <w:iCs/>
        </w:rPr>
        <w:t xml:space="preserve">; </w:t>
      </w:r>
      <w:bookmarkEnd w:id="2"/>
      <w:r w:rsidR="00936289">
        <w:rPr>
          <w:iCs/>
        </w:rPr>
        <w:t>and</w:t>
      </w:r>
    </w:p>
    <w:p w14:paraId="564DD2FB" w14:textId="6A40ED79" w:rsidR="00936289" w:rsidRPr="00D07709" w:rsidRDefault="00936289" w:rsidP="00DA5186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>
        <w:rPr>
          <w:iCs/>
        </w:rPr>
        <w:t xml:space="preserve">insert infringement notice penalty amounts for offences relating to not keeping a copy of a Performance Based Standards (PBS) approval in a vehicle while driving and </w:t>
      </w:r>
      <w:r w:rsidR="00D07709">
        <w:rPr>
          <w:iCs/>
        </w:rPr>
        <w:t>for not producing a document the driver is required to carry with them while driving.</w:t>
      </w:r>
    </w:p>
    <w:p w14:paraId="7B70EC1B" w14:textId="77777777" w:rsidR="00937A01" w:rsidRDefault="00937A01" w:rsidP="00937A01">
      <w:pPr>
        <w:rPr>
          <w:szCs w:val="24"/>
        </w:rPr>
      </w:pPr>
    </w:p>
    <w:p w14:paraId="0BADC5F3" w14:textId="248FBF9D" w:rsidR="004B4D87" w:rsidRDefault="004B4D87" w:rsidP="004B4D87">
      <w:pPr>
        <w:rPr>
          <w:szCs w:val="24"/>
        </w:rPr>
      </w:pPr>
      <w:r w:rsidRPr="00B26175">
        <w:rPr>
          <w:szCs w:val="24"/>
        </w:rPr>
        <w:t xml:space="preserve">Section 23 of the </w:t>
      </w:r>
      <w:bookmarkStart w:id="3" w:name="_Hlk26522198"/>
      <w:r w:rsidRPr="00B26175">
        <w:rPr>
          <w:i/>
          <w:iCs/>
          <w:szCs w:val="24"/>
        </w:rPr>
        <w:t xml:space="preserve">Road Transport (General) Act 1999 </w:t>
      </w:r>
      <w:bookmarkEnd w:id="3"/>
      <w:r w:rsidRPr="00B26175">
        <w:rPr>
          <w:szCs w:val="24"/>
        </w:rPr>
        <w:t>give</w:t>
      </w:r>
      <w:r>
        <w:rPr>
          <w:szCs w:val="24"/>
        </w:rPr>
        <w:t>s</w:t>
      </w:r>
      <w:r w:rsidRPr="00B26175">
        <w:rPr>
          <w:szCs w:val="24"/>
        </w:rPr>
        <w:t xml:space="preserve"> the Executive the power to make regulations about infringement notice offences. A regulation may prescribe an offence as an infringement notice offence and the amount of the penalty payable, including different amounts payable</w:t>
      </w:r>
      <w:r w:rsidRPr="005E77B7">
        <w:rPr>
          <w:szCs w:val="24"/>
        </w:rPr>
        <w:t xml:space="preserve"> for different offences and different amounts payable for the same offence committed by different people.</w:t>
      </w:r>
    </w:p>
    <w:p w14:paraId="39B6B6B0" w14:textId="77777777" w:rsidR="004B4D87" w:rsidRPr="005E77B7" w:rsidRDefault="004B4D87" w:rsidP="004B4D87">
      <w:pPr>
        <w:rPr>
          <w:szCs w:val="24"/>
        </w:rPr>
      </w:pPr>
    </w:p>
    <w:p w14:paraId="738829AD" w14:textId="71E164A2" w:rsidR="00995A84" w:rsidRDefault="00010179" w:rsidP="004B4D87">
      <w:pPr>
        <w:spacing w:after="120"/>
        <w:rPr>
          <w:szCs w:val="24"/>
        </w:rPr>
      </w:pPr>
      <w:r w:rsidRPr="00010179">
        <w:rPr>
          <w:szCs w:val="24"/>
        </w:rPr>
        <w:t>The National Heavy Vehicle Regulator (NHVR) issues a schedule each year identifying the level of the maximum penalty and the infringement notice penalty where the</w:t>
      </w:r>
      <w:r w:rsidR="00995A84">
        <w:rPr>
          <w:szCs w:val="24"/>
        </w:rPr>
        <w:t xml:space="preserve"> </w:t>
      </w:r>
      <w:r>
        <w:rPr>
          <w:szCs w:val="24"/>
        </w:rPr>
        <w:t xml:space="preserve">Transport and Infrastructure Council </w:t>
      </w:r>
      <w:r w:rsidR="00995A84">
        <w:rPr>
          <w:szCs w:val="24"/>
        </w:rPr>
        <w:t xml:space="preserve">(TIC) </w:t>
      </w:r>
      <w:r>
        <w:rPr>
          <w:szCs w:val="24"/>
        </w:rPr>
        <w:t xml:space="preserve">have agreed that the </w:t>
      </w:r>
      <w:r w:rsidRPr="00010179">
        <w:rPr>
          <w:szCs w:val="24"/>
        </w:rPr>
        <w:t xml:space="preserve">offence can be dealt with by infringement notice. </w:t>
      </w:r>
      <w:r>
        <w:rPr>
          <w:szCs w:val="24"/>
        </w:rPr>
        <w:t xml:space="preserve"> As a consequence of the impending commencement of </w:t>
      </w:r>
      <w:r w:rsidR="00995A84">
        <w:rPr>
          <w:szCs w:val="24"/>
        </w:rPr>
        <w:t xml:space="preserve">relevant parts of </w:t>
      </w:r>
      <w:r w:rsidR="004B4D87">
        <w:t>the</w:t>
      </w:r>
      <w:r w:rsidR="00995A84" w:rsidRPr="00D1341B">
        <w:t xml:space="preserve"> </w:t>
      </w:r>
      <w:r w:rsidR="00995A84" w:rsidRPr="00D1341B">
        <w:rPr>
          <w:i/>
        </w:rPr>
        <w:t xml:space="preserve">Heavy Vehicle National Law and Other Legislation Amendment Act </w:t>
      </w:r>
      <w:r w:rsidR="00995A84" w:rsidRPr="004B4D87">
        <w:rPr>
          <w:i/>
        </w:rPr>
        <w:t>2019</w:t>
      </w:r>
      <w:r w:rsidR="004B4D87">
        <w:rPr>
          <w:iCs/>
        </w:rPr>
        <w:t xml:space="preserve"> (QLD),</w:t>
      </w:r>
      <w:r w:rsidR="00995A84">
        <w:rPr>
          <w:iCs/>
        </w:rPr>
        <w:t xml:space="preserve"> t</w:t>
      </w:r>
      <w:r w:rsidRPr="00995A84">
        <w:rPr>
          <w:iCs/>
          <w:szCs w:val="24"/>
        </w:rPr>
        <w:t>he</w:t>
      </w:r>
      <w:r w:rsidRPr="00010179">
        <w:rPr>
          <w:szCs w:val="24"/>
        </w:rPr>
        <w:t xml:space="preserve"> </w:t>
      </w:r>
      <w:r>
        <w:rPr>
          <w:szCs w:val="24"/>
        </w:rPr>
        <w:t xml:space="preserve">NHVR </w:t>
      </w:r>
      <w:r w:rsidR="00995A84">
        <w:rPr>
          <w:szCs w:val="24"/>
        </w:rPr>
        <w:t xml:space="preserve">released an updated schedule.  </w:t>
      </w:r>
    </w:p>
    <w:p w14:paraId="247B9E1C" w14:textId="0F2FE389" w:rsidR="00010179" w:rsidRDefault="00010179" w:rsidP="00F364DD">
      <w:pPr>
        <w:spacing w:after="120"/>
        <w:rPr>
          <w:szCs w:val="24"/>
        </w:rPr>
      </w:pPr>
      <w:r>
        <w:rPr>
          <w:szCs w:val="24"/>
        </w:rPr>
        <w:t xml:space="preserve">The amendments align </w:t>
      </w:r>
      <w:r w:rsidR="00F364DD">
        <w:rPr>
          <w:szCs w:val="24"/>
        </w:rPr>
        <w:t xml:space="preserve">offences </w:t>
      </w:r>
      <w:r w:rsidR="004B4D87">
        <w:rPr>
          <w:szCs w:val="24"/>
        </w:rPr>
        <w:t xml:space="preserve">included in the updated Schedule released by the NHVR </w:t>
      </w:r>
      <w:r w:rsidR="00F364DD">
        <w:rPr>
          <w:szCs w:val="24"/>
        </w:rPr>
        <w:t>as being infringement notice offences</w:t>
      </w:r>
      <w:r w:rsidR="004B4D87">
        <w:rPr>
          <w:szCs w:val="24"/>
        </w:rPr>
        <w:t>.</w:t>
      </w:r>
    </w:p>
    <w:p w14:paraId="1AE30645" w14:textId="04EACDF9" w:rsidR="00625424" w:rsidRPr="003C2F18" w:rsidRDefault="00625424" w:rsidP="00CB50D8">
      <w:pPr>
        <w:spacing w:after="120"/>
        <w:rPr>
          <w:b/>
          <w:bCs/>
          <w:sz w:val="28"/>
          <w:szCs w:val="28"/>
        </w:rPr>
      </w:pPr>
      <w:r w:rsidRPr="003C2F18">
        <w:rPr>
          <w:b/>
          <w:bCs/>
          <w:sz w:val="28"/>
          <w:szCs w:val="28"/>
        </w:rPr>
        <w:lastRenderedPageBreak/>
        <w:t>Human rights considerations</w:t>
      </w:r>
    </w:p>
    <w:p w14:paraId="0B039694" w14:textId="380456F6" w:rsidR="004B4D87" w:rsidRDefault="004B4D87" w:rsidP="004B4D87">
      <w:r w:rsidRPr="004B4D87">
        <w:t>There are no human rights implications associated with this Regulation.</w:t>
      </w:r>
    </w:p>
    <w:p w14:paraId="1988E0E7" w14:textId="77777777" w:rsidR="004B4D87" w:rsidRPr="004B4D87" w:rsidRDefault="004B4D87" w:rsidP="004B4D87"/>
    <w:p w14:paraId="10FD0571" w14:textId="3B38BEFC" w:rsidR="003C2F18" w:rsidRPr="00606A42" w:rsidRDefault="003C2F18" w:rsidP="003C2F18">
      <w:pPr>
        <w:spacing w:after="120"/>
        <w:rPr>
          <w:b/>
          <w:bCs/>
          <w:sz w:val="28"/>
          <w:szCs w:val="28"/>
        </w:rPr>
      </w:pPr>
      <w:r w:rsidRPr="00606A42">
        <w:rPr>
          <w:b/>
          <w:bCs/>
          <w:sz w:val="28"/>
          <w:szCs w:val="28"/>
        </w:rPr>
        <w:t>Climate change implications</w:t>
      </w:r>
    </w:p>
    <w:p w14:paraId="55C669DC" w14:textId="77777777" w:rsidR="003C2F18" w:rsidRDefault="003C2F18" w:rsidP="003C2F18">
      <w:r>
        <w:t>There are no climate change implications associated with this Regulation.</w:t>
      </w:r>
    </w:p>
    <w:p w14:paraId="1F6437C0" w14:textId="77777777" w:rsidR="00584A95" w:rsidRDefault="00584A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DF7EFEC" w14:textId="16E65408" w:rsidR="00C42E87" w:rsidRDefault="00C42E87" w:rsidP="00CC1C71">
      <w:pPr>
        <w:rPr>
          <w:b/>
          <w:bCs/>
          <w:sz w:val="28"/>
          <w:szCs w:val="28"/>
        </w:rPr>
      </w:pPr>
      <w:r w:rsidRPr="00606A42">
        <w:rPr>
          <w:b/>
          <w:bCs/>
          <w:sz w:val="28"/>
          <w:szCs w:val="28"/>
        </w:rPr>
        <w:lastRenderedPageBreak/>
        <w:t>CLAUSE NOTES</w:t>
      </w:r>
    </w:p>
    <w:p w14:paraId="1D326D62" w14:textId="77777777" w:rsidR="00CC1C71" w:rsidRDefault="00CC1C71" w:rsidP="00CC1C71">
      <w:pPr>
        <w:rPr>
          <w:b/>
          <w:bCs/>
          <w:sz w:val="28"/>
          <w:szCs w:val="28"/>
        </w:rPr>
      </w:pPr>
    </w:p>
    <w:bookmarkEnd w:id="0"/>
    <w:p w14:paraId="5671A430" w14:textId="22F0285C" w:rsidR="003C2F18" w:rsidRDefault="003C2F18" w:rsidP="003C2F18">
      <w:pPr>
        <w:tabs>
          <w:tab w:val="left" w:pos="2600"/>
        </w:tabs>
        <w:autoSpaceDE w:val="0"/>
        <w:autoSpaceDN w:val="0"/>
        <w:adjustRightInd w:val="0"/>
        <w:rPr>
          <w:b/>
          <w:szCs w:val="24"/>
          <w:lang w:eastAsia="en-AU"/>
        </w:rPr>
      </w:pPr>
      <w:r w:rsidRPr="00504B16">
        <w:rPr>
          <w:b/>
          <w:szCs w:val="24"/>
          <w:lang w:eastAsia="en-AU"/>
        </w:rPr>
        <w:t>Part 1</w:t>
      </w:r>
      <w:r w:rsidRPr="00504B16">
        <w:rPr>
          <w:b/>
          <w:szCs w:val="24"/>
          <w:lang w:eastAsia="en-AU"/>
        </w:rPr>
        <w:tab/>
        <w:t>Preliminary</w:t>
      </w:r>
    </w:p>
    <w:p w14:paraId="724907E4" w14:textId="77777777" w:rsidR="003C2F18" w:rsidRPr="00504B16" w:rsidRDefault="003C2F18" w:rsidP="003C2F18">
      <w:pPr>
        <w:tabs>
          <w:tab w:val="left" w:pos="2600"/>
        </w:tabs>
        <w:autoSpaceDE w:val="0"/>
        <w:autoSpaceDN w:val="0"/>
        <w:adjustRightInd w:val="0"/>
        <w:rPr>
          <w:b/>
          <w:szCs w:val="24"/>
          <w:lang w:eastAsia="en-AU"/>
        </w:rPr>
      </w:pPr>
    </w:p>
    <w:p w14:paraId="5226F0D3" w14:textId="7F937D77" w:rsidR="00B84007" w:rsidRDefault="001122BB" w:rsidP="00CB50D8">
      <w:pPr>
        <w:spacing w:after="120"/>
        <w:rPr>
          <w:b/>
          <w:bCs/>
        </w:rPr>
      </w:pPr>
      <w:r>
        <w:rPr>
          <w:b/>
          <w:bCs/>
        </w:rPr>
        <w:t xml:space="preserve">Clause </w:t>
      </w:r>
      <w:r w:rsidR="00B84007" w:rsidRPr="001122BB">
        <w:rPr>
          <w:b/>
          <w:bCs/>
        </w:rPr>
        <w:t xml:space="preserve">1 </w:t>
      </w:r>
      <w:r>
        <w:rPr>
          <w:b/>
          <w:bCs/>
        </w:rPr>
        <w:tab/>
      </w:r>
      <w:r>
        <w:rPr>
          <w:b/>
          <w:bCs/>
        </w:rPr>
        <w:tab/>
      </w:r>
      <w:r w:rsidR="00B84007" w:rsidRPr="001122BB">
        <w:rPr>
          <w:b/>
          <w:bCs/>
        </w:rPr>
        <w:t xml:space="preserve">Name of regulation </w:t>
      </w:r>
    </w:p>
    <w:p w14:paraId="6CE2C264" w14:textId="6678AC95" w:rsidR="00215683" w:rsidRDefault="00567666" w:rsidP="00CC1C71">
      <w:r>
        <w:t xml:space="preserve">This clause specifies the name of the regulation. </w:t>
      </w:r>
      <w:r w:rsidR="002E0D30">
        <w:t xml:space="preserve"> </w:t>
      </w:r>
      <w:r>
        <w:t xml:space="preserve">This clause provides that the </w:t>
      </w:r>
      <w:r w:rsidR="001114B3">
        <w:t>r</w:t>
      </w:r>
      <w:r w:rsidR="00215683">
        <w:t xml:space="preserve">egulation may be cited as </w:t>
      </w:r>
      <w:r w:rsidR="00215683" w:rsidRPr="00215683">
        <w:t xml:space="preserve">the </w:t>
      </w:r>
      <w:r w:rsidR="00215683" w:rsidRPr="00215683">
        <w:rPr>
          <w:i/>
          <w:iCs/>
        </w:rPr>
        <w:t xml:space="preserve">Road Transport </w:t>
      </w:r>
      <w:r w:rsidR="002E0D30">
        <w:rPr>
          <w:i/>
          <w:iCs/>
        </w:rPr>
        <w:t>(Offences)</w:t>
      </w:r>
      <w:r w:rsidR="00215683" w:rsidRPr="00215683">
        <w:rPr>
          <w:i/>
          <w:iCs/>
        </w:rPr>
        <w:t xml:space="preserve"> Amendment Regulation 20</w:t>
      </w:r>
      <w:r w:rsidR="002E0D30">
        <w:rPr>
          <w:i/>
          <w:iCs/>
        </w:rPr>
        <w:t>20</w:t>
      </w:r>
      <w:r w:rsidR="00215683" w:rsidRPr="00215683">
        <w:rPr>
          <w:i/>
          <w:iCs/>
        </w:rPr>
        <w:t xml:space="preserve"> (No </w:t>
      </w:r>
      <w:r w:rsidR="00782825">
        <w:rPr>
          <w:i/>
          <w:iCs/>
        </w:rPr>
        <w:t>1</w:t>
      </w:r>
      <w:r w:rsidR="00215683" w:rsidRPr="00215683">
        <w:rPr>
          <w:i/>
          <w:iCs/>
        </w:rPr>
        <w:t>)</w:t>
      </w:r>
      <w:r w:rsidR="00215683" w:rsidRPr="00215683">
        <w:t>.</w:t>
      </w:r>
    </w:p>
    <w:p w14:paraId="05565C2A" w14:textId="77777777" w:rsidR="00584A95" w:rsidRPr="00567666" w:rsidRDefault="00584A95" w:rsidP="00CC1C71"/>
    <w:p w14:paraId="3AF1BCA6" w14:textId="1CDE3640" w:rsidR="00B84007" w:rsidRDefault="00567666" w:rsidP="00CB50D8">
      <w:pPr>
        <w:spacing w:after="120"/>
        <w:rPr>
          <w:b/>
          <w:bCs/>
        </w:rPr>
      </w:pPr>
      <w:r>
        <w:rPr>
          <w:b/>
          <w:bCs/>
        </w:rPr>
        <w:t xml:space="preserve">Clause </w:t>
      </w:r>
      <w:r w:rsidR="00B84007" w:rsidRPr="001122BB">
        <w:rPr>
          <w:b/>
          <w:bCs/>
        </w:rPr>
        <w:t xml:space="preserve">2 </w:t>
      </w:r>
      <w:r>
        <w:rPr>
          <w:b/>
          <w:bCs/>
        </w:rPr>
        <w:tab/>
      </w:r>
      <w:r>
        <w:rPr>
          <w:b/>
          <w:bCs/>
        </w:rPr>
        <w:tab/>
      </w:r>
      <w:r w:rsidR="00B84007" w:rsidRPr="001122BB">
        <w:rPr>
          <w:b/>
          <w:bCs/>
        </w:rPr>
        <w:t xml:space="preserve">Commencement </w:t>
      </w:r>
    </w:p>
    <w:p w14:paraId="13D3F3D1" w14:textId="0722FCDB" w:rsidR="00745832" w:rsidRDefault="00745832" w:rsidP="00CC1C71">
      <w:r w:rsidRPr="0086545D">
        <w:t xml:space="preserve">This clause provides for the commencement of the </w:t>
      </w:r>
      <w:r w:rsidR="001114B3">
        <w:t>r</w:t>
      </w:r>
      <w:r w:rsidRPr="0086545D">
        <w:t xml:space="preserve">egulation. </w:t>
      </w:r>
      <w:r w:rsidR="002E0D30">
        <w:t xml:space="preserve"> </w:t>
      </w:r>
      <w:r w:rsidR="00163A32" w:rsidRPr="0086545D">
        <w:t xml:space="preserve">This clause provides for </w:t>
      </w:r>
      <w:r w:rsidR="002E0D30">
        <w:t xml:space="preserve">the </w:t>
      </w:r>
      <w:r w:rsidR="001114B3">
        <w:t>r</w:t>
      </w:r>
      <w:r w:rsidR="002E0D30">
        <w:t xml:space="preserve">egulation to </w:t>
      </w:r>
      <w:r w:rsidR="00DA5186" w:rsidRPr="0086545D">
        <w:t xml:space="preserve">commence on </w:t>
      </w:r>
      <w:r w:rsidR="002E0D30">
        <w:t>28 February</w:t>
      </w:r>
      <w:r w:rsidR="00DA5186" w:rsidRPr="0086545D">
        <w:t xml:space="preserve"> 2020.</w:t>
      </w:r>
    </w:p>
    <w:p w14:paraId="5C465FE5" w14:textId="77777777" w:rsidR="00584A95" w:rsidRPr="00B7436D" w:rsidRDefault="00584A95" w:rsidP="00CC1C71"/>
    <w:p w14:paraId="66DEF8A8" w14:textId="4245D34E" w:rsidR="00B84007" w:rsidRDefault="00B7436D" w:rsidP="00CB50D8">
      <w:pPr>
        <w:spacing w:after="120"/>
        <w:rPr>
          <w:b/>
          <w:bCs/>
        </w:rPr>
      </w:pPr>
      <w:r>
        <w:rPr>
          <w:b/>
          <w:bCs/>
        </w:rPr>
        <w:t xml:space="preserve">Clause </w:t>
      </w:r>
      <w:r w:rsidR="00B84007" w:rsidRPr="001122BB">
        <w:rPr>
          <w:b/>
          <w:bCs/>
        </w:rPr>
        <w:t xml:space="preserve">3 </w:t>
      </w:r>
      <w:r>
        <w:rPr>
          <w:b/>
          <w:bCs/>
        </w:rPr>
        <w:tab/>
      </w:r>
      <w:r>
        <w:rPr>
          <w:b/>
          <w:bCs/>
        </w:rPr>
        <w:tab/>
      </w:r>
      <w:r w:rsidR="00B84007" w:rsidRPr="001122BB">
        <w:rPr>
          <w:b/>
          <w:bCs/>
        </w:rPr>
        <w:t xml:space="preserve">Legislation amended </w:t>
      </w:r>
    </w:p>
    <w:p w14:paraId="0BC839F2" w14:textId="5F4CB693" w:rsidR="00404169" w:rsidRDefault="00404169" w:rsidP="00CC1C71">
      <w:pPr>
        <w:rPr>
          <w:i/>
          <w:iCs/>
        </w:rPr>
      </w:pPr>
      <w:r w:rsidRPr="00404169">
        <w:t xml:space="preserve">This clause names the </w:t>
      </w:r>
      <w:r w:rsidR="001114B3">
        <w:t>r</w:t>
      </w:r>
      <w:r w:rsidRPr="00404169">
        <w:t xml:space="preserve">egulation that is being amended by </w:t>
      </w:r>
      <w:r w:rsidR="00240F93">
        <w:t xml:space="preserve">this </w:t>
      </w:r>
      <w:r w:rsidR="001114B3">
        <w:t>r</w:t>
      </w:r>
      <w:r w:rsidR="00240F93">
        <w:t>egulation</w:t>
      </w:r>
      <w:r w:rsidRPr="00404169">
        <w:t>.</w:t>
      </w:r>
      <w:r w:rsidR="008131AD">
        <w:t xml:space="preserve"> </w:t>
      </w:r>
      <w:r w:rsidR="002E0D30">
        <w:t xml:space="preserve"> </w:t>
      </w:r>
      <w:r w:rsidR="00240F93">
        <w:t xml:space="preserve">This </w:t>
      </w:r>
      <w:r w:rsidR="001114B3">
        <w:t>r</w:t>
      </w:r>
      <w:r w:rsidR="00240F93">
        <w:t>egulation</w:t>
      </w:r>
      <w:r w:rsidR="008131AD">
        <w:t xml:space="preserve"> amends the</w:t>
      </w:r>
      <w:r w:rsidRPr="00404169">
        <w:t xml:space="preserve"> </w:t>
      </w:r>
      <w:r w:rsidRPr="001521F3">
        <w:rPr>
          <w:i/>
          <w:iCs/>
        </w:rPr>
        <w:t>Road Transport (Offences) Regulation 2005.</w:t>
      </w:r>
    </w:p>
    <w:p w14:paraId="27BE3494" w14:textId="77777777" w:rsidR="00CC1C71" w:rsidRDefault="00CC1C71" w:rsidP="00CC1C71">
      <w:pPr>
        <w:rPr>
          <w:i/>
          <w:iCs/>
        </w:rPr>
      </w:pPr>
    </w:p>
    <w:p w14:paraId="60D4FB63" w14:textId="72A011A6" w:rsidR="005F41D1" w:rsidRPr="00D62477" w:rsidRDefault="00B84007" w:rsidP="002E0D30">
      <w:pPr>
        <w:tabs>
          <w:tab w:val="left" w:pos="2600"/>
        </w:tabs>
        <w:autoSpaceDE w:val="0"/>
        <w:autoSpaceDN w:val="0"/>
        <w:adjustRightInd w:val="0"/>
        <w:ind w:left="2160" w:hanging="2160"/>
        <w:rPr>
          <w:b/>
          <w:bCs/>
          <w:sz w:val="28"/>
          <w:szCs w:val="28"/>
        </w:rPr>
      </w:pPr>
      <w:r w:rsidRPr="003C2F18">
        <w:rPr>
          <w:b/>
          <w:szCs w:val="24"/>
          <w:lang w:eastAsia="en-AU"/>
        </w:rPr>
        <w:t>Part 2</w:t>
      </w:r>
      <w:r w:rsidR="00710EFD" w:rsidRPr="003C2F18">
        <w:rPr>
          <w:b/>
          <w:szCs w:val="24"/>
          <w:lang w:eastAsia="en-AU"/>
        </w:rPr>
        <w:tab/>
      </w:r>
      <w:r w:rsidR="005F41D1">
        <w:rPr>
          <w:b/>
          <w:bCs/>
          <w:sz w:val="28"/>
          <w:szCs w:val="28"/>
        </w:rPr>
        <w:t>Road Transport</w:t>
      </w:r>
      <w:r w:rsidR="002E0D30">
        <w:rPr>
          <w:b/>
          <w:bCs/>
          <w:sz w:val="28"/>
          <w:szCs w:val="28"/>
        </w:rPr>
        <w:t xml:space="preserve"> </w:t>
      </w:r>
      <w:r w:rsidR="005F41D1">
        <w:rPr>
          <w:b/>
          <w:bCs/>
          <w:sz w:val="28"/>
          <w:szCs w:val="28"/>
        </w:rPr>
        <w:t>(Offences) Regulation 2005</w:t>
      </w:r>
    </w:p>
    <w:p w14:paraId="1418CAAB" w14:textId="77777777" w:rsidR="00CD5B6A" w:rsidRDefault="00CD5B6A" w:rsidP="0024771E">
      <w:pPr>
        <w:rPr>
          <w:szCs w:val="24"/>
        </w:rPr>
      </w:pPr>
    </w:p>
    <w:p w14:paraId="58F013EA" w14:textId="7F572894" w:rsidR="00FD12E5" w:rsidRDefault="00FD12E5" w:rsidP="0024771E">
      <w:pPr>
        <w:rPr>
          <w:szCs w:val="24"/>
        </w:rPr>
      </w:pPr>
      <w:r>
        <w:rPr>
          <w:szCs w:val="24"/>
        </w:rPr>
        <w:t xml:space="preserve">This </w:t>
      </w:r>
      <w:r w:rsidR="004358FD">
        <w:rPr>
          <w:szCs w:val="24"/>
        </w:rPr>
        <w:t>Part</w:t>
      </w:r>
      <w:r>
        <w:rPr>
          <w:szCs w:val="24"/>
        </w:rPr>
        <w:t xml:space="preserve"> amends </w:t>
      </w:r>
      <w:r w:rsidR="00C84355">
        <w:rPr>
          <w:szCs w:val="24"/>
        </w:rPr>
        <w:t xml:space="preserve">Schedule 1, part 1.2A of </w:t>
      </w:r>
      <w:r>
        <w:rPr>
          <w:szCs w:val="24"/>
        </w:rPr>
        <w:t xml:space="preserve">the </w:t>
      </w:r>
      <w:r>
        <w:rPr>
          <w:i/>
          <w:iCs/>
          <w:szCs w:val="24"/>
        </w:rPr>
        <w:t xml:space="preserve">Road Transport (Offences) Regulation 2005 </w:t>
      </w:r>
      <w:r>
        <w:rPr>
          <w:szCs w:val="24"/>
        </w:rPr>
        <w:t xml:space="preserve">to incorporate the new </w:t>
      </w:r>
      <w:r w:rsidR="00C84355">
        <w:rPr>
          <w:szCs w:val="24"/>
        </w:rPr>
        <w:t>infringement notice penalties and relocat</w:t>
      </w:r>
      <w:r w:rsidR="004B4D87">
        <w:rPr>
          <w:szCs w:val="24"/>
        </w:rPr>
        <w:t xml:space="preserve">e </w:t>
      </w:r>
      <w:r w:rsidR="00C84355">
        <w:rPr>
          <w:szCs w:val="24"/>
        </w:rPr>
        <w:t>the offence of operating a vehicle in contravention of a self-clearing defect notice.</w:t>
      </w:r>
    </w:p>
    <w:p w14:paraId="71F3DDEB" w14:textId="77777777" w:rsidR="004B42A0" w:rsidRDefault="004B42A0" w:rsidP="0024771E">
      <w:pPr>
        <w:rPr>
          <w:szCs w:val="24"/>
        </w:rPr>
      </w:pPr>
    </w:p>
    <w:p w14:paraId="333A4C61" w14:textId="6361E376" w:rsidR="00462CA3" w:rsidRPr="00584A95" w:rsidRDefault="002A7258" w:rsidP="0024771E">
      <w:pPr>
        <w:rPr>
          <w:b/>
          <w:bCs/>
          <w:szCs w:val="24"/>
        </w:rPr>
      </w:pPr>
      <w:r w:rsidRPr="00584A95">
        <w:rPr>
          <w:b/>
          <w:bCs/>
          <w:szCs w:val="24"/>
        </w:rPr>
        <w:t>Section</w:t>
      </w:r>
      <w:r w:rsidR="00462CA3" w:rsidRPr="00584A95">
        <w:rPr>
          <w:b/>
          <w:bCs/>
          <w:szCs w:val="24"/>
        </w:rPr>
        <w:t xml:space="preserve"> </w:t>
      </w:r>
      <w:r w:rsidR="001114B3">
        <w:rPr>
          <w:b/>
          <w:bCs/>
          <w:szCs w:val="24"/>
        </w:rPr>
        <w:t>4</w:t>
      </w:r>
      <w:r w:rsidR="00462CA3" w:rsidRPr="00584A95">
        <w:rPr>
          <w:b/>
          <w:bCs/>
          <w:szCs w:val="24"/>
        </w:rPr>
        <w:tab/>
      </w:r>
      <w:r w:rsidR="00462CA3" w:rsidRPr="00584A95">
        <w:rPr>
          <w:b/>
          <w:bCs/>
          <w:szCs w:val="24"/>
        </w:rPr>
        <w:tab/>
        <w:t>Schedule 1, part 1.2A, item</w:t>
      </w:r>
      <w:r w:rsidR="00C84355">
        <w:rPr>
          <w:b/>
          <w:bCs/>
          <w:szCs w:val="24"/>
        </w:rPr>
        <w:t>s 1 and 2</w:t>
      </w:r>
      <w:r w:rsidR="00462CA3" w:rsidRPr="00584A95">
        <w:rPr>
          <w:b/>
          <w:bCs/>
          <w:szCs w:val="24"/>
        </w:rPr>
        <w:t xml:space="preserve"> </w:t>
      </w:r>
    </w:p>
    <w:p w14:paraId="072AD355" w14:textId="77777777" w:rsidR="004B42A0" w:rsidRDefault="004B42A0" w:rsidP="0024771E">
      <w:pPr>
        <w:rPr>
          <w:szCs w:val="24"/>
        </w:rPr>
      </w:pPr>
    </w:p>
    <w:p w14:paraId="4490FBE2" w14:textId="3353797A" w:rsidR="004B42A0" w:rsidRDefault="009B4DFE" w:rsidP="0024771E">
      <w:pPr>
        <w:rPr>
          <w:szCs w:val="24"/>
        </w:rPr>
      </w:pPr>
      <w:r w:rsidRPr="00584A95">
        <w:rPr>
          <w:szCs w:val="24"/>
        </w:rPr>
        <w:t xml:space="preserve">This </w:t>
      </w:r>
      <w:r w:rsidR="002A7258" w:rsidRPr="00584A95">
        <w:rPr>
          <w:szCs w:val="24"/>
        </w:rPr>
        <w:t>section</w:t>
      </w:r>
      <w:r w:rsidRPr="00584A95">
        <w:rPr>
          <w:szCs w:val="24"/>
        </w:rPr>
        <w:t xml:space="preserve"> </w:t>
      </w:r>
      <w:r w:rsidR="00167D13" w:rsidRPr="00584A95">
        <w:rPr>
          <w:szCs w:val="24"/>
        </w:rPr>
        <w:t>substitutes item number</w:t>
      </w:r>
      <w:r w:rsidR="00C84355">
        <w:rPr>
          <w:szCs w:val="24"/>
        </w:rPr>
        <w:t>s 1 and 2</w:t>
      </w:r>
      <w:r w:rsidR="00353D06" w:rsidRPr="00584A95">
        <w:rPr>
          <w:szCs w:val="24"/>
        </w:rPr>
        <w:t>.</w:t>
      </w:r>
    </w:p>
    <w:p w14:paraId="0E5ABE85" w14:textId="77777777" w:rsidR="004B42A0" w:rsidRDefault="004B42A0" w:rsidP="0024771E">
      <w:pPr>
        <w:rPr>
          <w:szCs w:val="24"/>
        </w:rPr>
      </w:pPr>
    </w:p>
    <w:p w14:paraId="29F2511F" w14:textId="77777777" w:rsidR="001114B3" w:rsidRDefault="004B42A0" w:rsidP="0024771E">
      <w:pPr>
        <w:rPr>
          <w:szCs w:val="24"/>
        </w:rPr>
      </w:pPr>
      <w:r>
        <w:rPr>
          <w:szCs w:val="24"/>
        </w:rPr>
        <w:t xml:space="preserve">It </w:t>
      </w:r>
      <w:r w:rsidR="00C84355">
        <w:rPr>
          <w:szCs w:val="24"/>
        </w:rPr>
        <w:t>inserts an infringement notice penalty of $336 for an offence against section 25A (1) and (2) of the driver not keeping a copy of a PBS approval in the driver’s possession while driving a PBS vehicle and each relevant party for a driver of a PBS vehicle not ensuring that the driver keeps a copy of a PBS approval in the driver’s possession while driving a PBS vehicle unless the relevant party has a reasonable excuse.</w:t>
      </w:r>
    </w:p>
    <w:p w14:paraId="4B63297D" w14:textId="77777777" w:rsidR="001114B3" w:rsidRDefault="001114B3" w:rsidP="0024771E">
      <w:pPr>
        <w:rPr>
          <w:szCs w:val="24"/>
        </w:rPr>
      </w:pPr>
    </w:p>
    <w:p w14:paraId="48865B1D" w14:textId="18AD6ECD" w:rsidR="00064D14" w:rsidRDefault="007B0113" w:rsidP="0024771E">
      <w:pPr>
        <w:rPr>
          <w:i/>
          <w:iCs/>
          <w:szCs w:val="24"/>
        </w:rPr>
      </w:pPr>
      <w:r>
        <w:rPr>
          <w:szCs w:val="24"/>
        </w:rPr>
        <w:t>The penalty is set at $</w:t>
      </w:r>
      <w:r w:rsidR="00C84355">
        <w:rPr>
          <w:szCs w:val="24"/>
        </w:rPr>
        <w:t>336</w:t>
      </w:r>
      <w:r>
        <w:rPr>
          <w:szCs w:val="24"/>
        </w:rPr>
        <w:t xml:space="preserve"> which is </w:t>
      </w:r>
      <w:r w:rsidR="00C84355">
        <w:rPr>
          <w:szCs w:val="24"/>
        </w:rPr>
        <w:t xml:space="preserve">10% of the maximum </w:t>
      </w:r>
      <w:r w:rsidR="00AB13C3">
        <w:rPr>
          <w:szCs w:val="24"/>
        </w:rPr>
        <w:t>court-imposed</w:t>
      </w:r>
      <w:r w:rsidR="00C84355">
        <w:rPr>
          <w:szCs w:val="24"/>
        </w:rPr>
        <w:t xml:space="preserve"> penalty of $3,000 indexed in accordance with sections 737 and 737A of the </w:t>
      </w:r>
      <w:r w:rsidR="00C84355" w:rsidRPr="00A07955">
        <w:rPr>
          <w:i/>
          <w:iCs/>
          <w:szCs w:val="24"/>
        </w:rPr>
        <w:t>Heavy Vehicle National Law (ACT)</w:t>
      </w:r>
      <w:r w:rsidR="00A07955">
        <w:rPr>
          <w:szCs w:val="24"/>
        </w:rPr>
        <w:t xml:space="preserve"> (HVNL)</w:t>
      </w:r>
      <w:r w:rsidR="00C84355">
        <w:rPr>
          <w:szCs w:val="24"/>
        </w:rPr>
        <w:t xml:space="preserve">.  10% </w:t>
      </w:r>
      <w:r w:rsidR="00671BA0">
        <w:rPr>
          <w:szCs w:val="24"/>
        </w:rPr>
        <w:t xml:space="preserve">of the indexed maximum </w:t>
      </w:r>
      <w:r w:rsidR="001114B3">
        <w:rPr>
          <w:szCs w:val="24"/>
        </w:rPr>
        <w:t>court-imposed</w:t>
      </w:r>
      <w:r w:rsidR="00671BA0">
        <w:rPr>
          <w:szCs w:val="24"/>
        </w:rPr>
        <w:t xml:space="preserve"> penalty </w:t>
      </w:r>
      <w:r w:rsidR="00C84355">
        <w:rPr>
          <w:szCs w:val="24"/>
        </w:rPr>
        <w:t xml:space="preserve">is the </w:t>
      </w:r>
      <w:r w:rsidR="00671BA0">
        <w:rPr>
          <w:szCs w:val="24"/>
        </w:rPr>
        <w:t>level that the Transport and Infrastructure Council decided would be the amount of infringement notice penalties under the H</w:t>
      </w:r>
      <w:r w:rsidR="00A07955">
        <w:rPr>
          <w:szCs w:val="24"/>
        </w:rPr>
        <w:t xml:space="preserve">eavy </w:t>
      </w:r>
      <w:r w:rsidR="00671BA0">
        <w:rPr>
          <w:szCs w:val="24"/>
        </w:rPr>
        <w:t>V</w:t>
      </w:r>
      <w:r w:rsidR="00A07955">
        <w:rPr>
          <w:szCs w:val="24"/>
        </w:rPr>
        <w:t xml:space="preserve">ehicle </w:t>
      </w:r>
      <w:r w:rsidR="00671BA0">
        <w:rPr>
          <w:szCs w:val="24"/>
        </w:rPr>
        <w:t>N</w:t>
      </w:r>
      <w:r w:rsidR="00A07955">
        <w:rPr>
          <w:szCs w:val="24"/>
        </w:rPr>
        <w:t xml:space="preserve">ational </w:t>
      </w:r>
      <w:r w:rsidR="00671BA0">
        <w:rPr>
          <w:szCs w:val="24"/>
        </w:rPr>
        <w:t>L</w:t>
      </w:r>
      <w:r w:rsidR="00A07955">
        <w:rPr>
          <w:szCs w:val="24"/>
        </w:rPr>
        <w:t>aw</w:t>
      </w:r>
      <w:r>
        <w:rPr>
          <w:i/>
          <w:iCs/>
          <w:szCs w:val="24"/>
        </w:rPr>
        <w:t>.</w:t>
      </w:r>
    </w:p>
    <w:p w14:paraId="53B1CC4D" w14:textId="77777777" w:rsidR="007B0113" w:rsidRPr="007B0113" w:rsidRDefault="007B0113" w:rsidP="0024771E">
      <w:pPr>
        <w:rPr>
          <w:i/>
          <w:iCs/>
          <w:szCs w:val="24"/>
        </w:rPr>
      </w:pPr>
    </w:p>
    <w:p w14:paraId="1A8C9485" w14:textId="74BDC43A" w:rsidR="0057320D" w:rsidRPr="00584A95" w:rsidRDefault="002A7258" w:rsidP="0024771E">
      <w:pPr>
        <w:rPr>
          <w:b/>
          <w:bCs/>
          <w:szCs w:val="24"/>
        </w:rPr>
      </w:pPr>
      <w:r w:rsidRPr="00584A95">
        <w:rPr>
          <w:b/>
          <w:bCs/>
          <w:szCs w:val="24"/>
        </w:rPr>
        <w:t>Section</w:t>
      </w:r>
      <w:r w:rsidR="00462CA3" w:rsidRPr="00584A95">
        <w:rPr>
          <w:b/>
          <w:bCs/>
          <w:szCs w:val="24"/>
        </w:rPr>
        <w:t xml:space="preserve"> </w:t>
      </w:r>
      <w:r w:rsidR="001114B3">
        <w:rPr>
          <w:b/>
          <w:bCs/>
          <w:szCs w:val="24"/>
        </w:rPr>
        <w:t>5</w:t>
      </w:r>
      <w:r w:rsidR="00462CA3" w:rsidRPr="00584A95">
        <w:rPr>
          <w:b/>
          <w:bCs/>
          <w:szCs w:val="24"/>
        </w:rPr>
        <w:tab/>
      </w:r>
      <w:r w:rsidR="00462CA3" w:rsidRPr="00584A95">
        <w:rPr>
          <w:b/>
          <w:bCs/>
          <w:szCs w:val="24"/>
        </w:rPr>
        <w:tab/>
      </w:r>
      <w:r w:rsidR="009C1246" w:rsidRPr="00584A95">
        <w:rPr>
          <w:b/>
          <w:bCs/>
          <w:szCs w:val="24"/>
        </w:rPr>
        <w:t xml:space="preserve">Schedule 1, part 1.2A, item </w:t>
      </w:r>
      <w:r w:rsidR="00671BA0">
        <w:rPr>
          <w:b/>
          <w:bCs/>
          <w:szCs w:val="24"/>
        </w:rPr>
        <w:t>77.3</w:t>
      </w:r>
    </w:p>
    <w:p w14:paraId="73F6CA56" w14:textId="77777777" w:rsidR="007B0113" w:rsidRDefault="007B0113" w:rsidP="007B0113"/>
    <w:p w14:paraId="025C62F4" w14:textId="68657CA3" w:rsidR="007B0113" w:rsidRDefault="007B0113" w:rsidP="007B0113">
      <w:r w:rsidRPr="00DE1B07">
        <w:t xml:space="preserve">This </w:t>
      </w:r>
      <w:r>
        <w:t>section</w:t>
      </w:r>
      <w:r w:rsidRPr="00DE1B07">
        <w:t xml:space="preserve"> </w:t>
      </w:r>
      <w:r w:rsidR="00671BA0">
        <w:t>substitutes item number 77.3.</w:t>
      </w:r>
    </w:p>
    <w:p w14:paraId="186B6FFB" w14:textId="6CB39FD6" w:rsidR="00671BA0" w:rsidRDefault="00671BA0" w:rsidP="007B0113"/>
    <w:p w14:paraId="4207C2AA" w14:textId="40E80ACC" w:rsidR="00671BA0" w:rsidRDefault="00C12492" w:rsidP="007B0113">
      <w:r>
        <w:t>It inserts an infringement notice penalty of $1121 for a solo driver committing a severe risk breach of working more than the maximum standard hours work time</w:t>
      </w:r>
      <w:r w:rsidR="009E1A50">
        <w:t xml:space="preserve"> or resting for less than the minimum standard hours rest time</w:t>
      </w:r>
      <w:r>
        <w:t>.</w:t>
      </w:r>
    </w:p>
    <w:p w14:paraId="20F2F9B8" w14:textId="2462D7DF" w:rsidR="004358FD" w:rsidRDefault="004358FD" w:rsidP="007B0113"/>
    <w:p w14:paraId="7F00392F" w14:textId="44D9DFB2" w:rsidR="004358FD" w:rsidRPr="00DE1B07" w:rsidRDefault="004358FD" w:rsidP="007B0113">
      <w:r>
        <w:rPr>
          <w:szCs w:val="24"/>
        </w:rPr>
        <w:lastRenderedPageBreak/>
        <w:t xml:space="preserve">The penalty is set at $1121 which is 10% of the maximum </w:t>
      </w:r>
      <w:r w:rsidR="001114B3">
        <w:rPr>
          <w:szCs w:val="24"/>
        </w:rPr>
        <w:t>court-imposed</w:t>
      </w:r>
      <w:r>
        <w:rPr>
          <w:szCs w:val="24"/>
        </w:rPr>
        <w:t xml:space="preserve"> penalty of $10,000 indexed in accordance with sections 737 and 737A of the HVNL.</w:t>
      </w:r>
    </w:p>
    <w:p w14:paraId="699F7A51" w14:textId="77777777" w:rsidR="00584A95" w:rsidRPr="00671BA0" w:rsidRDefault="00584A95" w:rsidP="0024771E">
      <w:pPr>
        <w:rPr>
          <w:szCs w:val="24"/>
        </w:rPr>
      </w:pPr>
    </w:p>
    <w:p w14:paraId="716A1472" w14:textId="75678E72" w:rsidR="009E1A50" w:rsidRPr="00584A95" w:rsidRDefault="009E1A50" w:rsidP="009E1A50">
      <w:pPr>
        <w:rPr>
          <w:b/>
          <w:bCs/>
          <w:szCs w:val="24"/>
        </w:rPr>
      </w:pPr>
      <w:r w:rsidRPr="00584A95">
        <w:rPr>
          <w:b/>
          <w:bCs/>
          <w:szCs w:val="24"/>
        </w:rPr>
        <w:t xml:space="preserve">Section </w:t>
      </w:r>
      <w:r w:rsidR="001114B3">
        <w:rPr>
          <w:b/>
          <w:bCs/>
          <w:szCs w:val="24"/>
        </w:rPr>
        <w:t>6</w:t>
      </w:r>
      <w:r w:rsidRPr="00584A95">
        <w:rPr>
          <w:b/>
          <w:bCs/>
          <w:szCs w:val="24"/>
        </w:rPr>
        <w:tab/>
      </w:r>
      <w:r w:rsidRPr="00584A95">
        <w:rPr>
          <w:b/>
          <w:bCs/>
          <w:szCs w:val="24"/>
        </w:rPr>
        <w:tab/>
        <w:t xml:space="preserve">Schedule 1, part 1.2A, item </w:t>
      </w:r>
      <w:r>
        <w:rPr>
          <w:b/>
          <w:bCs/>
          <w:szCs w:val="24"/>
        </w:rPr>
        <w:t>78.3</w:t>
      </w:r>
    </w:p>
    <w:p w14:paraId="75A55B6D" w14:textId="7F639EA3" w:rsidR="00671BA0" w:rsidRDefault="00671BA0" w:rsidP="0024771E">
      <w:pPr>
        <w:rPr>
          <w:szCs w:val="24"/>
        </w:rPr>
      </w:pPr>
    </w:p>
    <w:p w14:paraId="77A6CE4A" w14:textId="4BAC7D9A" w:rsidR="009E1A50" w:rsidRDefault="009E1A50" w:rsidP="009E1A50">
      <w:r w:rsidRPr="00DE1B07">
        <w:t xml:space="preserve">This </w:t>
      </w:r>
      <w:r>
        <w:t>section</w:t>
      </w:r>
      <w:r w:rsidRPr="00DE1B07">
        <w:t xml:space="preserve"> </w:t>
      </w:r>
      <w:r>
        <w:t>substitutes item number 78.3.</w:t>
      </w:r>
    </w:p>
    <w:p w14:paraId="5544E178" w14:textId="77777777" w:rsidR="009E1A50" w:rsidRDefault="009E1A50" w:rsidP="009E1A50"/>
    <w:p w14:paraId="4E8AAAB5" w14:textId="65A58419" w:rsidR="009E1A50" w:rsidRDefault="009E1A50" w:rsidP="009E1A50">
      <w:r>
        <w:t>It inserts an infringement notice penalty of $1121 for a two-up driver committing a severe risk breach of working more than the maximum standard hours work time or resting for less than the minimum standard hours rest time.</w:t>
      </w:r>
    </w:p>
    <w:p w14:paraId="19C991DE" w14:textId="64EDC2DE" w:rsidR="00A07955" w:rsidRDefault="00A07955" w:rsidP="009E1A50"/>
    <w:p w14:paraId="5D660997" w14:textId="7F0A0CF0" w:rsidR="00A07955" w:rsidRPr="00DE1B07" w:rsidRDefault="00A07955" w:rsidP="00A07955">
      <w:r>
        <w:rPr>
          <w:szCs w:val="24"/>
        </w:rPr>
        <w:t xml:space="preserve">The penalty is set at $1121 which is 10% of the maximum </w:t>
      </w:r>
      <w:r w:rsidR="001114B3">
        <w:rPr>
          <w:szCs w:val="24"/>
        </w:rPr>
        <w:t>court-imposed</w:t>
      </w:r>
      <w:r>
        <w:rPr>
          <w:szCs w:val="24"/>
        </w:rPr>
        <w:t xml:space="preserve"> penalty of $10,000 indexed in accordance with sections 737 and 737A of the HVNL.</w:t>
      </w:r>
    </w:p>
    <w:p w14:paraId="2BC9CC13" w14:textId="77777777" w:rsidR="009E1A50" w:rsidRPr="00C12492" w:rsidRDefault="009E1A50" w:rsidP="0024771E">
      <w:pPr>
        <w:rPr>
          <w:szCs w:val="24"/>
        </w:rPr>
      </w:pPr>
    </w:p>
    <w:p w14:paraId="34355D38" w14:textId="3F9F6081" w:rsidR="009E1A50" w:rsidRPr="00584A95" w:rsidRDefault="009E1A50" w:rsidP="009E1A50">
      <w:pPr>
        <w:rPr>
          <w:b/>
          <w:bCs/>
          <w:szCs w:val="24"/>
        </w:rPr>
      </w:pPr>
      <w:r w:rsidRPr="00584A95">
        <w:rPr>
          <w:b/>
          <w:bCs/>
          <w:szCs w:val="24"/>
        </w:rPr>
        <w:t xml:space="preserve">Section </w:t>
      </w:r>
      <w:r w:rsidR="001114B3">
        <w:rPr>
          <w:b/>
          <w:bCs/>
          <w:szCs w:val="24"/>
        </w:rPr>
        <w:t>7</w:t>
      </w:r>
      <w:r w:rsidRPr="00584A95">
        <w:rPr>
          <w:b/>
          <w:bCs/>
          <w:szCs w:val="24"/>
        </w:rPr>
        <w:tab/>
      </w:r>
      <w:r w:rsidRPr="00584A95">
        <w:rPr>
          <w:b/>
          <w:bCs/>
          <w:szCs w:val="24"/>
        </w:rPr>
        <w:tab/>
        <w:t xml:space="preserve">Schedule 1, part 1.2A, item </w:t>
      </w:r>
      <w:r>
        <w:rPr>
          <w:b/>
          <w:bCs/>
          <w:szCs w:val="24"/>
        </w:rPr>
        <w:t>79.3</w:t>
      </w:r>
    </w:p>
    <w:p w14:paraId="7E460D79" w14:textId="77777777" w:rsidR="009E1A50" w:rsidRDefault="009E1A50" w:rsidP="009E1A50"/>
    <w:p w14:paraId="607FDCE2" w14:textId="6E173067" w:rsidR="009E1A50" w:rsidRDefault="009E1A50" w:rsidP="009E1A50">
      <w:r w:rsidRPr="00DE1B07">
        <w:t xml:space="preserve">This </w:t>
      </w:r>
      <w:r>
        <w:t>section</w:t>
      </w:r>
      <w:r w:rsidRPr="00DE1B07">
        <w:t xml:space="preserve"> </w:t>
      </w:r>
      <w:r>
        <w:t>substitutes item number 79.3.</w:t>
      </w:r>
    </w:p>
    <w:p w14:paraId="2449A2BE" w14:textId="77777777" w:rsidR="009E1A50" w:rsidRDefault="009E1A50" w:rsidP="009E1A50"/>
    <w:p w14:paraId="37F5284B" w14:textId="5CB3B1ED" w:rsidR="009E1A50" w:rsidRPr="00DE1B07" w:rsidRDefault="009E1A50" w:rsidP="009E1A50">
      <w:r>
        <w:t>It inserts an infringement notice penalty of $1121 for a solo driver committing a severe risk breach of working more than the maximum Basic Fatigue Management work time or resting for less than the minimum Basic Fatigue Management rest time.</w:t>
      </w:r>
    </w:p>
    <w:p w14:paraId="74F7157C" w14:textId="77777777" w:rsidR="00A07955" w:rsidRDefault="00A07955" w:rsidP="00A07955">
      <w:pPr>
        <w:rPr>
          <w:szCs w:val="24"/>
        </w:rPr>
      </w:pPr>
    </w:p>
    <w:p w14:paraId="2E8AD5BA" w14:textId="089B570A" w:rsidR="00A07955" w:rsidRPr="00DE1B07" w:rsidRDefault="00A07955" w:rsidP="00A07955">
      <w:r>
        <w:rPr>
          <w:szCs w:val="24"/>
        </w:rPr>
        <w:t xml:space="preserve">The penalty is set at $1121 which is 10% of the maximum </w:t>
      </w:r>
      <w:r w:rsidR="00AB13C3">
        <w:rPr>
          <w:szCs w:val="24"/>
        </w:rPr>
        <w:t>court-imposed</w:t>
      </w:r>
      <w:r>
        <w:rPr>
          <w:szCs w:val="24"/>
        </w:rPr>
        <w:t xml:space="preserve"> penalty of $10,000 indexed in accordance with sections 737 and 737A of the HVNL.</w:t>
      </w:r>
    </w:p>
    <w:p w14:paraId="28A59083" w14:textId="77777777" w:rsidR="00671BA0" w:rsidRPr="00C12492" w:rsidRDefault="00671BA0" w:rsidP="0024771E">
      <w:pPr>
        <w:rPr>
          <w:szCs w:val="24"/>
        </w:rPr>
      </w:pPr>
    </w:p>
    <w:p w14:paraId="51BC60A7" w14:textId="4A66DB98" w:rsidR="009E1A50" w:rsidRPr="00584A95" w:rsidRDefault="009E1A50" w:rsidP="009E1A50">
      <w:pPr>
        <w:rPr>
          <w:b/>
          <w:bCs/>
          <w:szCs w:val="24"/>
        </w:rPr>
      </w:pPr>
      <w:r w:rsidRPr="00584A95">
        <w:rPr>
          <w:b/>
          <w:bCs/>
          <w:szCs w:val="24"/>
        </w:rPr>
        <w:t xml:space="preserve">Section </w:t>
      </w:r>
      <w:r w:rsidR="00AB13C3">
        <w:rPr>
          <w:b/>
          <w:bCs/>
          <w:szCs w:val="24"/>
        </w:rPr>
        <w:t>8</w:t>
      </w:r>
      <w:r w:rsidRPr="00584A95">
        <w:rPr>
          <w:b/>
          <w:bCs/>
          <w:szCs w:val="24"/>
        </w:rPr>
        <w:tab/>
      </w:r>
      <w:r w:rsidRPr="00584A95">
        <w:rPr>
          <w:b/>
          <w:bCs/>
          <w:szCs w:val="24"/>
        </w:rPr>
        <w:tab/>
        <w:t xml:space="preserve">Schedule 1, part 1.2A, item </w:t>
      </w:r>
      <w:r>
        <w:rPr>
          <w:b/>
          <w:bCs/>
          <w:szCs w:val="24"/>
        </w:rPr>
        <w:t>80.3</w:t>
      </w:r>
    </w:p>
    <w:p w14:paraId="42D4BF4F" w14:textId="77777777" w:rsidR="009E1A50" w:rsidRDefault="009E1A50" w:rsidP="009E1A50"/>
    <w:p w14:paraId="76BC0EF7" w14:textId="031D812E" w:rsidR="009E1A50" w:rsidRDefault="009E1A50" w:rsidP="009E1A50">
      <w:r w:rsidRPr="00DE1B07">
        <w:t xml:space="preserve">This </w:t>
      </w:r>
      <w:r>
        <w:t>section</w:t>
      </w:r>
      <w:r w:rsidRPr="00DE1B07">
        <w:t xml:space="preserve"> </w:t>
      </w:r>
      <w:r>
        <w:t xml:space="preserve">substitutes item number </w:t>
      </w:r>
      <w:r w:rsidR="00AB13C3">
        <w:t>8</w:t>
      </w:r>
      <w:r>
        <w:t>0.3.</w:t>
      </w:r>
    </w:p>
    <w:p w14:paraId="27970EB2" w14:textId="77777777" w:rsidR="009E1A50" w:rsidRDefault="009E1A50" w:rsidP="009E1A50"/>
    <w:p w14:paraId="691B8AF8" w14:textId="460025B1" w:rsidR="009E1A50" w:rsidRDefault="009E1A50" w:rsidP="009E1A50">
      <w:r>
        <w:t>It inserts an infringement notice penalty of $1121 for a two-up driver committing a severe risk breach of working more than the maximum Basic Fatigue Management work time or resting for less than the minimum Basic Fatigue Management rest time.</w:t>
      </w:r>
    </w:p>
    <w:p w14:paraId="0EB2C3A8" w14:textId="77777777" w:rsidR="00A07955" w:rsidRPr="00DE1B07" w:rsidRDefault="00A07955" w:rsidP="009E1A50"/>
    <w:p w14:paraId="7B08BB06" w14:textId="3DCF39B4" w:rsidR="00A07955" w:rsidRPr="00DE1B07" w:rsidRDefault="00A07955" w:rsidP="00A07955">
      <w:r>
        <w:rPr>
          <w:szCs w:val="24"/>
        </w:rPr>
        <w:t xml:space="preserve">The penalty is set at $1121 which is 10% of the maximum </w:t>
      </w:r>
      <w:r w:rsidR="00AB13C3">
        <w:rPr>
          <w:szCs w:val="24"/>
        </w:rPr>
        <w:t>court-imposed</w:t>
      </w:r>
      <w:r>
        <w:rPr>
          <w:szCs w:val="24"/>
        </w:rPr>
        <w:t xml:space="preserve"> penalty of $10,000 indexed in accordance with sections 737 and 737A of the HVNL.</w:t>
      </w:r>
    </w:p>
    <w:p w14:paraId="5C3AFAFD" w14:textId="40AC1DA0" w:rsidR="00671BA0" w:rsidRDefault="00671BA0" w:rsidP="0024771E">
      <w:pPr>
        <w:rPr>
          <w:szCs w:val="24"/>
        </w:rPr>
      </w:pPr>
    </w:p>
    <w:p w14:paraId="7AFA6008" w14:textId="182BC5E5" w:rsidR="009E1A50" w:rsidRPr="00584A95" w:rsidRDefault="009E1A50" w:rsidP="009E1A50">
      <w:pPr>
        <w:rPr>
          <w:b/>
          <w:bCs/>
          <w:szCs w:val="24"/>
        </w:rPr>
      </w:pPr>
      <w:r w:rsidRPr="00584A95">
        <w:rPr>
          <w:b/>
          <w:bCs/>
          <w:szCs w:val="24"/>
        </w:rPr>
        <w:t xml:space="preserve">Section </w:t>
      </w:r>
      <w:r w:rsidR="00AB13C3">
        <w:rPr>
          <w:b/>
          <w:bCs/>
          <w:szCs w:val="24"/>
        </w:rPr>
        <w:t>9</w:t>
      </w:r>
      <w:r w:rsidRPr="00584A95">
        <w:rPr>
          <w:b/>
          <w:bCs/>
          <w:szCs w:val="24"/>
        </w:rPr>
        <w:tab/>
      </w:r>
      <w:r w:rsidRPr="00584A95">
        <w:rPr>
          <w:b/>
          <w:bCs/>
          <w:szCs w:val="24"/>
        </w:rPr>
        <w:tab/>
        <w:t xml:space="preserve">Schedule 1, part 1.2A, item </w:t>
      </w:r>
      <w:r>
        <w:rPr>
          <w:b/>
          <w:bCs/>
          <w:szCs w:val="24"/>
        </w:rPr>
        <w:t>261.3</w:t>
      </w:r>
    </w:p>
    <w:p w14:paraId="7FEE3E1C" w14:textId="274CD8DF" w:rsidR="00671BA0" w:rsidRDefault="00671BA0" w:rsidP="0024771E">
      <w:pPr>
        <w:rPr>
          <w:szCs w:val="24"/>
        </w:rPr>
      </w:pPr>
    </w:p>
    <w:p w14:paraId="4A28A147" w14:textId="402A3111" w:rsidR="009E1A50" w:rsidRDefault="009E1A50" w:rsidP="0024771E">
      <w:pPr>
        <w:rPr>
          <w:szCs w:val="24"/>
        </w:rPr>
      </w:pPr>
      <w:r>
        <w:rPr>
          <w:szCs w:val="24"/>
        </w:rPr>
        <w:t>This section inserts a new item number 261.3.</w:t>
      </w:r>
    </w:p>
    <w:p w14:paraId="2DA93185" w14:textId="4EDD74B6" w:rsidR="009E1A50" w:rsidRDefault="009E1A50" w:rsidP="0024771E">
      <w:pPr>
        <w:rPr>
          <w:szCs w:val="24"/>
        </w:rPr>
      </w:pPr>
    </w:p>
    <w:p w14:paraId="20D34934" w14:textId="080703FA" w:rsidR="009E1A50" w:rsidRDefault="00374E32" w:rsidP="0024771E">
      <w:pPr>
        <w:rPr>
          <w:szCs w:val="24"/>
        </w:rPr>
      </w:pPr>
      <w:r>
        <w:rPr>
          <w:szCs w:val="24"/>
        </w:rPr>
        <w:t>This is</w:t>
      </w:r>
      <w:r w:rsidR="009E1A50">
        <w:rPr>
          <w:szCs w:val="24"/>
        </w:rPr>
        <w:t xml:space="preserve"> </w:t>
      </w:r>
      <w:r w:rsidR="00AB13C3">
        <w:rPr>
          <w:szCs w:val="24"/>
        </w:rPr>
        <w:t xml:space="preserve">a technical amendment </w:t>
      </w:r>
      <w:r w:rsidR="009E1A50">
        <w:rPr>
          <w:szCs w:val="24"/>
        </w:rPr>
        <w:t>conseque</w:t>
      </w:r>
      <w:r>
        <w:rPr>
          <w:szCs w:val="24"/>
        </w:rPr>
        <w:t>ntial</w:t>
      </w:r>
      <w:r w:rsidR="009E1A50">
        <w:rPr>
          <w:szCs w:val="24"/>
        </w:rPr>
        <w:t xml:space="preserve"> on amendments to the </w:t>
      </w:r>
      <w:r w:rsidR="004358FD">
        <w:rPr>
          <w:szCs w:val="24"/>
        </w:rPr>
        <w:t>H</w:t>
      </w:r>
      <w:r w:rsidR="00A07955">
        <w:rPr>
          <w:szCs w:val="24"/>
        </w:rPr>
        <w:t>VNL</w:t>
      </w:r>
      <w:r w:rsidR="004358FD">
        <w:rPr>
          <w:szCs w:val="24"/>
        </w:rPr>
        <w:t xml:space="preserve"> </w:t>
      </w:r>
      <w:r>
        <w:rPr>
          <w:szCs w:val="24"/>
        </w:rPr>
        <w:t xml:space="preserve">by </w:t>
      </w:r>
      <w:r w:rsidR="004358FD">
        <w:rPr>
          <w:szCs w:val="24"/>
        </w:rPr>
        <w:t xml:space="preserve">the </w:t>
      </w:r>
      <w:r w:rsidR="004358FD" w:rsidRPr="00A07955">
        <w:rPr>
          <w:i/>
          <w:iCs/>
          <w:szCs w:val="24"/>
        </w:rPr>
        <w:t>Heavy Vehicle National Law and Other Legislation Amendment Act 2019</w:t>
      </w:r>
      <w:r>
        <w:rPr>
          <w:i/>
          <w:iCs/>
          <w:szCs w:val="24"/>
        </w:rPr>
        <w:t xml:space="preserve"> </w:t>
      </w:r>
      <w:r>
        <w:t>(QLD)</w:t>
      </w:r>
      <w:r w:rsidR="004358FD">
        <w:rPr>
          <w:szCs w:val="24"/>
        </w:rPr>
        <w:t xml:space="preserve"> </w:t>
      </w:r>
      <w:r>
        <w:rPr>
          <w:szCs w:val="24"/>
        </w:rPr>
        <w:t xml:space="preserve">that </w:t>
      </w:r>
      <w:r w:rsidR="004358FD">
        <w:rPr>
          <w:szCs w:val="24"/>
        </w:rPr>
        <w:t xml:space="preserve">move the offence of using a vehicle contrary to a self-clearing defect notice from section 531A of the </w:t>
      </w:r>
      <w:r w:rsidR="00A07955">
        <w:rPr>
          <w:szCs w:val="24"/>
        </w:rPr>
        <w:t>HVNL to section 529 of the HVNL.</w:t>
      </w:r>
    </w:p>
    <w:p w14:paraId="46AB8E46" w14:textId="3E7DF13E" w:rsidR="009E1A50" w:rsidRDefault="009E1A50" w:rsidP="0024771E">
      <w:pPr>
        <w:rPr>
          <w:szCs w:val="24"/>
        </w:rPr>
      </w:pPr>
    </w:p>
    <w:p w14:paraId="1BB6F295" w14:textId="344232CE" w:rsidR="00AB13C3" w:rsidRPr="00584A95" w:rsidRDefault="00AB13C3" w:rsidP="00AB13C3">
      <w:pPr>
        <w:rPr>
          <w:b/>
          <w:bCs/>
          <w:szCs w:val="24"/>
        </w:rPr>
      </w:pPr>
      <w:r w:rsidRPr="00584A95">
        <w:rPr>
          <w:b/>
          <w:bCs/>
          <w:szCs w:val="24"/>
        </w:rPr>
        <w:t xml:space="preserve">Section </w:t>
      </w:r>
      <w:r>
        <w:rPr>
          <w:b/>
          <w:bCs/>
          <w:szCs w:val="24"/>
        </w:rPr>
        <w:t>10</w:t>
      </w:r>
      <w:r w:rsidRPr="00584A95">
        <w:rPr>
          <w:b/>
          <w:bCs/>
          <w:szCs w:val="24"/>
        </w:rPr>
        <w:tab/>
      </w:r>
      <w:r w:rsidRPr="00584A95">
        <w:rPr>
          <w:b/>
          <w:bCs/>
          <w:szCs w:val="24"/>
        </w:rPr>
        <w:tab/>
        <w:t>Schedule 1, part 1.2A, item</w:t>
      </w:r>
      <w:r>
        <w:rPr>
          <w:b/>
          <w:bCs/>
          <w:szCs w:val="24"/>
        </w:rPr>
        <w:t>s</w:t>
      </w:r>
      <w:r w:rsidRPr="00584A9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263 and 264</w:t>
      </w:r>
    </w:p>
    <w:p w14:paraId="009C9AE3" w14:textId="12EEB542" w:rsidR="009E1A50" w:rsidRDefault="009E1A50" w:rsidP="0024771E">
      <w:pPr>
        <w:rPr>
          <w:szCs w:val="24"/>
        </w:rPr>
      </w:pPr>
    </w:p>
    <w:p w14:paraId="6AAC60B1" w14:textId="3F30362B" w:rsidR="009E1A50" w:rsidRDefault="00AB13C3" w:rsidP="0024771E">
      <w:pPr>
        <w:rPr>
          <w:szCs w:val="24"/>
        </w:rPr>
      </w:pPr>
      <w:r>
        <w:rPr>
          <w:szCs w:val="24"/>
        </w:rPr>
        <w:t>This section omits item numbers 263 and 264.</w:t>
      </w:r>
    </w:p>
    <w:p w14:paraId="379AEC62" w14:textId="4D6B407F" w:rsidR="00AB13C3" w:rsidRDefault="00AB13C3" w:rsidP="0024771E">
      <w:pPr>
        <w:rPr>
          <w:szCs w:val="24"/>
        </w:rPr>
      </w:pPr>
    </w:p>
    <w:p w14:paraId="55FC316C" w14:textId="10304AF7" w:rsidR="00AB13C3" w:rsidRDefault="00374E32" w:rsidP="00AB13C3">
      <w:pPr>
        <w:rPr>
          <w:szCs w:val="24"/>
        </w:rPr>
      </w:pPr>
      <w:r>
        <w:rPr>
          <w:szCs w:val="24"/>
        </w:rPr>
        <w:lastRenderedPageBreak/>
        <w:t>This is a</w:t>
      </w:r>
      <w:r w:rsidR="00AB13C3">
        <w:rPr>
          <w:szCs w:val="24"/>
        </w:rPr>
        <w:t xml:space="preserve"> technical amendment consequent</w:t>
      </w:r>
      <w:r>
        <w:rPr>
          <w:szCs w:val="24"/>
        </w:rPr>
        <w:t>ial</w:t>
      </w:r>
      <w:r w:rsidR="00AB13C3">
        <w:rPr>
          <w:szCs w:val="24"/>
        </w:rPr>
        <w:t xml:space="preserve"> on amendments to the HVNL by the </w:t>
      </w:r>
      <w:r w:rsidR="00AB13C3" w:rsidRPr="00A07955">
        <w:rPr>
          <w:i/>
          <w:iCs/>
          <w:szCs w:val="24"/>
        </w:rPr>
        <w:t>Heavy Vehicle National Law and Other Legislation Amendment Act 2019</w:t>
      </w:r>
      <w:r>
        <w:rPr>
          <w:szCs w:val="24"/>
        </w:rPr>
        <w:t xml:space="preserve"> (QLD)</w:t>
      </w:r>
      <w:r w:rsidR="00AB13C3">
        <w:rPr>
          <w:szCs w:val="24"/>
        </w:rPr>
        <w:t xml:space="preserve"> that move the offence of using a vehicle contrary to a self-clearing defect notice from section 531A of the HVNL to section 529 of the HVNL.</w:t>
      </w:r>
    </w:p>
    <w:p w14:paraId="26961A43" w14:textId="4700F099" w:rsidR="00AB13C3" w:rsidRDefault="00AB13C3" w:rsidP="0024771E">
      <w:pPr>
        <w:rPr>
          <w:szCs w:val="24"/>
        </w:rPr>
      </w:pPr>
    </w:p>
    <w:p w14:paraId="27AA9D7A" w14:textId="0095D939" w:rsidR="00AB13C3" w:rsidRPr="00584A95" w:rsidRDefault="00AB13C3" w:rsidP="00AB13C3">
      <w:pPr>
        <w:rPr>
          <w:b/>
          <w:bCs/>
          <w:szCs w:val="24"/>
        </w:rPr>
      </w:pPr>
      <w:r w:rsidRPr="00584A95">
        <w:rPr>
          <w:b/>
          <w:bCs/>
          <w:szCs w:val="24"/>
        </w:rPr>
        <w:t xml:space="preserve">Section </w:t>
      </w:r>
      <w:r>
        <w:rPr>
          <w:b/>
          <w:bCs/>
          <w:szCs w:val="24"/>
        </w:rPr>
        <w:t>11</w:t>
      </w:r>
      <w:r w:rsidRPr="00584A95">
        <w:rPr>
          <w:b/>
          <w:bCs/>
          <w:szCs w:val="24"/>
        </w:rPr>
        <w:tab/>
      </w:r>
      <w:r w:rsidRPr="00584A95">
        <w:rPr>
          <w:b/>
          <w:bCs/>
          <w:szCs w:val="24"/>
        </w:rPr>
        <w:tab/>
        <w:t xml:space="preserve">Schedule 1, part 1.2A, item </w:t>
      </w:r>
      <w:r>
        <w:rPr>
          <w:b/>
          <w:bCs/>
          <w:szCs w:val="24"/>
        </w:rPr>
        <w:t>278</w:t>
      </w:r>
    </w:p>
    <w:p w14:paraId="0A1AFACC" w14:textId="48141616" w:rsidR="00AB13C3" w:rsidRDefault="00AB13C3" w:rsidP="0024771E">
      <w:pPr>
        <w:rPr>
          <w:szCs w:val="24"/>
        </w:rPr>
      </w:pPr>
    </w:p>
    <w:p w14:paraId="43145C72" w14:textId="46D0C916" w:rsidR="00AB13C3" w:rsidRDefault="00AB13C3" w:rsidP="00AB13C3">
      <w:r w:rsidRPr="00DE1B07">
        <w:t xml:space="preserve">This </w:t>
      </w:r>
      <w:r>
        <w:t>section</w:t>
      </w:r>
      <w:r w:rsidRPr="00DE1B07">
        <w:t xml:space="preserve"> </w:t>
      </w:r>
      <w:r>
        <w:t>substitutes item number 278</w:t>
      </w:r>
    </w:p>
    <w:p w14:paraId="7F2B59C0" w14:textId="77777777" w:rsidR="00AB13C3" w:rsidRDefault="00AB13C3" w:rsidP="00AB13C3"/>
    <w:p w14:paraId="3D1F20DF" w14:textId="64E8B64F" w:rsidR="00AB13C3" w:rsidRDefault="00AB13C3" w:rsidP="00AB13C3">
      <w:r>
        <w:t xml:space="preserve">It inserts an infringement notice penalty of $674 for a driver not to </w:t>
      </w:r>
      <w:r w:rsidR="00484430">
        <w:t>produce a driver licence required to be in their possession while driving unless the driver has a reasonable excuse</w:t>
      </w:r>
      <w:r>
        <w:t>.</w:t>
      </w:r>
    </w:p>
    <w:p w14:paraId="6E3CEA3E" w14:textId="77777777" w:rsidR="00AB13C3" w:rsidRDefault="00AB13C3" w:rsidP="00AB13C3"/>
    <w:p w14:paraId="72CB2222" w14:textId="2BDE8398" w:rsidR="00484430" w:rsidRPr="00484430" w:rsidRDefault="00AB13C3" w:rsidP="00AB13C3">
      <w:pPr>
        <w:rPr>
          <w:szCs w:val="24"/>
        </w:rPr>
      </w:pPr>
      <w:r>
        <w:rPr>
          <w:szCs w:val="24"/>
        </w:rPr>
        <w:t>The penalty is set at $</w:t>
      </w:r>
      <w:r w:rsidR="00484430">
        <w:rPr>
          <w:szCs w:val="24"/>
        </w:rPr>
        <w:t>674</w:t>
      </w:r>
      <w:r>
        <w:rPr>
          <w:szCs w:val="24"/>
        </w:rPr>
        <w:t xml:space="preserve"> which is 10% of the maximum court-imposed penalty of $</w:t>
      </w:r>
      <w:r w:rsidR="00484430">
        <w:rPr>
          <w:szCs w:val="24"/>
        </w:rPr>
        <w:t>6,000</w:t>
      </w:r>
      <w:r>
        <w:rPr>
          <w:szCs w:val="24"/>
        </w:rPr>
        <w:t xml:space="preserve"> indexed in accordance with sections 737 and 737A of the HVNL.</w:t>
      </w:r>
    </w:p>
    <w:sectPr w:rsidR="00484430" w:rsidRPr="00484430" w:rsidSect="00C16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F448" w14:textId="77777777" w:rsidR="0050371B" w:rsidRDefault="0050371B" w:rsidP="006815C9">
      <w:r>
        <w:separator/>
      </w:r>
    </w:p>
  </w:endnote>
  <w:endnote w:type="continuationSeparator" w:id="0">
    <w:p w14:paraId="24D90610" w14:textId="77777777" w:rsidR="0050371B" w:rsidRDefault="0050371B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70D0" w14:textId="77777777" w:rsidR="00C8493B" w:rsidRDefault="00C84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8D40" w14:textId="3F1B3A35" w:rsidR="00C8493B" w:rsidRPr="00F04322" w:rsidRDefault="00F04322" w:rsidP="00F04322">
    <w:pPr>
      <w:pStyle w:val="Footer"/>
      <w:jc w:val="center"/>
      <w:rPr>
        <w:rFonts w:cs="Arial"/>
        <w:sz w:val="14"/>
      </w:rPr>
    </w:pPr>
    <w:r w:rsidRPr="00F043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68ED" w14:textId="77777777" w:rsidR="00C8493B" w:rsidRDefault="00C84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D718" w14:textId="77777777" w:rsidR="0050371B" w:rsidRDefault="0050371B" w:rsidP="006815C9">
      <w:r>
        <w:separator/>
      </w:r>
    </w:p>
  </w:footnote>
  <w:footnote w:type="continuationSeparator" w:id="0">
    <w:p w14:paraId="7D1B64E7" w14:textId="77777777" w:rsidR="0050371B" w:rsidRDefault="0050371B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19A6" w14:textId="77777777" w:rsidR="00C8493B" w:rsidRDefault="00C84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F699" w14:textId="77777777" w:rsidR="00C8493B" w:rsidRDefault="00C84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6FCA" w14:textId="77777777" w:rsidR="00C8493B" w:rsidRDefault="00C84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325866"/>
    <w:multiLevelType w:val="hybridMultilevel"/>
    <w:tmpl w:val="25A8F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B0A23C2"/>
    <w:multiLevelType w:val="hybridMultilevel"/>
    <w:tmpl w:val="E4A67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75CC"/>
    <w:multiLevelType w:val="hybridMultilevel"/>
    <w:tmpl w:val="C47A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8B6B2D"/>
    <w:multiLevelType w:val="hybridMultilevel"/>
    <w:tmpl w:val="C03401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3D8A"/>
    <w:multiLevelType w:val="hybridMultilevel"/>
    <w:tmpl w:val="2FB6A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AB0"/>
    <w:multiLevelType w:val="hybridMultilevel"/>
    <w:tmpl w:val="BFE64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71924"/>
    <w:multiLevelType w:val="hybridMultilevel"/>
    <w:tmpl w:val="9106F9FE"/>
    <w:lvl w:ilvl="0" w:tplc="5F408862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D2358"/>
    <w:multiLevelType w:val="hybridMultilevel"/>
    <w:tmpl w:val="3502F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B067D"/>
    <w:multiLevelType w:val="hybridMultilevel"/>
    <w:tmpl w:val="1978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11978"/>
    <w:multiLevelType w:val="hybridMultilevel"/>
    <w:tmpl w:val="7B68CBDA"/>
    <w:lvl w:ilvl="0" w:tplc="F1421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7" w15:restartNumberingAfterBreak="0">
    <w:nsid w:val="37E207F7"/>
    <w:multiLevelType w:val="hybridMultilevel"/>
    <w:tmpl w:val="8CF2B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313A4"/>
    <w:multiLevelType w:val="hybridMultilevel"/>
    <w:tmpl w:val="3BE08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53901"/>
    <w:multiLevelType w:val="hybridMultilevel"/>
    <w:tmpl w:val="DEBA1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03A6D"/>
    <w:multiLevelType w:val="hybridMultilevel"/>
    <w:tmpl w:val="374E09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5864D46"/>
    <w:multiLevelType w:val="hybridMultilevel"/>
    <w:tmpl w:val="465EFBD2"/>
    <w:lvl w:ilvl="0" w:tplc="018A7E6E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42C2AB0"/>
    <w:multiLevelType w:val="hybridMultilevel"/>
    <w:tmpl w:val="AD727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46F48"/>
    <w:multiLevelType w:val="hybridMultilevel"/>
    <w:tmpl w:val="FF5C2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D411CD"/>
    <w:multiLevelType w:val="hybridMultilevel"/>
    <w:tmpl w:val="1CA6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971FE"/>
    <w:multiLevelType w:val="hybridMultilevel"/>
    <w:tmpl w:val="B8DC73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D0011"/>
    <w:multiLevelType w:val="hybridMultilevel"/>
    <w:tmpl w:val="E3000D7A"/>
    <w:lvl w:ilvl="0" w:tplc="018A7E6E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6"/>
  </w:num>
  <w:num w:numId="5">
    <w:abstractNumId w:val="25"/>
  </w:num>
  <w:num w:numId="6">
    <w:abstractNumId w:val="2"/>
  </w:num>
  <w:num w:numId="7">
    <w:abstractNumId w:val="14"/>
  </w:num>
  <w:num w:numId="8">
    <w:abstractNumId w:val="15"/>
  </w:num>
  <w:num w:numId="9">
    <w:abstractNumId w:val="22"/>
  </w:num>
  <w:num w:numId="10">
    <w:abstractNumId w:val="18"/>
  </w:num>
  <w:num w:numId="11">
    <w:abstractNumId w:val="20"/>
  </w:num>
  <w:num w:numId="12">
    <w:abstractNumId w:val="7"/>
  </w:num>
  <w:num w:numId="13">
    <w:abstractNumId w:val="17"/>
  </w:num>
  <w:num w:numId="14">
    <w:abstractNumId w:val="13"/>
  </w:num>
  <w:num w:numId="15">
    <w:abstractNumId w:val="24"/>
  </w:num>
  <w:num w:numId="16">
    <w:abstractNumId w:val="5"/>
  </w:num>
  <w:num w:numId="17">
    <w:abstractNumId w:val="10"/>
  </w:num>
  <w:num w:numId="18">
    <w:abstractNumId w:val="26"/>
  </w:num>
  <w:num w:numId="19">
    <w:abstractNumId w:val="27"/>
  </w:num>
  <w:num w:numId="20">
    <w:abstractNumId w:val="19"/>
  </w:num>
  <w:num w:numId="21">
    <w:abstractNumId w:val="8"/>
  </w:num>
  <w:num w:numId="22">
    <w:abstractNumId w:val="12"/>
  </w:num>
  <w:num w:numId="23">
    <w:abstractNumId w:val="23"/>
  </w:num>
  <w:num w:numId="24">
    <w:abstractNumId w:val="4"/>
  </w:num>
  <w:num w:numId="25">
    <w:abstractNumId w:val="21"/>
  </w:num>
  <w:num w:numId="26">
    <w:abstractNumId w:val="28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004D3"/>
    <w:rsid w:val="00010179"/>
    <w:rsid w:val="00014D1F"/>
    <w:rsid w:val="000240D3"/>
    <w:rsid w:val="00034D2A"/>
    <w:rsid w:val="000378F8"/>
    <w:rsid w:val="00040B60"/>
    <w:rsid w:val="00040E22"/>
    <w:rsid w:val="00041C50"/>
    <w:rsid w:val="00042D24"/>
    <w:rsid w:val="000469FF"/>
    <w:rsid w:val="00050483"/>
    <w:rsid w:val="00061B36"/>
    <w:rsid w:val="00061CD5"/>
    <w:rsid w:val="00062730"/>
    <w:rsid w:val="00064D14"/>
    <w:rsid w:val="0008543B"/>
    <w:rsid w:val="00091D34"/>
    <w:rsid w:val="00095C70"/>
    <w:rsid w:val="000965EA"/>
    <w:rsid w:val="000A0882"/>
    <w:rsid w:val="000A2DBA"/>
    <w:rsid w:val="000B017A"/>
    <w:rsid w:val="000B23EA"/>
    <w:rsid w:val="000C2DDD"/>
    <w:rsid w:val="000D5897"/>
    <w:rsid w:val="000E779C"/>
    <w:rsid w:val="000F57F6"/>
    <w:rsid w:val="000F7A42"/>
    <w:rsid w:val="001049E5"/>
    <w:rsid w:val="001114B3"/>
    <w:rsid w:val="001122BB"/>
    <w:rsid w:val="0011747E"/>
    <w:rsid w:val="00126D5B"/>
    <w:rsid w:val="00127ABD"/>
    <w:rsid w:val="00132B56"/>
    <w:rsid w:val="001339FD"/>
    <w:rsid w:val="001369D7"/>
    <w:rsid w:val="00145FCE"/>
    <w:rsid w:val="001521F3"/>
    <w:rsid w:val="00154D39"/>
    <w:rsid w:val="00163A32"/>
    <w:rsid w:val="00167D13"/>
    <w:rsid w:val="00177CEA"/>
    <w:rsid w:val="0019466A"/>
    <w:rsid w:val="00197041"/>
    <w:rsid w:val="001A2368"/>
    <w:rsid w:val="001A52E0"/>
    <w:rsid w:val="001A5B4F"/>
    <w:rsid w:val="001B58F4"/>
    <w:rsid w:val="001C2409"/>
    <w:rsid w:val="001C4925"/>
    <w:rsid w:val="001C4E4C"/>
    <w:rsid w:val="001D1F83"/>
    <w:rsid w:val="001E0B29"/>
    <w:rsid w:val="001F4BCE"/>
    <w:rsid w:val="00204D54"/>
    <w:rsid w:val="00215683"/>
    <w:rsid w:val="00222211"/>
    <w:rsid w:val="0023045D"/>
    <w:rsid w:val="0023165F"/>
    <w:rsid w:val="00236DFD"/>
    <w:rsid w:val="00240F93"/>
    <w:rsid w:val="0024771E"/>
    <w:rsid w:val="00250FC9"/>
    <w:rsid w:val="002517A7"/>
    <w:rsid w:val="00255113"/>
    <w:rsid w:val="002703BC"/>
    <w:rsid w:val="00275578"/>
    <w:rsid w:val="00277FEA"/>
    <w:rsid w:val="00280D07"/>
    <w:rsid w:val="00281995"/>
    <w:rsid w:val="00297325"/>
    <w:rsid w:val="002A5BF1"/>
    <w:rsid w:val="002A7258"/>
    <w:rsid w:val="002B051A"/>
    <w:rsid w:val="002B1B8C"/>
    <w:rsid w:val="002B792D"/>
    <w:rsid w:val="002C538D"/>
    <w:rsid w:val="002D4DA9"/>
    <w:rsid w:val="002E0D30"/>
    <w:rsid w:val="002E6C15"/>
    <w:rsid w:val="002F39F0"/>
    <w:rsid w:val="002F41DA"/>
    <w:rsid w:val="002F7330"/>
    <w:rsid w:val="002F7E06"/>
    <w:rsid w:val="003007B1"/>
    <w:rsid w:val="00305106"/>
    <w:rsid w:val="00312316"/>
    <w:rsid w:val="00324B30"/>
    <w:rsid w:val="00332252"/>
    <w:rsid w:val="00334480"/>
    <w:rsid w:val="00350B1C"/>
    <w:rsid w:val="0035367A"/>
    <w:rsid w:val="00353D06"/>
    <w:rsid w:val="0035608C"/>
    <w:rsid w:val="00361DD5"/>
    <w:rsid w:val="00365042"/>
    <w:rsid w:val="0036711B"/>
    <w:rsid w:val="00374E32"/>
    <w:rsid w:val="00383BC3"/>
    <w:rsid w:val="00385ECB"/>
    <w:rsid w:val="00386CF3"/>
    <w:rsid w:val="00386FDF"/>
    <w:rsid w:val="003A118E"/>
    <w:rsid w:val="003A23A1"/>
    <w:rsid w:val="003A2F74"/>
    <w:rsid w:val="003A6CFB"/>
    <w:rsid w:val="003B2950"/>
    <w:rsid w:val="003B6285"/>
    <w:rsid w:val="003C2F18"/>
    <w:rsid w:val="003C2F70"/>
    <w:rsid w:val="003C4D6E"/>
    <w:rsid w:val="003D5D78"/>
    <w:rsid w:val="003E21BE"/>
    <w:rsid w:val="003F235B"/>
    <w:rsid w:val="0040053F"/>
    <w:rsid w:val="00404169"/>
    <w:rsid w:val="00404C7C"/>
    <w:rsid w:val="004152F3"/>
    <w:rsid w:val="00416668"/>
    <w:rsid w:val="00426F8D"/>
    <w:rsid w:val="00433D71"/>
    <w:rsid w:val="004358FD"/>
    <w:rsid w:val="00442882"/>
    <w:rsid w:val="00446EF0"/>
    <w:rsid w:val="00457785"/>
    <w:rsid w:val="004613B3"/>
    <w:rsid w:val="00462CA3"/>
    <w:rsid w:val="00467E96"/>
    <w:rsid w:val="004715F6"/>
    <w:rsid w:val="00475827"/>
    <w:rsid w:val="004762C5"/>
    <w:rsid w:val="00481681"/>
    <w:rsid w:val="00484430"/>
    <w:rsid w:val="004907FE"/>
    <w:rsid w:val="00492D77"/>
    <w:rsid w:val="00495CDD"/>
    <w:rsid w:val="004A087F"/>
    <w:rsid w:val="004A2946"/>
    <w:rsid w:val="004A2D37"/>
    <w:rsid w:val="004A3B0A"/>
    <w:rsid w:val="004B42A0"/>
    <w:rsid w:val="004B4D87"/>
    <w:rsid w:val="004C7939"/>
    <w:rsid w:val="004D6542"/>
    <w:rsid w:val="004D6C4F"/>
    <w:rsid w:val="004D7E03"/>
    <w:rsid w:val="004E043F"/>
    <w:rsid w:val="004E360D"/>
    <w:rsid w:val="004E5487"/>
    <w:rsid w:val="004E6218"/>
    <w:rsid w:val="004F016B"/>
    <w:rsid w:val="00501800"/>
    <w:rsid w:val="0050371B"/>
    <w:rsid w:val="0051026F"/>
    <w:rsid w:val="005110E5"/>
    <w:rsid w:val="00511EDE"/>
    <w:rsid w:val="00515FD5"/>
    <w:rsid w:val="00522591"/>
    <w:rsid w:val="00547383"/>
    <w:rsid w:val="00555046"/>
    <w:rsid w:val="00563BD9"/>
    <w:rsid w:val="00563F53"/>
    <w:rsid w:val="00567666"/>
    <w:rsid w:val="0057320D"/>
    <w:rsid w:val="00584A95"/>
    <w:rsid w:val="00592187"/>
    <w:rsid w:val="005928B6"/>
    <w:rsid w:val="00593B1F"/>
    <w:rsid w:val="00596D8B"/>
    <w:rsid w:val="005A00B4"/>
    <w:rsid w:val="005A568A"/>
    <w:rsid w:val="005A6D2D"/>
    <w:rsid w:val="005A7B58"/>
    <w:rsid w:val="005B29A7"/>
    <w:rsid w:val="005B30F0"/>
    <w:rsid w:val="005B4E80"/>
    <w:rsid w:val="005B5F13"/>
    <w:rsid w:val="005C4A1F"/>
    <w:rsid w:val="005D07E3"/>
    <w:rsid w:val="005D19D0"/>
    <w:rsid w:val="005E2B34"/>
    <w:rsid w:val="005E69D9"/>
    <w:rsid w:val="005F41D1"/>
    <w:rsid w:val="005F56FD"/>
    <w:rsid w:val="005F62B8"/>
    <w:rsid w:val="00603907"/>
    <w:rsid w:val="00605886"/>
    <w:rsid w:val="006069EA"/>
    <w:rsid w:val="00616E0B"/>
    <w:rsid w:val="006208D7"/>
    <w:rsid w:val="00625424"/>
    <w:rsid w:val="00640798"/>
    <w:rsid w:val="00661A22"/>
    <w:rsid w:val="006637BC"/>
    <w:rsid w:val="006653CF"/>
    <w:rsid w:val="00665D43"/>
    <w:rsid w:val="00670AAA"/>
    <w:rsid w:val="0067135B"/>
    <w:rsid w:val="00671BA0"/>
    <w:rsid w:val="00672217"/>
    <w:rsid w:val="006815C9"/>
    <w:rsid w:val="00690C37"/>
    <w:rsid w:val="006929F7"/>
    <w:rsid w:val="006A0785"/>
    <w:rsid w:val="006A09D5"/>
    <w:rsid w:val="006B0669"/>
    <w:rsid w:val="006C0C53"/>
    <w:rsid w:val="006E31B4"/>
    <w:rsid w:val="006E7046"/>
    <w:rsid w:val="006F4646"/>
    <w:rsid w:val="00710EFD"/>
    <w:rsid w:val="00711E17"/>
    <w:rsid w:val="00714ACE"/>
    <w:rsid w:val="00721F7D"/>
    <w:rsid w:val="00727185"/>
    <w:rsid w:val="00731CC1"/>
    <w:rsid w:val="00737328"/>
    <w:rsid w:val="00742B5D"/>
    <w:rsid w:val="00743494"/>
    <w:rsid w:val="00744207"/>
    <w:rsid w:val="00745832"/>
    <w:rsid w:val="00751689"/>
    <w:rsid w:val="00752B0A"/>
    <w:rsid w:val="00755D5B"/>
    <w:rsid w:val="00760319"/>
    <w:rsid w:val="00772954"/>
    <w:rsid w:val="0077466F"/>
    <w:rsid w:val="00782825"/>
    <w:rsid w:val="007A038D"/>
    <w:rsid w:val="007A1321"/>
    <w:rsid w:val="007A3DA7"/>
    <w:rsid w:val="007A6172"/>
    <w:rsid w:val="007B0113"/>
    <w:rsid w:val="007B7AC9"/>
    <w:rsid w:val="007C1108"/>
    <w:rsid w:val="007D7DC1"/>
    <w:rsid w:val="007F099B"/>
    <w:rsid w:val="007F0FE3"/>
    <w:rsid w:val="007F15B4"/>
    <w:rsid w:val="007F206E"/>
    <w:rsid w:val="008034E0"/>
    <w:rsid w:val="00811EF8"/>
    <w:rsid w:val="008131AD"/>
    <w:rsid w:val="0081496A"/>
    <w:rsid w:val="00814EBC"/>
    <w:rsid w:val="00816E20"/>
    <w:rsid w:val="00822DFE"/>
    <w:rsid w:val="00824FE8"/>
    <w:rsid w:val="00827636"/>
    <w:rsid w:val="008300AB"/>
    <w:rsid w:val="008343B8"/>
    <w:rsid w:val="00842C47"/>
    <w:rsid w:val="008511EC"/>
    <w:rsid w:val="008612F5"/>
    <w:rsid w:val="00862FF9"/>
    <w:rsid w:val="0086545D"/>
    <w:rsid w:val="00865A5E"/>
    <w:rsid w:val="00865DAA"/>
    <w:rsid w:val="00867ABE"/>
    <w:rsid w:val="00867C7B"/>
    <w:rsid w:val="00871A83"/>
    <w:rsid w:val="0087250E"/>
    <w:rsid w:val="0087494B"/>
    <w:rsid w:val="00877C12"/>
    <w:rsid w:val="00882B20"/>
    <w:rsid w:val="00883B87"/>
    <w:rsid w:val="00884F84"/>
    <w:rsid w:val="0089156F"/>
    <w:rsid w:val="008954D6"/>
    <w:rsid w:val="008A24E4"/>
    <w:rsid w:val="008A4434"/>
    <w:rsid w:val="008A625E"/>
    <w:rsid w:val="008B1782"/>
    <w:rsid w:val="008C551E"/>
    <w:rsid w:val="008D43B3"/>
    <w:rsid w:val="008D4683"/>
    <w:rsid w:val="008D606E"/>
    <w:rsid w:val="008E2B73"/>
    <w:rsid w:val="008F0411"/>
    <w:rsid w:val="008F354C"/>
    <w:rsid w:val="008F6C3A"/>
    <w:rsid w:val="008F75C0"/>
    <w:rsid w:val="00902882"/>
    <w:rsid w:val="00903722"/>
    <w:rsid w:val="00911FA2"/>
    <w:rsid w:val="009143DF"/>
    <w:rsid w:val="0092201D"/>
    <w:rsid w:val="0093047D"/>
    <w:rsid w:val="00931967"/>
    <w:rsid w:val="00936289"/>
    <w:rsid w:val="00937A01"/>
    <w:rsid w:val="00947E2F"/>
    <w:rsid w:val="0095075B"/>
    <w:rsid w:val="00960FEA"/>
    <w:rsid w:val="009639F7"/>
    <w:rsid w:val="00970C9E"/>
    <w:rsid w:val="00970E09"/>
    <w:rsid w:val="009735E6"/>
    <w:rsid w:val="00973FC2"/>
    <w:rsid w:val="009762D3"/>
    <w:rsid w:val="00986F08"/>
    <w:rsid w:val="0099516E"/>
    <w:rsid w:val="00995A84"/>
    <w:rsid w:val="00997291"/>
    <w:rsid w:val="009A0DCE"/>
    <w:rsid w:val="009A581B"/>
    <w:rsid w:val="009B1142"/>
    <w:rsid w:val="009B3BB1"/>
    <w:rsid w:val="009B4DFE"/>
    <w:rsid w:val="009C1246"/>
    <w:rsid w:val="009C4FAD"/>
    <w:rsid w:val="009C6BEC"/>
    <w:rsid w:val="009D2F3D"/>
    <w:rsid w:val="009E1A50"/>
    <w:rsid w:val="009E3B7C"/>
    <w:rsid w:val="009E67F9"/>
    <w:rsid w:val="009F4035"/>
    <w:rsid w:val="00A001BC"/>
    <w:rsid w:val="00A032D0"/>
    <w:rsid w:val="00A07955"/>
    <w:rsid w:val="00A11B71"/>
    <w:rsid w:val="00A14B32"/>
    <w:rsid w:val="00A15AA1"/>
    <w:rsid w:val="00A175FE"/>
    <w:rsid w:val="00A2225F"/>
    <w:rsid w:val="00A24091"/>
    <w:rsid w:val="00A3238B"/>
    <w:rsid w:val="00A37F21"/>
    <w:rsid w:val="00A42204"/>
    <w:rsid w:val="00A45F30"/>
    <w:rsid w:val="00A51A45"/>
    <w:rsid w:val="00A5734B"/>
    <w:rsid w:val="00A646BE"/>
    <w:rsid w:val="00A7187E"/>
    <w:rsid w:val="00A76E3D"/>
    <w:rsid w:val="00A845A0"/>
    <w:rsid w:val="00A862CF"/>
    <w:rsid w:val="00AA58AD"/>
    <w:rsid w:val="00AA6DA9"/>
    <w:rsid w:val="00AA7133"/>
    <w:rsid w:val="00AB13C3"/>
    <w:rsid w:val="00AD5411"/>
    <w:rsid w:val="00AE60A9"/>
    <w:rsid w:val="00AE61F8"/>
    <w:rsid w:val="00AF0607"/>
    <w:rsid w:val="00AF218D"/>
    <w:rsid w:val="00B005C2"/>
    <w:rsid w:val="00B03497"/>
    <w:rsid w:val="00B24F2F"/>
    <w:rsid w:val="00B26175"/>
    <w:rsid w:val="00B27455"/>
    <w:rsid w:val="00B34E17"/>
    <w:rsid w:val="00B51849"/>
    <w:rsid w:val="00B65A66"/>
    <w:rsid w:val="00B70899"/>
    <w:rsid w:val="00B72DB1"/>
    <w:rsid w:val="00B7436D"/>
    <w:rsid w:val="00B76CA8"/>
    <w:rsid w:val="00B84007"/>
    <w:rsid w:val="00B84029"/>
    <w:rsid w:val="00B95681"/>
    <w:rsid w:val="00BA0D11"/>
    <w:rsid w:val="00BA303F"/>
    <w:rsid w:val="00BB768E"/>
    <w:rsid w:val="00BC184F"/>
    <w:rsid w:val="00BC6475"/>
    <w:rsid w:val="00BC6603"/>
    <w:rsid w:val="00BD0AB1"/>
    <w:rsid w:val="00BD300B"/>
    <w:rsid w:val="00BD300F"/>
    <w:rsid w:val="00BD4F7A"/>
    <w:rsid w:val="00BD5D20"/>
    <w:rsid w:val="00BF12F7"/>
    <w:rsid w:val="00BF39F2"/>
    <w:rsid w:val="00C01D50"/>
    <w:rsid w:val="00C0445F"/>
    <w:rsid w:val="00C069D7"/>
    <w:rsid w:val="00C114DF"/>
    <w:rsid w:val="00C12492"/>
    <w:rsid w:val="00C12A2D"/>
    <w:rsid w:val="00C134A5"/>
    <w:rsid w:val="00C13862"/>
    <w:rsid w:val="00C1609F"/>
    <w:rsid w:val="00C1618B"/>
    <w:rsid w:val="00C16D18"/>
    <w:rsid w:val="00C26B11"/>
    <w:rsid w:val="00C334E5"/>
    <w:rsid w:val="00C33B77"/>
    <w:rsid w:val="00C34A99"/>
    <w:rsid w:val="00C41B81"/>
    <w:rsid w:val="00C42E87"/>
    <w:rsid w:val="00C6314F"/>
    <w:rsid w:val="00C65BA0"/>
    <w:rsid w:val="00C84355"/>
    <w:rsid w:val="00C8493B"/>
    <w:rsid w:val="00C94932"/>
    <w:rsid w:val="00CA04BE"/>
    <w:rsid w:val="00CA1D4A"/>
    <w:rsid w:val="00CA4FE0"/>
    <w:rsid w:val="00CB50D8"/>
    <w:rsid w:val="00CB568B"/>
    <w:rsid w:val="00CC1C71"/>
    <w:rsid w:val="00CC25FA"/>
    <w:rsid w:val="00CC3297"/>
    <w:rsid w:val="00CC52A2"/>
    <w:rsid w:val="00CC6737"/>
    <w:rsid w:val="00CC6EB4"/>
    <w:rsid w:val="00CD0E25"/>
    <w:rsid w:val="00CD5B6A"/>
    <w:rsid w:val="00CE2058"/>
    <w:rsid w:val="00CE51FC"/>
    <w:rsid w:val="00CF31AF"/>
    <w:rsid w:val="00CF6C02"/>
    <w:rsid w:val="00D07692"/>
    <w:rsid w:val="00D07709"/>
    <w:rsid w:val="00D1341B"/>
    <w:rsid w:val="00D1359E"/>
    <w:rsid w:val="00D23214"/>
    <w:rsid w:val="00D33724"/>
    <w:rsid w:val="00D3488B"/>
    <w:rsid w:val="00D36218"/>
    <w:rsid w:val="00D40957"/>
    <w:rsid w:val="00D5605D"/>
    <w:rsid w:val="00D562BE"/>
    <w:rsid w:val="00D7254E"/>
    <w:rsid w:val="00D7445B"/>
    <w:rsid w:val="00D80AA9"/>
    <w:rsid w:val="00D82FCD"/>
    <w:rsid w:val="00D849EF"/>
    <w:rsid w:val="00D866AB"/>
    <w:rsid w:val="00D9203D"/>
    <w:rsid w:val="00D95B0A"/>
    <w:rsid w:val="00D968A9"/>
    <w:rsid w:val="00D979D2"/>
    <w:rsid w:val="00DA481D"/>
    <w:rsid w:val="00DA5186"/>
    <w:rsid w:val="00DA52B8"/>
    <w:rsid w:val="00DC79B6"/>
    <w:rsid w:val="00DD13A9"/>
    <w:rsid w:val="00DD6233"/>
    <w:rsid w:val="00DD74E4"/>
    <w:rsid w:val="00DE1B07"/>
    <w:rsid w:val="00DE3B42"/>
    <w:rsid w:val="00DF134D"/>
    <w:rsid w:val="00DF673D"/>
    <w:rsid w:val="00E00AC9"/>
    <w:rsid w:val="00E0346F"/>
    <w:rsid w:val="00E11997"/>
    <w:rsid w:val="00E24705"/>
    <w:rsid w:val="00E41A65"/>
    <w:rsid w:val="00E42B75"/>
    <w:rsid w:val="00E53467"/>
    <w:rsid w:val="00E62C74"/>
    <w:rsid w:val="00E64C72"/>
    <w:rsid w:val="00E65C5C"/>
    <w:rsid w:val="00E77A6A"/>
    <w:rsid w:val="00E966E0"/>
    <w:rsid w:val="00EA2959"/>
    <w:rsid w:val="00EA2E59"/>
    <w:rsid w:val="00EB0598"/>
    <w:rsid w:val="00EB0C70"/>
    <w:rsid w:val="00EB6B58"/>
    <w:rsid w:val="00EB7BF9"/>
    <w:rsid w:val="00EB7C11"/>
    <w:rsid w:val="00EC0B22"/>
    <w:rsid w:val="00EC72E0"/>
    <w:rsid w:val="00ED50D0"/>
    <w:rsid w:val="00EE6E31"/>
    <w:rsid w:val="00EF34EA"/>
    <w:rsid w:val="00EF3E76"/>
    <w:rsid w:val="00F040E1"/>
    <w:rsid w:val="00F04322"/>
    <w:rsid w:val="00F05B14"/>
    <w:rsid w:val="00F138F8"/>
    <w:rsid w:val="00F159C6"/>
    <w:rsid w:val="00F17088"/>
    <w:rsid w:val="00F20A97"/>
    <w:rsid w:val="00F24A79"/>
    <w:rsid w:val="00F364DD"/>
    <w:rsid w:val="00F40D03"/>
    <w:rsid w:val="00F4124D"/>
    <w:rsid w:val="00F442E3"/>
    <w:rsid w:val="00F5371D"/>
    <w:rsid w:val="00F659D7"/>
    <w:rsid w:val="00F754ED"/>
    <w:rsid w:val="00F8079F"/>
    <w:rsid w:val="00F84A2E"/>
    <w:rsid w:val="00F85870"/>
    <w:rsid w:val="00FA3740"/>
    <w:rsid w:val="00FA48E2"/>
    <w:rsid w:val="00FB12D6"/>
    <w:rsid w:val="00FB3A49"/>
    <w:rsid w:val="00FB5DAE"/>
    <w:rsid w:val="00FC1ED9"/>
    <w:rsid w:val="00FD12E5"/>
    <w:rsid w:val="00FD17DD"/>
    <w:rsid w:val="00FD5B0C"/>
    <w:rsid w:val="00FD7ADB"/>
    <w:rsid w:val="00FE2FD3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25169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EC7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E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3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3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32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FB3A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15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9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2" ma:contentTypeDescription="Create a new document." ma:contentTypeScope="" ma:versionID="7f4ea0fcf3765a7519493d143224cc35">
  <xsd:schema xmlns:xsd="http://www.w3.org/2001/XMLSchema" xmlns:xs="http://www.w3.org/2001/XMLSchema" xmlns:p="http://schemas.microsoft.com/office/2006/metadata/properties" xmlns:ns3="b9d07115-c27e-4ae6-b915-eb0978d05dfa" targetNamespace="http://schemas.microsoft.com/office/2006/metadata/properties" ma:root="true" ma:fieldsID="b740ea6dace4cdea5ba1bb7ea523d82a" ns3:_="">
    <xsd:import namespace="b9d07115-c27e-4ae6-b915-eb0978d05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1859D-C7E0-4613-97FB-5FA2FC6F5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AA5A1-BA4C-453D-B9CA-1003B7E0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5977</Characters>
  <Application>Microsoft Office Word</Application>
  <DocSecurity>0</DocSecurity>
  <Lines>156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2019-12-15T23:40:00Z</cp:lastPrinted>
  <dcterms:created xsi:type="dcterms:W3CDTF">2020-02-26T22:02:00Z</dcterms:created>
  <dcterms:modified xsi:type="dcterms:W3CDTF">2020-02-26T22:02:00Z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CHECKEDOUTFROMJMS">
    <vt:lpwstr/>
  </property>
  <property fmtid="{D5CDD505-2E9C-101B-9397-08002B2CF9AE}" pid="4" name="DMSID">
    <vt:lpwstr>1155252</vt:lpwstr>
  </property>
  <property fmtid="{D5CDD505-2E9C-101B-9397-08002B2CF9AE}" pid="5" name="JMSREQUIREDCHECKIN">
    <vt:lpwstr/>
  </property>
</Properties>
</file>