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3BDC1121" w:rsidR="00F36316" w:rsidRPr="00974A78" w:rsidRDefault="00CE297A" w:rsidP="00974A78">
      <w:pPr>
        <w:pStyle w:val="Billname"/>
        <w:spacing w:before="700"/>
        <w:rPr>
          <w:rFonts w:cs="Times New Roman"/>
          <w:bCs w:val="0"/>
          <w:szCs w:val="20"/>
        </w:rPr>
      </w:pPr>
      <w:r w:rsidRPr="00974A78">
        <w:rPr>
          <w:rFonts w:cs="Times New Roman"/>
          <w:bCs w:val="0"/>
          <w:szCs w:val="20"/>
        </w:rPr>
        <w:t>Liquor</w:t>
      </w:r>
      <w:r w:rsidR="00F36316" w:rsidRPr="00974A78">
        <w:rPr>
          <w:rFonts w:cs="Times New Roman"/>
          <w:bCs w:val="0"/>
          <w:szCs w:val="20"/>
        </w:rPr>
        <w:t xml:space="preserve"> (</w:t>
      </w:r>
      <w:r w:rsidR="00FF6264" w:rsidRPr="00974A78">
        <w:rPr>
          <w:rFonts w:cs="Times New Roman"/>
          <w:bCs w:val="0"/>
          <w:szCs w:val="20"/>
        </w:rPr>
        <w:t xml:space="preserve">Public Health </w:t>
      </w:r>
      <w:r w:rsidRPr="00974A78">
        <w:rPr>
          <w:rFonts w:cs="Times New Roman"/>
          <w:bCs w:val="0"/>
          <w:szCs w:val="20"/>
        </w:rPr>
        <w:t>Emergency</w:t>
      </w:r>
      <w:r w:rsidR="00E23F4A" w:rsidRPr="00974A78">
        <w:rPr>
          <w:rFonts w:cs="Times New Roman"/>
          <w:bCs w:val="0"/>
          <w:szCs w:val="20"/>
        </w:rPr>
        <w:t>—</w:t>
      </w:r>
      <w:r w:rsidR="005D18CF">
        <w:rPr>
          <w:rFonts w:cs="Times New Roman"/>
          <w:bCs w:val="0"/>
          <w:szCs w:val="20"/>
        </w:rPr>
        <w:t>Licence</w:t>
      </w:r>
      <w:r w:rsidR="002536C7">
        <w:rPr>
          <w:rFonts w:cs="Times New Roman"/>
          <w:bCs w:val="0"/>
          <w:szCs w:val="20"/>
        </w:rPr>
        <w:t xml:space="preserve"> </w:t>
      </w:r>
      <w:r w:rsidR="00196FE2" w:rsidRPr="00974A78">
        <w:rPr>
          <w:rFonts w:cs="Times New Roman"/>
          <w:bCs w:val="0"/>
          <w:szCs w:val="20"/>
        </w:rPr>
        <w:t xml:space="preserve">Fee </w:t>
      </w:r>
      <w:r w:rsidR="00D51452" w:rsidRPr="00974A78">
        <w:rPr>
          <w:rFonts w:cs="Times New Roman"/>
          <w:bCs w:val="0"/>
          <w:szCs w:val="20"/>
        </w:rPr>
        <w:t>Waiver</w:t>
      </w:r>
      <w:r w:rsidR="00F36316" w:rsidRPr="00974A78">
        <w:rPr>
          <w:rFonts w:cs="Times New Roman"/>
          <w:bCs w:val="0"/>
          <w:szCs w:val="20"/>
        </w:rPr>
        <w:t>) Declaration 20</w:t>
      </w:r>
      <w:r w:rsidR="00196FE2" w:rsidRPr="00974A78">
        <w:rPr>
          <w:rFonts w:cs="Times New Roman"/>
          <w:bCs w:val="0"/>
          <w:szCs w:val="20"/>
        </w:rPr>
        <w:t>20</w:t>
      </w:r>
      <w:r w:rsidR="00F36316" w:rsidRPr="00974A78">
        <w:rPr>
          <w:rFonts w:cs="Times New Roman"/>
          <w:bCs w:val="0"/>
          <w:szCs w:val="20"/>
        </w:rPr>
        <w:t xml:space="preserve"> </w:t>
      </w:r>
    </w:p>
    <w:p w14:paraId="51E4F411" w14:textId="43383888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BD6BBC">
        <w:rPr>
          <w:rFonts w:ascii="Arial" w:eastAsia="Times New Roman" w:hAnsi="Arial" w:cs="Arial"/>
          <w:b/>
          <w:bCs/>
          <w:sz w:val="24"/>
          <w:szCs w:val="20"/>
        </w:rPr>
        <w:t>45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18B41882" w14:textId="29793EDA" w:rsidR="00F36316" w:rsidRPr="00974A78" w:rsidRDefault="00196FE2" w:rsidP="00974A78">
      <w:pPr>
        <w:pStyle w:val="CoverActName"/>
        <w:spacing w:before="320" w:after="0"/>
        <w:rPr>
          <w:bCs w:val="0"/>
          <w:sz w:val="20"/>
          <w:szCs w:val="20"/>
        </w:rPr>
      </w:pPr>
      <w:r w:rsidRPr="00974A78">
        <w:rPr>
          <w:bCs w:val="0"/>
          <w:sz w:val="20"/>
          <w:szCs w:val="20"/>
        </w:rPr>
        <w:t xml:space="preserve">Liquor </w:t>
      </w:r>
      <w:r w:rsidR="00550074" w:rsidRPr="00974A78">
        <w:rPr>
          <w:bCs w:val="0"/>
          <w:sz w:val="20"/>
          <w:szCs w:val="20"/>
        </w:rPr>
        <w:t>Regulation</w:t>
      </w:r>
      <w:r w:rsidRPr="00974A78">
        <w:rPr>
          <w:bCs w:val="0"/>
          <w:sz w:val="20"/>
          <w:szCs w:val="20"/>
        </w:rPr>
        <w:t xml:space="preserve"> 2010</w:t>
      </w:r>
      <w:r w:rsidR="00F36316" w:rsidRPr="00974A78">
        <w:rPr>
          <w:bCs w:val="0"/>
          <w:sz w:val="20"/>
          <w:szCs w:val="20"/>
        </w:rPr>
        <w:t>, s</w:t>
      </w:r>
      <w:r w:rsidR="00550074" w:rsidRPr="00974A78">
        <w:rPr>
          <w:bCs w:val="0"/>
          <w:sz w:val="20"/>
          <w:szCs w:val="20"/>
        </w:rPr>
        <w:t>35</w:t>
      </w:r>
      <w:r w:rsidR="00F36316" w:rsidRPr="00974A78">
        <w:rPr>
          <w:bCs w:val="0"/>
          <w:sz w:val="20"/>
          <w:szCs w:val="20"/>
        </w:rPr>
        <w:t xml:space="preserve"> (</w:t>
      </w:r>
      <w:r w:rsidR="00550074" w:rsidRPr="00974A78">
        <w:rPr>
          <w:bCs w:val="0"/>
          <w:sz w:val="20"/>
          <w:szCs w:val="20"/>
        </w:rPr>
        <w:t xml:space="preserve">Waiver of licence and permit fees – public health emergency – </w:t>
      </w:r>
      <w:bookmarkStart w:id="1" w:name="_Hlk36287000"/>
      <w:r w:rsidR="00550074" w:rsidRPr="00974A78">
        <w:rPr>
          <w:bCs w:val="0"/>
          <w:sz w:val="20"/>
          <w:szCs w:val="20"/>
        </w:rPr>
        <w:t>Act,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s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229</w:t>
      </w:r>
      <w:r w:rsidR="00E23F4A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(2)</w:t>
      </w:r>
      <w:r w:rsidR="00D41299" w:rsidRPr="00974A78">
        <w:rPr>
          <w:bCs w:val="0"/>
          <w:sz w:val="20"/>
          <w:szCs w:val="20"/>
        </w:rPr>
        <w:t> </w:t>
      </w:r>
      <w:r w:rsidR="00550074" w:rsidRPr="00974A78">
        <w:rPr>
          <w:bCs w:val="0"/>
          <w:sz w:val="20"/>
          <w:szCs w:val="20"/>
        </w:rPr>
        <w:t>(d)</w:t>
      </w:r>
      <w:bookmarkEnd w:id="1"/>
      <w:r w:rsidR="00F36316" w:rsidRPr="00974A78">
        <w:rPr>
          <w:bCs w:val="0"/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36BB5283" w14:textId="77777777" w:rsidR="00974A78" w:rsidRPr="00974A78" w:rsidRDefault="00974A78" w:rsidP="00974A78"/>
    <w:p w14:paraId="7F477A98" w14:textId="674E426A" w:rsidR="000D3C10" w:rsidRDefault="000D3C10" w:rsidP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6023AA">
        <w:rPr>
          <w:rFonts w:ascii="Times New Roman" w:hAnsi="Times New Roman" w:cs="Times New Roman"/>
          <w:i/>
          <w:iCs/>
          <w:sz w:val="24"/>
          <w:szCs w:val="24"/>
        </w:rPr>
        <w:t>Liquor (Public Health Emergency—</w:t>
      </w:r>
      <w:r w:rsidR="005D18CF">
        <w:rPr>
          <w:rFonts w:ascii="Times New Roman" w:hAnsi="Times New Roman" w:cs="Times New Roman"/>
          <w:i/>
          <w:iCs/>
          <w:sz w:val="24"/>
          <w:szCs w:val="24"/>
        </w:rPr>
        <w:t>Licence</w:t>
      </w:r>
      <w:r w:rsidR="00253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23AA">
        <w:rPr>
          <w:rFonts w:ascii="Times New Roman" w:hAnsi="Times New Roman" w:cs="Times New Roman"/>
          <w:i/>
          <w:iCs/>
          <w:sz w:val="24"/>
          <w:szCs w:val="24"/>
        </w:rPr>
        <w:t>Fee Waiver) Declaration 2020</w:t>
      </w:r>
      <w:r w:rsidR="006023AA">
        <w:rPr>
          <w:rFonts w:ascii="Times New Roman" w:hAnsi="Times New Roman" w:cs="Times New Roman"/>
          <w:sz w:val="24"/>
          <w:szCs w:val="24"/>
        </w:rPr>
        <w:t>.</w:t>
      </w:r>
    </w:p>
    <w:p w14:paraId="297538AA" w14:textId="77777777" w:rsidR="006023AA" w:rsidRDefault="006023AA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4F317D" w14:textId="050DD8EC" w:rsidR="00F04F62" w:rsidRDefault="00206E9F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</w:p>
    <w:p w14:paraId="61C52379" w14:textId="77777777" w:rsidR="00417A21" w:rsidRDefault="00417A21" w:rsidP="00A8216C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75730EDE" w:rsidR="00206E9F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liquor licences and permits are determined by the Minister under section 227 of the Act. 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2019</w:t>
      </w:r>
      <w:r>
        <w:rPr>
          <w:rFonts w:ascii="Times New Roman" w:hAnsi="Times New Roman" w:cs="Times New Roman"/>
          <w:sz w:val="24"/>
          <w:szCs w:val="24"/>
        </w:rPr>
        <w:t xml:space="preserve"> [DI2019-159] (the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007D31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6BD3F5" w14:textId="288584D9" w:rsidR="00206E9F" w:rsidRPr="00DF1E57" w:rsidRDefault="00206E9F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</w:t>
      </w:r>
      <w:r w:rsidR="00A60E69" w:rsidRPr="00DF1E57">
        <w:rPr>
          <w:rFonts w:ascii="Times New Roman" w:hAnsi="Times New Roman" w:cs="Times New Roman"/>
          <w:sz w:val="24"/>
          <w:szCs w:val="24"/>
        </w:rPr>
        <w:t>section 229(2)(d), a regulation may make provision in relation to the circumstances in which the commissioner may waive or reduce fees.</w:t>
      </w:r>
    </w:p>
    <w:p w14:paraId="61FB32E3" w14:textId="77777777" w:rsidR="00007D31" w:rsidRDefault="00007D3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6CF930B" w14:textId="0D61943F" w:rsidR="005D18CF" w:rsidRPr="00DF1E57" w:rsidRDefault="00FC25BE" w:rsidP="005D18C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With this </w:t>
      </w:r>
      <w:r w:rsidR="00A60E69" w:rsidRPr="00DF1E57">
        <w:rPr>
          <w:rFonts w:ascii="Times New Roman" w:hAnsi="Times New Roman" w:cs="Times New Roman"/>
          <w:sz w:val="24"/>
          <w:szCs w:val="24"/>
        </w:rPr>
        <w:t>instrument</w:t>
      </w:r>
      <w:r w:rsidRPr="00DF1E57">
        <w:rPr>
          <w:rFonts w:ascii="Times New Roman" w:hAnsi="Times New Roman" w:cs="Times New Roman"/>
          <w:sz w:val="24"/>
          <w:szCs w:val="24"/>
        </w:rPr>
        <w:t>,</w:t>
      </w:r>
      <w:r w:rsidR="00A60E69" w:rsidRPr="00DF1E57">
        <w:rPr>
          <w:rFonts w:ascii="Times New Roman" w:hAnsi="Times New Roman" w:cs="Times New Roman"/>
          <w:sz w:val="24"/>
          <w:szCs w:val="24"/>
        </w:rPr>
        <w:t xml:space="preserve"> the commissioner waives 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fees payable </w:t>
      </w:r>
      <w:r w:rsidR="005D18CF" w:rsidRPr="00DF1E57">
        <w:rPr>
          <w:rFonts w:ascii="Times New Roman" w:hAnsi="Times New Roman" w:cs="Times New Roman"/>
          <w:sz w:val="24"/>
          <w:szCs w:val="24"/>
        </w:rPr>
        <w:t>for the following liquor licences listed in the Fees Determination:</w:t>
      </w:r>
    </w:p>
    <w:p w14:paraId="1449131F" w14:textId="05D7E092" w:rsidR="005D18CF" w:rsidRPr="00DF1E57" w:rsidRDefault="005D18CF" w:rsidP="005D18C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On licences listed at items 501 (1) to (3);</w:t>
      </w:r>
      <w:r w:rsidRPr="005D18CF">
        <w:rPr>
          <w:rFonts w:ascii="Times New Roman" w:hAnsi="Times New Roman" w:cs="Times New Roman"/>
          <w:sz w:val="24"/>
          <w:szCs w:val="24"/>
        </w:rPr>
        <w:t xml:space="preserve"> </w:t>
      </w:r>
      <w:r w:rsidRPr="00DF1E57">
        <w:rPr>
          <w:rFonts w:ascii="Times New Roman" w:hAnsi="Times New Roman" w:cs="Times New Roman"/>
          <w:sz w:val="24"/>
          <w:szCs w:val="24"/>
        </w:rPr>
        <w:t>and</w:t>
      </w:r>
    </w:p>
    <w:p w14:paraId="526F4522" w14:textId="7808A8B4" w:rsidR="005D18CF" w:rsidRPr="00DF1E57" w:rsidRDefault="005D18CF" w:rsidP="005D18C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Off licences listed at items 501 (4) (a) to (e)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40CE965" w:rsidR="002536C7" w:rsidRPr="00DF1E57" w:rsidRDefault="002536C7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32033973" w:rsidR="001C237A" w:rsidRPr="00DF1E57" w:rsidRDefault="007C659F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waivers are made in response to the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2"/>
      <w:r w:rsidRPr="00DF1E57">
        <w:rPr>
          <w:rFonts w:ascii="Times New Roman" w:hAnsi="Times New Roman" w:cs="Times New Roman"/>
          <w:sz w:val="24"/>
          <w:szCs w:val="24"/>
        </w:rPr>
        <w:t xml:space="preserve">. The closure direction, made on 23 March 2020 directed the closure of </w:t>
      </w:r>
    </w:p>
    <w:p w14:paraId="75372C8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Businesses that supply liquor for consumption ON the premises but not including any part of those businesses that sell liquor for consumption OFF the premises as defined by the </w:t>
      </w:r>
      <w:r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hotels, whether licensed or unlicensed, but not to the extent that they provide accommodation, takeaway meals or a meal delivery service, or a bottleshop;</w:t>
      </w:r>
    </w:p>
    <w:p w14:paraId="0CCF643D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77777777" w:rsidR="007C659F" w:rsidRPr="00DF1E57" w:rsidRDefault="007C659F" w:rsidP="00A8216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restaurants or cafes, other to than to the extent that they provide takeaway meals or a meal delivery services.</w:t>
      </w:r>
    </w:p>
    <w:p w14:paraId="4B873D46" w14:textId="77777777" w:rsidR="00D45BDB" w:rsidRDefault="00D45BDB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4B593611" w:rsidR="007C659F" w:rsidRPr="00DF1E57" w:rsidRDefault="007C659F" w:rsidP="00A8216C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(2019-nCoV).</w:t>
      </w:r>
    </w:p>
    <w:p w14:paraId="0E4AB8CD" w14:textId="6C69B989" w:rsidR="00206E9F" w:rsidRDefault="00E02D39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The table at Schedule 1 of the instrument sets out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the fee in the Fees Determination waived, the period during which the waiver operates, and the conditions of the waiver. </w:t>
      </w:r>
    </w:p>
    <w:p w14:paraId="2EFFA765" w14:textId="4797C4D9" w:rsidR="00007D31" w:rsidRDefault="004F55FF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7C18FB">
        <w:rPr>
          <w:rFonts w:ascii="Times New Roman" w:hAnsi="Times New Roman" w:cs="Times New Roman"/>
          <w:sz w:val="24"/>
          <w:szCs w:val="24"/>
        </w:rPr>
        <w:t xml:space="preserve">is taken to have commenced </w:t>
      </w:r>
      <w:r w:rsidR="008433D1">
        <w:rPr>
          <w:rFonts w:ascii="Times New Roman" w:hAnsi="Times New Roman" w:cs="Times New Roman"/>
          <w:sz w:val="24"/>
          <w:szCs w:val="24"/>
        </w:rPr>
        <w:t xml:space="preserve">on </w:t>
      </w:r>
      <w:r w:rsidR="005D18CF">
        <w:rPr>
          <w:rFonts w:ascii="Times New Roman" w:hAnsi="Times New Roman" w:cs="Times New Roman"/>
          <w:sz w:val="24"/>
          <w:szCs w:val="24"/>
        </w:rPr>
        <w:t>1 April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D45BDB">
        <w:rPr>
          <w:rFonts w:ascii="Times New Roman" w:hAnsi="Times New Roman" w:cs="Times New Roman"/>
          <w:sz w:val="24"/>
          <w:szCs w:val="24"/>
        </w:rPr>
        <w:t>The r</w:t>
      </w:r>
      <w:r w:rsidR="007C18FB">
        <w:rPr>
          <w:rFonts w:ascii="Times New Roman" w:hAnsi="Times New Roman" w:cs="Times New Roman"/>
          <w:sz w:val="24"/>
          <w:szCs w:val="24"/>
        </w:rPr>
        <w:t xml:space="preserve">etrospective commencement of </w:t>
      </w:r>
      <w:r w:rsidR="00C974C1">
        <w:rPr>
          <w:rFonts w:ascii="Times New Roman" w:hAnsi="Times New Roman" w:cs="Times New Roman"/>
          <w:sz w:val="24"/>
          <w:szCs w:val="24"/>
        </w:rPr>
        <w:t xml:space="preserve">this </w:t>
      </w:r>
      <w:r w:rsidR="00D45BDB">
        <w:rPr>
          <w:rFonts w:ascii="Times New Roman" w:hAnsi="Times New Roman" w:cs="Times New Roman"/>
          <w:sz w:val="24"/>
          <w:szCs w:val="24"/>
        </w:rPr>
        <w:t xml:space="preserve">declaration </w:t>
      </w:r>
      <w:r w:rsidR="00C974C1">
        <w:rPr>
          <w:rFonts w:ascii="Times New Roman" w:hAnsi="Times New Roman" w:cs="Times New Roman"/>
          <w:sz w:val="24"/>
          <w:szCs w:val="24"/>
        </w:rPr>
        <w:t>is non-prejudicial</w:t>
      </w:r>
      <w:r w:rsidR="00D45BDB">
        <w:rPr>
          <w:rFonts w:ascii="Times New Roman" w:hAnsi="Times New Roman" w:cs="Times New Roman"/>
          <w:sz w:val="24"/>
          <w:szCs w:val="24"/>
        </w:rPr>
        <w:t xml:space="preserve"> and is necessary to allow waivers to </w:t>
      </w:r>
      <w:r w:rsidR="00C974C1">
        <w:rPr>
          <w:rFonts w:ascii="Times New Roman" w:hAnsi="Times New Roman" w:cs="Times New Roman"/>
          <w:sz w:val="24"/>
          <w:szCs w:val="24"/>
        </w:rPr>
        <w:t xml:space="preserve">mitigate the adverse financial impact of the closure declaration on </w:t>
      </w:r>
      <w:r w:rsidR="00D45BDB">
        <w:rPr>
          <w:rFonts w:ascii="Times New Roman" w:hAnsi="Times New Roman" w:cs="Times New Roman"/>
          <w:sz w:val="24"/>
          <w:szCs w:val="24"/>
        </w:rPr>
        <w:t>businesses carried on under the licence</w:t>
      </w:r>
      <w:r w:rsidR="00C974C1">
        <w:rPr>
          <w:rFonts w:ascii="Times New Roman" w:hAnsi="Times New Roman" w:cs="Times New Roman"/>
          <w:sz w:val="24"/>
          <w:szCs w:val="24"/>
        </w:rPr>
        <w:t>.</w:t>
      </w:r>
    </w:p>
    <w:p w14:paraId="2E0ACAF2" w14:textId="77777777" w:rsidR="007C18FB" w:rsidRDefault="007C18FB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AC939C9" w:rsidR="00007D31" w:rsidRDefault="00007D31">
      <w:pPr>
        <w:rPr>
          <w:rFonts w:ascii="Arial" w:hAnsi="Arial" w:cs="Arial"/>
          <w:b/>
          <w:bCs/>
          <w:sz w:val="24"/>
          <w:szCs w:val="24"/>
        </w:rPr>
      </w:pP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C95F" w14:textId="77777777" w:rsidR="0008480B" w:rsidRDefault="0008480B" w:rsidP="00AD1133">
      <w:pPr>
        <w:spacing w:after="0" w:line="240" w:lineRule="auto"/>
      </w:pPr>
      <w:r>
        <w:separator/>
      </w:r>
    </w:p>
  </w:endnote>
  <w:endnote w:type="continuationSeparator" w:id="0">
    <w:p w14:paraId="24FF045E" w14:textId="77777777" w:rsidR="0008480B" w:rsidRDefault="0008480B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744A" w14:textId="77777777" w:rsidR="00D270CD" w:rsidRDefault="00D27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AFEB" w14:textId="3B45C64A" w:rsidR="00D270CD" w:rsidRPr="00D270CD" w:rsidRDefault="00D270CD" w:rsidP="00D270CD">
    <w:pPr>
      <w:pStyle w:val="Footer"/>
      <w:jc w:val="center"/>
      <w:rPr>
        <w:rFonts w:ascii="Arial" w:hAnsi="Arial" w:cs="Arial"/>
        <w:sz w:val="14"/>
      </w:rPr>
    </w:pPr>
    <w:r w:rsidRPr="00D270C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9130" w14:textId="77777777" w:rsidR="00D270CD" w:rsidRDefault="00D27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8B34" w14:textId="77777777" w:rsidR="0008480B" w:rsidRDefault="0008480B" w:rsidP="00AD1133">
      <w:pPr>
        <w:spacing w:after="0" w:line="240" w:lineRule="auto"/>
      </w:pPr>
      <w:r>
        <w:separator/>
      </w:r>
    </w:p>
  </w:footnote>
  <w:footnote w:type="continuationSeparator" w:id="0">
    <w:p w14:paraId="0F7CF40F" w14:textId="77777777" w:rsidR="0008480B" w:rsidRDefault="0008480B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39CC" w14:textId="77777777" w:rsidR="00D270CD" w:rsidRDefault="00D27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5E8A" w14:textId="77777777" w:rsidR="00D270CD" w:rsidRDefault="00D27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C5C5" w14:textId="77777777" w:rsidR="00D270CD" w:rsidRDefault="00D27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8480B"/>
    <w:rsid w:val="000D3C10"/>
    <w:rsid w:val="001026A8"/>
    <w:rsid w:val="001177F4"/>
    <w:rsid w:val="00125898"/>
    <w:rsid w:val="00150350"/>
    <w:rsid w:val="0016631D"/>
    <w:rsid w:val="00185BC2"/>
    <w:rsid w:val="00196A6A"/>
    <w:rsid w:val="00196FE2"/>
    <w:rsid w:val="001B515B"/>
    <w:rsid w:val="001C237A"/>
    <w:rsid w:val="001E211C"/>
    <w:rsid w:val="001E6085"/>
    <w:rsid w:val="002066DD"/>
    <w:rsid w:val="00206E9F"/>
    <w:rsid w:val="0023410E"/>
    <w:rsid w:val="00236060"/>
    <w:rsid w:val="002536C7"/>
    <w:rsid w:val="00267945"/>
    <w:rsid w:val="00281F7B"/>
    <w:rsid w:val="002823F1"/>
    <w:rsid w:val="002C421F"/>
    <w:rsid w:val="002F44D4"/>
    <w:rsid w:val="00373732"/>
    <w:rsid w:val="00376FD2"/>
    <w:rsid w:val="003B14F0"/>
    <w:rsid w:val="00417A21"/>
    <w:rsid w:val="00431C43"/>
    <w:rsid w:val="00444EC7"/>
    <w:rsid w:val="00465D5A"/>
    <w:rsid w:val="00466FB5"/>
    <w:rsid w:val="004F55FF"/>
    <w:rsid w:val="00523760"/>
    <w:rsid w:val="00550074"/>
    <w:rsid w:val="005658AE"/>
    <w:rsid w:val="00573BE5"/>
    <w:rsid w:val="00576839"/>
    <w:rsid w:val="00585535"/>
    <w:rsid w:val="005A1311"/>
    <w:rsid w:val="005A7466"/>
    <w:rsid w:val="005D18CF"/>
    <w:rsid w:val="006023AA"/>
    <w:rsid w:val="006233C7"/>
    <w:rsid w:val="006242A3"/>
    <w:rsid w:val="00656415"/>
    <w:rsid w:val="006902B6"/>
    <w:rsid w:val="006B3E3D"/>
    <w:rsid w:val="006D130A"/>
    <w:rsid w:val="007044AC"/>
    <w:rsid w:val="00707CCD"/>
    <w:rsid w:val="0071708D"/>
    <w:rsid w:val="007325CA"/>
    <w:rsid w:val="00766E77"/>
    <w:rsid w:val="007814AA"/>
    <w:rsid w:val="007C18FB"/>
    <w:rsid w:val="007C659F"/>
    <w:rsid w:val="007F052B"/>
    <w:rsid w:val="008433D1"/>
    <w:rsid w:val="00893059"/>
    <w:rsid w:val="008E578B"/>
    <w:rsid w:val="008F1273"/>
    <w:rsid w:val="00930F47"/>
    <w:rsid w:val="0095329C"/>
    <w:rsid w:val="00961C4F"/>
    <w:rsid w:val="00974A78"/>
    <w:rsid w:val="00A155BD"/>
    <w:rsid w:val="00A37CDA"/>
    <w:rsid w:val="00A60E69"/>
    <w:rsid w:val="00A70573"/>
    <w:rsid w:val="00A8216C"/>
    <w:rsid w:val="00A859D1"/>
    <w:rsid w:val="00AA5B2D"/>
    <w:rsid w:val="00AB3B11"/>
    <w:rsid w:val="00AC609F"/>
    <w:rsid w:val="00AD1133"/>
    <w:rsid w:val="00AF4CF9"/>
    <w:rsid w:val="00B32902"/>
    <w:rsid w:val="00B416D6"/>
    <w:rsid w:val="00B41854"/>
    <w:rsid w:val="00B51841"/>
    <w:rsid w:val="00B54819"/>
    <w:rsid w:val="00B84F50"/>
    <w:rsid w:val="00BC64A3"/>
    <w:rsid w:val="00BD6BBC"/>
    <w:rsid w:val="00BE5479"/>
    <w:rsid w:val="00C86C0D"/>
    <w:rsid w:val="00C974C1"/>
    <w:rsid w:val="00CC35BB"/>
    <w:rsid w:val="00CD0695"/>
    <w:rsid w:val="00CE297A"/>
    <w:rsid w:val="00D1313D"/>
    <w:rsid w:val="00D270CD"/>
    <w:rsid w:val="00D34311"/>
    <w:rsid w:val="00D41299"/>
    <w:rsid w:val="00D45BDB"/>
    <w:rsid w:val="00D51452"/>
    <w:rsid w:val="00D57D79"/>
    <w:rsid w:val="00D75D26"/>
    <w:rsid w:val="00D86CC1"/>
    <w:rsid w:val="00DD3A7B"/>
    <w:rsid w:val="00DF1E57"/>
    <w:rsid w:val="00E02D39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C25BE"/>
    <w:rsid w:val="00FD08D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6D69-2DD6-42D8-A0E7-7ED67B0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2289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2020-04-20T06:10:00Z</dcterms:created>
  <dcterms:modified xsi:type="dcterms:W3CDTF">2020-04-20T06:10:00Z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