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2BDBF44A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20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DFB10D" w14:textId="2C144978" w:rsidR="005C05DD" w:rsidRPr="005C05DD" w:rsidRDefault="005C05DD" w:rsidP="005C05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05DD">
        <w:rPr>
          <w:rFonts w:ascii="Arial" w:hAnsi="Arial" w:cs="Arial"/>
          <w:b/>
          <w:bCs/>
          <w:sz w:val="28"/>
          <w:szCs w:val="28"/>
        </w:rPr>
        <w:t>Government Agencies (Land Acquisition</w:t>
      </w:r>
    </w:p>
    <w:p w14:paraId="69918477" w14:textId="071C4DF8" w:rsidR="00741C4A" w:rsidRPr="005C05DD" w:rsidRDefault="005C05DD" w:rsidP="005C05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05DD">
        <w:rPr>
          <w:rFonts w:ascii="Arial" w:hAnsi="Arial" w:cs="Arial"/>
          <w:b/>
          <w:bCs/>
          <w:sz w:val="28"/>
          <w:szCs w:val="28"/>
        </w:rPr>
        <w:t xml:space="preserve">Reporting) Amendment Regulation 2020 (No </w:t>
      </w:r>
      <w:r w:rsidR="00BE6B00">
        <w:rPr>
          <w:rFonts w:ascii="Arial" w:hAnsi="Arial" w:cs="Arial"/>
          <w:b/>
          <w:bCs/>
          <w:sz w:val="28"/>
          <w:szCs w:val="28"/>
        </w:rPr>
        <w:t>1</w:t>
      </w:r>
      <w:r w:rsidRPr="005C05DD">
        <w:rPr>
          <w:rFonts w:ascii="Arial" w:hAnsi="Arial" w:cs="Arial"/>
          <w:b/>
          <w:bCs/>
          <w:sz w:val="28"/>
          <w:szCs w:val="28"/>
        </w:rPr>
        <w:t>)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2D8094BF" w:rsidR="00BB387E" w:rsidRPr="00BB387E" w:rsidRDefault="00BF353B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SL2020-16</w:t>
      </w:r>
    </w:p>
    <w:p w14:paraId="0D26BB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E7A2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35350C7" w:rsidR="00BB387E" w:rsidRPr="00BB387E" w:rsidRDefault="00094F16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Circulated</w:t>
      </w:r>
      <w:r w:rsidR="00BB387E" w:rsidRPr="00BB387E">
        <w:rPr>
          <w:rFonts w:ascii="Arial" w:hAnsi="Arial" w:cs="Arial"/>
          <w:b/>
          <w:bCs/>
          <w:sz w:val="24"/>
          <w:szCs w:val="24"/>
        </w:rPr>
        <w:t xml:space="preserve"> by</w:t>
      </w:r>
      <w:r>
        <w:rPr>
          <w:rFonts w:ascii="Arial" w:hAnsi="Arial" w:cs="Arial"/>
          <w:b/>
          <w:bCs/>
          <w:sz w:val="24"/>
          <w:szCs w:val="24"/>
        </w:rPr>
        <w:t xml:space="preserve"> authority of</w:t>
      </w:r>
    </w:p>
    <w:p w14:paraId="5BBE2D1D" w14:textId="59C30DF5" w:rsidR="00BB387E" w:rsidRPr="00BB387E" w:rsidRDefault="005C05DD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Mick Gentleman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3E611A33" w14:textId="3D7A5CF2" w:rsidR="00BE6B00" w:rsidRPr="005C05DD" w:rsidRDefault="00BE6B00" w:rsidP="00BE6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05DD">
        <w:rPr>
          <w:rFonts w:ascii="Arial" w:hAnsi="Arial" w:cs="Arial"/>
          <w:b/>
          <w:bCs/>
          <w:sz w:val="28"/>
          <w:szCs w:val="28"/>
        </w:rPr>
        <w:lastRenderedPageBreak/>
        <w:t>Government Agencies (Land Acquisition</w:t>
      </w:r>
    </w:p>
    <w:p w14:paraId="2E36E6ED" w14:textId="1A4C95D2" w:rsidR="00BE6B00" w:rsidRPr="005C05DD" w:rsidRDefault="00BE6B00" w:rsidP="00BE6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05DD">
        <w:rPr>
          <w:rFonts w:ascii="Arial" w:hAnsi="Arial" w:cs="Arial"/>
          <w:b/>
          <w:bCs/>
          <w:sz w:val="28"/>
          <w:szCs w:val="28"/>
        </w:rPr>
        <w:t xml:space="preserve">Reporting) Amendment Regulation 2020 (No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5C05DD">
        <w:rPr>
          <w:rFonts w:ascii="Arial" w:hAnsi="Arial" w:cs="Arial"/>
          <w:b/>
          <w:bCs/>
          <w:sz w:val="28"/>
          <w:szCs w:val="28"/>
        </w:rPr>
        <w:t>)</w:t>
      </w:r>
    </w:p>
    <w:p w14:paraId="7BD217BF" w14:textId="0B45E81E" w:rsidR="00790FE4" w:rsidRDefault="00790FE4" w:rsidP="00BE6B00">
      <w:pPr>
        <w:pStyle w:val="Heading1"/>
        <w:jc w:val="center"/>
        <w:rPr>
          <w:rFonts w:cs="Arial"/>
          <w:b w:val="0"/>
          <w:sz w:val="24"/>
          <w:szCs w:val="24"/>
          <w:highlight w:val="yellow"/>
        </w:rPr>
      </w:pPr>
    </w:p>
    <w:p w14:paraId="3F20865D" w14:textId="77777777" w:rsidR="0052127F" w:rsidRPr="00BB387E" w:rsidRDefault="0052127F" w:rsidP="007F3D56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29C29316" w14:textId="5BED94D7" w:rsidR="007B6A78" w:rsidRDefault="003323FA" w:rsidP="008C225D">
      <w:pPr>
        <w:pStyle w:val="Heading2"/>
      </w:pPr>
      <w:r>
        <w:t xml:space="preserve">OVERVIEW OF THE </w:t>
      </w:r>
      <w:r w:rsidR="00BE6B00">
        <w:t>REGULATION</w:t>
      </w:r>
    </w:p>
    <w:p w14:paraId="549B7D11" w14:textId="6E7748D7" w:rsidR="005C05DD" w:rsidRDefault="005C05DD" w:rsidP="005C05D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 xml:space="preserve">The </w:t>
      </w:r>
      <w:r w:rsidRPr="00BE6B00">
        <w:rPr>
          <w:rFonts w:cs="Calibri"/>
          <w:i/>
          <w:iCs/>
          <w:sz w:val="24"/>
          <w:szCs w:val="24"/>
          <w:lang w:eastAsia="en-AU"/>
        </w:rPr>
        <w:t>Government Agencies (Land Acquisition Reporting) Amendment Regulation 2020</w:t>
      </w:r>
      <w:r w:rsidRPr="00BF353B">
        <w:rPr>
          <w:rFonts w:cs="Calibri"/>
          <w:i/>
          <w:iCs/>
          <w:sz w:val="24"/>
          <w:szCs w:val="24"/>
          <w:lang w:eastAsia="en-AU"/>
        </w:rPr>
        <w:t xml:space="preserve"> </w:t>
      </w:r>
      <w:r w:rsidR="004C0265" w:rsidRPr="00BF353B">
        <w:rPr>
          <w:rFonts w:cs="Calibri"/>
          <w:i/>
          <w:iCs/>
          <w:sz w:val="24"/>
          <w:szCs w:val="24"/>
          <w:lang w:eastAsia="en-AU"/>
        </w:rPr>
        <w:t xml:space="preserve">(No 1) </w:t>
      </w:r>
      <w:r>
        <w:rPr>
          <w:rFonts w:cs="Calibri"/>
          <w:sz w:val="24"/>
          <w:szCs w:val="24"/>
          <w:lang w:eastAsia="en-AU"/>
        </w:rPr>
        <w:t>(the Regulation) will remove the requirement for t</w:t>
      </w:r>
      <w:r w:rsidR="004C0265">
        <w:rPr>
          <w:rFonts w:cs="Calibri"/>
          <w:sz w:val="24"/>
          <w:szCs w:val="24"/>
          <w:lang w:eastAsia="en-AU"/>
        </w:rPr>
        <w:t xml:space="preserve">he </w:t>
      </w:r>
      <w:r>
        <w:rPr>
          <w:rFonts w:cs="Calibri"/>
          <w:sz w:val="24"/>
          <w:szCs w:val="24"/>
          <w:lang w:eastAsia="en-AU"/>
        </w:rPr>
        <w:t>publi</w:t>
      </w:r>
      <w:r w:rsidR="004C0265">
        <w:rPr>
          <w:rFonts w:cs="Calibri"/>
          <w:sz w:val="24"/>
          <w:szCs w:val="24"/>
          <w:lang w:eastAsia="en-AU"/>
        </w:rPr>
        <w:t xml:space="preserve">cation of </w:t>
      </w:r>
      <w:r>
        <w:rPr>
          <w:rFonts w:cs="Calibri"/>
          <w:sz w:val="24"/>
          <w:szCs w:val="24"/>
          <w:lang w:eastAsia="en-AU"/>
        </w:rPr>
        <w:t xml:space="preserve">information </w:t>
      </w:r>
      <w:r w:rsidR="004C0265">
        <w:rPr>
          <w:rFonts w:cs="Calibri"/>
          <w:sz w:val="24"/>
          <w:szCs w:val="24"/>
          <w:lang w:eastAsia="en-AU"/>
        </w:rPr>
        <w:t>about</w:t>
      </w:r>
      <w:r>
        <w:rPr>
          <w:rFonts w:cs="Calibri"/>
          <w:sz w:val="24"/>
          <w:szCs w:val="24"/>
          <w:lang w:eastAsia="en-AU"/>
        </w:rPr>
        <w:t xml:space="preserve"> </w:t>
      </w:r>
      <w:r w:rsidR="004C0265">
        <w:rPr>
          <w:rFonts w:cs="Calibri"/>
          <w:sz w:val="24"/>
          <w:szCs w:val="24"/>
          <w:lang w:eastAsia="en-AU"/>
        </w:rPr>
        <w:t xml:space="preserve">Government </w:t>
      </w:r>
      <w:r>
        <w:rPr>
          <w:rFonts w:cs="Calibri"/>
          <w:sz w:val="24"/>
          <w:szCs w:val="24"/>
          <w:lang w:eastAsia="en-AU"/>
        </w:rPr>
        <w:t>acquisition</w:t>
      </w:r>
      <w:r w:rsidR="004C0265">
        <w:rPr>
          <w:rFonts w:cs="Calibri"/>
          <w:sz w:val="24"/>
          <w:szCs w:val="24"/>
          <w:lang w:eastAsia="en-AU"/>
        </w:rPr>
        <w:t>s of</w:t>
      </w:r>
      <w:r>
        <w:rPr>
          <w:rFonts w:cs="Calibri"/>
          <w:sz w:val="24"/>
          <w:szCs w:val="24"/>
          <w:lang w:eastAsia="en-AU"/>
        </w:rPr>
        <w:t xml:space="preserve"> </w:t>
      </w:r>
      <w:r w:rsidR="00F7087E">
        <w:rPr>
          <w:rFonts w:cs="Calibri"/>
          <w:sz w:val="24"/>
          <w:szCs w:val="24"/>
          <w:lang w:eastAsia="en-AU"/>
        </w:rPr>
        <w:t xml:space="preserve">residential </w:t>
      </w:r>
      <w:r w:rsidR="004C0265">
        <w:rPr>
          <w:rFonts w:cs="Calibri"/>
          <w:sz w:val="24"/>
          <w:szCs w:val="24"/>
          <w:lang w:eastAsia="en-AU"/>
        </w:rPr>
        <w:t>properties made as part of the delivery of the</w:t>
      </w:r>
      <w:r>
        <w:rPr>
          <w:rFonts w:cs="Calibri"/>
          <w:sz w:val="24"/>
          <w:szCs w:val="24"/>
          <w:lang w:eastAsia="en-AU"/>
        </w:rPr>
        <w:t xml:space="preserve"> </w:t>
      </w:r>
      <w:r w:rsidR="004C0265">
        <w:rPr>
          <w:rFonts w:cs="Calibri"/>
          <w:sz w:val="24"/>
          <w:szCs w:val="24"/>
          <w:lang w:eastAsia="en-AU"/>
        </w:rPr>
        <w:t>L</w:t>
      </w:r>
      <w:r>
        <w:rPr>
          <w:rFonts w:cs="Calibri"/>
          <w:sz w:val="24"/>
          <w:szCs w:val="24"/>
          <w:lang w:eastAsia="en-AU"/>
        </w:rPr>
        <w:t xml:space="preserve">oose </w:t>
      </w:r>
      <w:r w:rsidR="004C0265">
        <w:rPr>
          <w:rFonts w:cs="Calibri"/>
          <w:sz w:val="24"/>
          <w:szCs w:val="24"/>
          <w:lang w:eastAsia="en-AU"/>
        </w:rPr>
        <w:t>F</w:t>
      </w:r>
      <w:r>
        <w:rPr>
          <w:rFonts w:cs="Calibri"/>
          <w:sz w:val="24"/>
          <w:szCs w:val="24"/>
          <w:lang w:eastAsia="en-AU"/>
        </w:rPr>
        <w:t xml:space="preserve">ill </w:t>
      </w:r>
      <w:r w:rsidR="004C0265">
        <w:rPr>
          <w:rFonts w:cs="Calibri"/>
          <w:sz w:val="24"/>
          <w:szCs w:val="24"/>
          <w:lang w:eastAsia="en-AU"/>
        </w:rPr>
        <w:t>A</w:t>
      </w:r>
      <w:r>
        <w:rPr>
          <w:rFonts w:cs="Calibri"/>
          <w:sz w:val="24"/>
          <w:szCs w:val="24"/>
          <w:lang w:eastAsia="en-AU"/>
        </w:rPr>
        <w:t xml:space="preserve">sbestos </w:t>
      </w:r>
      <w:r w:rsidR="004C0265">
        <w:rPr>
          <w:rFonts w:cs="Calibri"/>
          <w:sz w:val="24"/>
          <w:szCs w:val="24"/>
          <w:lang w:eastAsia="en-AU"/>
        </w:rPr>
        <w:t xml:space="preserve">Insulation  Eradication Scheme (the Scheme) </w:t>
      </w:r>
      <w:r w:rsidR="00BE6B00">
        <w:rPr>
          <w:rFonts w:cs="Calibri"/>
          <w:sz w:val="24"/>
          <w:szCs w:val="24"/>
          <w:lang w:eastAsia="en-AU"/>
        </w:rPr>
        <w:t xml:space="preserve">under the </w:t>
      </w:r>
      <w:r w:rsidR="00BE6B00" w:rsidRPr="00BE6B00">
        <w:rPr>
          <w:rFonts w:cs="Calibri"/>
          <w:i/>
          <w:iCs/>
          <w:sz w:val="24"/>
          <w:szCs w:val="24"/>
          <w:lang w:eastAsia="en-AU"/>
        </w:rPr>
        <w:t xml:space="preserve">Government Agencies (Land Acquisition Reporting) Act 2018 </w:t>
      </w:r>
      <w:r w:rsidR="00BE6B00">
        <w:rPr>
          <w:rFonts w:cs="Calibri"/>
          <w:sz w:val="24"/>
          <w:szCs w:val="24"/>
          <w:lang w:eastAsia="en-AU"/>
        </w:rPr>
        <w:t>(the Act)</w:t>
      </w:r>
      <w:r>
        <w:rPr>
          <w:rFonts w:cs="Calibri"/>
          <w:sz w:val="24"/>
          <w:szCs w:val="24"/>
          <w:lang w:eastAsia="en-AU"/>
        </w:rPr>
        <w:t xml:space="preserve">. </w:t>
      </w:r>
    </w:p>
    <w:p w14:paraId="20D24C29" w14:textId="77777777" w:rsidR="00BE6B00" w:rsidRDefault="00BE6B00" w:rsidP="005C05D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2C256563" w14:textId="219A9FBF" w:rsidR="005C05DD" w:rsidRDefault="005C05DD" w:rsidP="005C05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cs="Calibri"/>
          <w:sz w:val="24"/>
          <w:szCs w:val="24"/>
          <w:lang w:eastAsia="en-AU"/>
        </w:rPr>
        <w:t xml:space="preserve">This will support the privacy of homeowners participating in the Scheme </w:t>
      </w:r>
      <w:r w:rsidR="004C0265">
        <w:rPr>
          <w:rFonts w:cs="Calibri"/>
          <w:sz w:val="24"/>
          <w:szCs w:val="24"/>
          <w:lang w:eastAsia="en-AU"/>
        </w:rPr>
        <w:t xml:space="preserve">Affected Property </w:t>
      </w:r>
      <w:r>
        <w:rPr>
          <w:rFonts w:cs="Calibri"/>
          <w:sz w:val="24"/>
          <w:szCs w:val="24"/>
          <w:lang w:eastAsia="en-AU"/>
        </w:rPr>
        <w:t xml:space="preserve">Buyback Program and the </w:t>
      </w:r>
      <w:r w:rsidR="00BE6B00">
        <w:rPr>
          <w:rFonts w:cs="Calibri"/>
          <w:sz w:val="24"/>
          <w:szCs w:val="24"/>
          <w:lang w:eastAsia="en-AU"/>
        </w:rPr>
        <w:t>E</w:t>
      </w:r>
      <w:r w:rsidRPr="00BE6B00">
        <w:rPr>
          <w:rFonts w:cs="Calibri"/>
          <w:sz w:val="24"/>
          <w:szCs w:val="24"/>
          <w:lang w:eastAsia="en-AU"/>
        </w:rPr>
        <w:t xml:space="preserve">ligible </w:t>
      </w:r>
      <w:r w:rsidR="00BE6B00">
        <w:rPr>
          <w:rFonts w:cs="Calibri"/>
          <w:sz w:val="24"/>
          <w:szCs w:val="24"/>
          <w:lang w:eastAsia="en-AU"/>
        </w:rPr>
        <w:t>I</w:t>
      </w:r>
      <w:r w:rsidRPr="00BE6B00">
        <w:rPr>
          <w:rFonts w:cs="Calibri"/>
          <w:sz w:val="24"/>
          <w:szCs w:val="24"/>
          <w:lang w:eastAsia="en-AU"/>
        </w:rPr>
        <w:t xml:space="preserve">mpacted </w:t>
      </w:r>
      <w:r w:rsidR="00BE6B00">
        <w:rPr>
          <w:rFonts w:cs="Calibri"/>
          <w:sz w:val="24"/>
          <w:szCs w:val="24"/>
          <w:lang w:eastAsia="en-AU"/>
        </w:rPr>
        <w:t>P</w:t>
      </w:r>
      <w:r w:rsidRPr="00BE6B00">
        <w:rPr>
          <w:rFonts w:cs="Calibri"/>
          <w:sz w:val="24"/>
          <w:szCs w:val="24"/>
          <w:lang w:eastAsia="en-AU"/>
        </w:rPr>
        <w:t xml:space="preserve">roperty </w:t>
      </w:r>
      <w:r w:rsidR="00BE6B00">
        <w:rPr>
          <w:rFonts w:cs="Calibri"/>
          <w:sz w:val="24"/>
          <w:szCs w:val="24"/>
          <w:lang w:eastAsia="en-AU"/>
        </w:rPr>
        <w:t>B</w:t>
      </w:r>
      <w:r w:rsidRPr="00BE6B00">
        <w:rPr>
          <w:rFonts w:cs="Calibri"/>
          <w:sz w:val="24"/>
          <w:szCs w:val="24"/>
          <w:lang w:eastAsia="en-AU"/>
        </w:rPr>
        <w:t xml:space="preserve">uyback </w:t>
      </w:r>
      <w:r w:rsidR="00BE6B00">
        <w:rPr>
          <w:rFonts w:cs="Calibri"/>
          <w:sz w:val="24"/>
          <w:szCs w:val="24"/>
          <w:lang w:eastAsia="en-AU"/>
        </w:rPr>
        <w:t>P</w:t>
      </w:r>
      <w:r w:rsidRPr="00BE6B00">
        <w:rPr>
          <w:rFonts w:cs="Calibri"/>
          <w:sz w:val="24"/>
          <w:szCs w:val="24"/>
          <w:lang w:eastAsia="en-AU"/>
        </w:rPr>
        <w:t>rogram</w:t>
      </w:r>
      <w:r w:rsidR="00BE6B00">
        <w:rPr>
          <w:rFonts w:cs="Calibri"/>
          <w:sz w:val="24"/>
          <w:szCs w:val="24"/>
          <w:lang w:eastAsia="en-AU"/>
        </w:rPr>
        <w:t>.</w:t>
      </w:r>
      <w:r w:rsidRPr="00BE6B00">
        <w:rPr>
          <w:rFonts w:cs="Calibri"/>
          <w:sz w:val="24"/>
          <w:szCs w:val="24"/>
          <w:lang w:eastAsia="en-AU"/>
        </w:rPr>
        <w:t xml:space="preserve"> </w:t>
      </w:r>
    </w:p>
    <w:p w14:paraId="5D68C4DA" w14:textId="77777777" w:rsidR="005C05DD" w:rsidRDefault="005C05DD" w:rsidP="005C05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4477B9" w14:textId="7E4EB130" w:rsidR="00023B23" w:rsidRPr="00094F16" w:rsidRDefault="00503AAB" w:rsidP="00094F16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1918D628" w14:textId="77777777" w:rsidR="00C753C2" w:rsidRPr="00414921" w:rsidRDefault="00C753C2" w:rsidP="007D660F">
      <w:pPr>
        <w:rPr>
          <w:rFonts w:ascii="Arial" w:hAnsi="Arial" w:cs="Arial"/>
          <w:b/>
          <w:bCs/>
          <w:iCs/>
          <w:sz w:val="24"/>
          <w:szCs w:val="24"/>
        </w:rPr>
      </w:pPr>
      <w:r w:rsidRPr="00414921">
        <w:rPr>
          <w:rFonts w:ascii="Arial" w:hAnsi="Arial" w:cs="Arial"/>
          <w:b/>
          <w:bCs/>
          <w:iCs/>
          <w:sz w:val="24"/>
          <w:szCs w:val="24"/>
        </w:rPr>
        <w:t>Rights engaged</w:t>
      </w:r>
    </w:p>
    <w:p w14:paraId="74DC7764" w14:textId="159532CC" w:rsidR="00BE6B00" w:rsidRDefault="004823BD" w:rsidP="00BE6B0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Excluding the</w:t>
      </w:r>
      <w:r w:rsidR="00BE6B00" w:rsidRPr="00BE6B00">
        <w:rPr>
          <w:rFonts w:cs="Calibri"/>
          <w:sz w:val="24"/>
          <w:szCs w:val="24"/>
          <w:lang w:eastAsia="en-AU"/>
        </w:rPr>
        <w:t xml:space="preserve"> </w:t>
      </w:r>
      <w:r>
        <w:rPr>
          <w:rFonts w:cs="Calibri"/>
          <w:sz w:val="24"/>
          <w:szCs w:val="24"/>
          <w:lang w:eastAsia="en-AU"/>
        </w:rPr>
        <w:t>publication of</w:t>
      </w:r>
      <w:r w:rsidR="00BE6B00" w:rsidRPr="00BE6B00">
        <w:rPr>
          <w:rFonts w:cs="Calibri"/>
          <w:sz w:val="24"/>
          <w:szCs w:val="24"/>
          <w:lang w:eastAsia="en-AU"/>
        </w:rPr>
        <w:t xml:space="preserve"> information associated with land </w:t>
      </w:r>
      <w:r w:rsidR="00BE6B00">
        <w:rPr>
          <w:rFonts w:cs="Calibri"/>
          <w:sz w:val="24"/>
          <w:szCs w:val="24"/>
          <w:lang w:eastAsia="en-AU"/>
        </w:rPr>
        <w:t>transactions</w:t>
      </w:r>
      <w:r w:rsidR="00BE6B00" w:rsidRPr="00BE6B00">
        <w:rPr>
          <w:rFonts w:cs="Calibri"/>
          <w:sz w:val="24"/>
          <w:szCs w:val="24"/>
          <w:lang w:eastAsia="en-AU"/>
        </w:rPr>
        <w:t xml:space="preserve"> </w:t>
      </w:r>
      <w:r w:rsidR="001342EA">
        <w:rPr>
          <w:rFonts w:cs="Calibri"/>
          <w:sz w:val="24"/>
          <w:szCs w:val="24"/>
          <w:lang w:eastAsia="en-AU"/>
        </w:rPr>
        <w:t xml:space="preserve">undertaken </w:t>
      </w:r>
      <w:r w:rsidR="00BE6B00" w:rsidRPr="00BE6B00">
        <w:rPr>
          <w:rFonts w:cs="Calibri"/>
          <w:sz w:val="24"/>
          <w:szCs w:val="24"/>
          <w:lang w:eastAsia="en-AU"/>
        </w:rPr>
        <w:t xml:space="preserve">as part of the Scheme </w:t>
      </w:r>
      <w:r w:rsidR="004C0265">
        <w:rPr>
          <w:rFonts w:cs="Calibri"/>
          <w:sz w:val="24"/>
          <w:szCs w:val="24"/>
          <w:lang w:eastAsia="en-AU"/>
        </w:rPr>
        <w:t>Affected Property Buyback Program and the E</w:t>
      </w:r>
      <w:r w:rsidR="004C0265" w:rsidRPr="00BE6B00">
        <w:rPr>
          <w:rFonts w:cs="Calibri"/>
          <w:sz w:val="24"/>
          <w:szCs w:val="24"/>
          <w:lang w:eastAsia="en-AU"/>
        </w:rPr>
        <w:t xml:space="preserve">ligible </w:t>
      </w:r>
      <w:r w:rsidR="004C0265">
        <w:rPr>
          <w:rFonts w:cs="Calibri"/>
          <w:sz w:val="24"/>
          <w:szCs w:val="24"/>
          <w:lang w:eastAsia="en-AU"/>
        </w:rPr>
        <w:t>I</w:t>
      </w:r>
      <w:r w:rsidR="004C0265" w:rsidRPr="00BE6B00">
        <w:rPr>
          <w:rFonts w:cs="Calibri"/>
          <w:sz w:val="24"/>
          <w:szCs w:val="24"/>
          <w:lang w:eastAsia="en-AU"/>
        </w:rPr>
        <w:t xml:space="preserve">mpacted </w:t>
      </w:r>
      <w:r w:rsidR="004C0265">
        <w:rPr>
          <w:rFonts w:cs="Calibri"/>
          <w:sz w:val="24"/>
          <w:szCs w:val="24"/>
          <w:lang w:eastAsia="en-AU"/>
        </w:rPr>
        <w:t>P</w:t>
      </w:r>
      <w:r w:rsidR="004C0265" w:rsidRPr="00BE6B00">
        <w:rPr>
          <w:rFonts w:cs="Calibri"/>
          <w:sz w:val="24"/>
          <w:szCs w:val="24"/>
          <w:lang w:eastAsia="en-AU"/>
        </w:rPr>
        <w:t xml:space="preserve">roperty </w:t>
      </w:r>
      <w:r w:rsidR="004C0265">
        <w:rPr>
          <w:rFonts w:cs="Calibri"/>
          <w:sz w:val="24"/>
          <w:szCs w:val="24"/>
          <w:lang w:eastAsia="en-AU"/>
        </w:rPr>
        <w:t>B</w:t>
      </w:r>
      <w:r w:rsidR="004C0265" w:rsidRPr="00BE6B00">
        <w:rPr>
          <w:rFonts w:cs="Calibri"/>
          <w:sz w:val="24"/>
          <w:szCs w:val="24"/>
          <w:lang w:eastAsia="en-AU"/>
        </w:rPr>
        <w:t xml:space="preserve">uyback </w:t>
      </w:r>
      <w:r w:rsidR="004C0265">
        <w:rPr>
          <w:rFonts w:cs="Calibri"/>
          <w:sz w:val="24"/>
          <w:szCs w:val="24"/>
          <w:lang w:eastAsia="en-AU"/>
        </w:rPr>
        <w:t>P</w:t>
      </w:r>
      <w:r w:rsidR="004C0265" w:rsidRPr="00BE6B00">
        <w:rPr>
          <w:rFonts w:cs="Calibri"/>
          <w:sz w:val="24"/>
          <w:szCs w:val="24"/>
          <w:lang w:eastAsia="en-AU"/>
        </w:rPr>
        <w:t xml:space="preserve">rogram </w:t>
      </w:r>
      <w:r w:rsidR="004C0265">
        <w:rPr>
          <w:rFonts w:cs="Calibri"/>
          <w:sz w:val="24"/>
          <w:szCs w:val="24"/>
          <w:lang w:eastAsia="en-AU"/>
        </w:rPr>
        <w:t>advances</w:t>
      </w:r>
      <w:r w:rsidR="00BE6B00" w:rsidRPr="00BE6B00">
        <w:rPr>
          <w:rFonts w:cs="Calibri"/>
          <w:sz w:val="24"/>
          <w:szCs w:val="24"/>
          <w:lang w:eastAsia="en-AU"/>
        </w:rPr>
        <w:t xml:space="preserve"> the right</w:t>
      </w:r>
      <w:r w:rsidR="00BE6B00">
        <w:rPr>
          <w:rFonts w:cs="Calibri"/>
          <w:sz w:val="24"/>
          <w:szCs w:val="24"/>
          <w:lang w:eastAsia="en-AU"/>
        </w:rPr>
        <w:t xml:space="preserve"> to</w:t>
      </w:r>
      <w:r w:rsidR="00BE6B00" w:rsidRPr="00BE6B00">
        <w:rPr>
          <w:rFonts w:cs="Calibri"/>
          <w:sz w:val="24"/>
          <w:szCs w:val="24"/>
          <w:lang w:eastAsia="en-AU"/>
        </w:rPr>
        <w:t xml:space="preserve"> </w:t>
      </w:r>
      <w:r w:rsidR="00BE6B00">
        <w:rPr>
          <w:rFonts w:cs="Calibri"/>
          <w:sz w:val="24"/>
          <w:szCs w:val="24"/>
          <w:lang w:eastAsia="en-AU"/>
        </w:rPr>
        <w:t>p</w:t>
      </w:r>
      <w:r w:rsidR="00BE6B00" w:rsidRPr="00BE6B00">
        <w:rPr>
          <w:rFonts w:cs="Calibri"/>
          <w:sz w:val="24"/>
          <w:szCs w:val="24"/>
          <w:lang w:eastAsia="en-AU"/>
        </w:rPr>
        <w:t>rivacy and reputation</w:t>
      </w:r>
      <w:r w:rsidR="00BE6B00">
        <w:rPr>
          <w:rFonts w:cs="Calibri"/>
          <w:sz w:val="24"/>
          <w:szCs w:val="24"/>
          <w:lang w:eastAsia="en-AU"/>
        </w:rPr>
        <w:t xml:space="preserve"> under section 12 of the </w:t>
      </w:r>
      <w:r w:rsidR="00BE6B00" w:rsidRPr="001A3DF2">
        <w:rPr>
          <w:rFonts w:cs="Calibri"/>
          <w:i/>
          <w:iCs/>
          <w:sz w:val="24"/>
          <w:szCs w:val="24"/>
          <w:lang w:eastAsia="en-AU"/>
        </w:rPr>
        <w:t>Human</w:t>
      </w:r>
      <w:r w:rsidR="004C0265">
        <w:rPr>
          <w:rFonts w:cs="Calibri"/>
          <w:i/>
          <w:iCs/>
          <w:sz w:val="24"/>
          <w:szCs w:val="24"/>
          <w:lang w:eastAsia="en-AU"/>
        </w:rPr>
        <w:t> </w:t>
      </w:r>
      <w:r w:rsidR="00BE6B00" w:rsidRPr="001A3DF2">
        <w:rPr>
          <w:rFonts w:cs="Calibri"/>
          <w:i/>
          <w:iCs/>
          <w:sz w:val="24"/>
          <w:szCs w:val="24"/>
          <w:lang w:eastAsia="en-AU"/>
        </w:rPr>
        <w:t>Rights</w:t>
      </w:r>
      <w:r w:rsidR="004C0265">
        <w:rPr>
          <w:rFonts w:cs="Calibri"/>
          <w:i/>
          <w:iCs/>
          <w:sz w:val="24"/>
          <w:szCs w:val="24"/>
          <w:lang w:eastAsia="en-AU"/>
        </w:rPr>
        <w:t> A</w:t>
      </w:r>
      <w:r w:rsidR="00BE6B00" w:rsidRPr="001A3DF2">
        <w:rPr>
          <w:rFonts w:cs="Calibri"/>
          <w:i/>
          <w:iCs/>
          <w:sz w:val="24"/>
          <w:szCs w:val="24"/>
          <w:lang w:eastAsia="en-AU"/>
        </w:rPr>
        <w:t>ct</w:t>
      </w:r>
      <w:r w:rsidR="004C0265">
        <w:rPr>
          <w:rFonts w:cs="Calibri"/>
          <w:i/>
          <w:iCs/>
          <w:sz w:val="24"/>
          <w:szCs w:val="24"/>
          <w:lang w:eastAsia="en-AU"/>
        </w:rPr>
        <w:t> </w:t>
      </w:r>
      <w:r w:rsidR="00BE6B00" w:rsidRPr="001A3DF2">
        <w:rPr>
          <w:rFonts w:cs="Calibri"/>
          <w:i/>
          <w:iCs/>
          <w:sz w:val="24"/>
          <w:szCs w:val="24"/>
          <w:lang w:eastAsia="en-AU"/>
        </w:rPr>
        <w:t>2004</w:t>
      </w:r>
      <w:r w:rsidR="00BE6B00">
        <w:rPr>
          <w:rFonts w:cs="Calibri"/>
          <w:sz w:val="24"/>
          <w:szCs w:val="24"/>
          <w:lang w:eastAsia="en-AU"/>
        </w:rPr>
        <w:t>.</w:t>
      </w:r>
    </w:p>
    <w:p w14:paraId="65086234" w14:textId="77777777" w:rsidR="00D82F0E" w:rsidRDefault="00D82F0E" w:rsidP="00BE6B0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64DD91FD" w14:textId="71EF5B75" w:rsidR="001A3DF2" w:rsidRDefault="001A3DF2" w:rsidP="00BE6B0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Homeowners can be readily identified by neighbours and other community members based on the address of their home. The release of site details, payments and valuations within a land acquisition report can be readily attributed to individual partici</w:t>
      </w:r>
      <w:r w:rsidR="00D82F0E">
        <w:rPr>
          <w:rFonts w:cs="Calibri"/>
          <w:sz w:val="24"/>
          <w:szCs w:val="24"/>
          <w:lang w:eastAsia="en-AU"/>
        </w:rPr>
        <w:t xml:space="preserve">pants. As such the publishing of payments impacts </w:t>
      </w:r>
      <w:r w:rsidR="004C0265">
        <w:rPr>
          <w:rFonts w:cs="Calibri"/>
          <w:sz w:val="24"/>
          <w:szCs w:val="24"/>
          <w:lang w:eastAsia="en-AU"/>
        </w:rPr>
        <w:t>homeowner</w:t>
      </w:r>
      <w:r w:rsidR="00D82F0E">
        <w:rPr>
          <w:rFonts w:cs="Calibri"/>
          <w:sz w:val="24"/>
          <w:szCs w:val="24"/>
          <w:lang w:eastAsia="en-AU"/>
        </w:rPr>
        <w:t xml:space="preserve"> participant’s privacy in relation to their personal finances. </w:t>
      </w:r>
    </w:p>
    <w:p w14:paraId="7C3C7B7D" w14:textId="77777777" w:rsidR="00BE6B00" w:rsidRPr="00BE6B00" w:rsidRDefault="00BE6B00" w:rsidP="00BE6B0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6EAF7774" w14:textId="77777777" w:rsidR="001A3DF2" w:rsidRPr="001A3DF2" w:rsidRDefault="001A3DF2" w:rsidP="001A3DF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0E2E8CBE" w14:textId="77777777" w:rsidR="00E76504" w:rsidRPr="00E76504" w:rsidRDefault="00E76504" w:rsidP="00E76504"/>
    <w:p w14:paraId="27FB735B" w14:textId="0B4B8000" w:rsidR="00C61B07" w:rsidRDefault="00C61B07" w:rsidP="00C65E0C">
      <w:pPr>
        <w:pStyle w:val="Heading3"/>
      </w:pPr>
      <w:r w:rsidRPr="00ED3B77">
        <w:t>Clause 1</w:t>
      </w:r>
      <w:r w:rsidRPr="00ED3B77">
        <w:tab/>
        <w:t xml:space="preserve">Name of </w:t>
      </w:r>
      <w:r w:rsidR="004C0265">
        <w:t>Regulation</w:t>
      </w:r>
    </w:p>
    <w:p w14:paraId="1CADDCFA" w14:textId="668801C7" w:rsidR="004C0265" w:rsidRPr="00F7087E" w:rsidRDefault="004C0265" w:rsidP="004C026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  <w:lang w:eastAsia="en-AU"/>
        </w:rPr>
      </w:pPr>
      <w:r w:rsidRPr="00F7087E">
        <w:rPr>
          <w:rFonts w:asciiTheme="minorHAnsi" w:hAnsiTheme="minorHAnsi"/>
          <w:color w:val="000000"/>
          <w:sz w:val="24"/>
          <w:szCs w:val="24"/>
          <w:lang w:eastAsia="en-AU"/>
        </w:rPr>
        <w:t xml:space="preserve">This </w:t>
      </w:r>
      <w:r w:rsidR="00094F16">
        <w:rPr>
          <w:rFonts w:asciiTheme="minorHAnsi" w:hAnsiTheme="minorHAnsi"/>
          <w:color w:val="000000"/>
          <w:sz w:val="24"/>
          <w:szCs w:val="24"/>
          <w:lang w:eastAsia="en-AU"/>
        </w:rPr>
        <w:t>clause names the regulation.</w:t>
      </w:r>
    </w:p>
    <w:p w14:paraId="341827EE" w14:textId="0F101544" w:rsidR="00C61B07" w:rsidRDefault="00C61B07" w:rsidP="008C225D">
      <w:pPr>
        <w:pStyle w:val="Heading3"/>
      </w:pPr>
      <w:r w:rsidRPr="00ED3B77">
        <w:t>Clause 2</w:t>
      </w:r>
      <w:r w:rsidRPr="00ED3B77">
        <w:tab/>
        <w:t>Commencement</w:t>
      </w:r>
    </w:p>
    <w:p w14:paraId="7371D645" w14:textId="5C6FBBB9" w:rsidR="004C0265" w:rsidRPr="00F7087E" w:rsidRDefault="004C0265" w:rsidP="004C026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  <w:lang w:eastAsia="en-AU"/>
        </w:rPr>
      </w:pPr>
      <w:r w:rsidRPr="00F7087E">
        <w:rPr>
          <w:rFonts w:asciiTheme="minorHAnsi" w:hAnsiTheme="minorHAnsi"/>
          <w:color w:val="000000"/>
          <w:sz w:val="24"/>
          <w:szCs w:val="24"/>
          <w:lang w:eastAsia="en-AU"/>
        </w:rPr>
        <w:t xml:space="preserve">This </w:t>
      </w:r>
      <w:r w:rsidR="00094F16">
        <w:rPr>
          <w:rFonts w:asciiTheme="minorHAnsi" w:hAnsiTheme="minorHAnsi"/>
          <w:color w:val="000000"/>
          <w:sz w:val="24"/>
          <w:szCs w:val="24"/>
          <w:lang w:eastAsia="en-AU"/>
        </w:rPr>
        <w:t>clause provides for the commencement of the Regulation.</w:t>
      </w:r>
    </w:p>
    <w:p w14:paraId="03E3F0B8" w14:textId="61DB4181" w:rsidR="00C61B07" w:rsidRDefault="00C61B07" w:rsidP="008C225D">
      <w:pPr>
        <w:pStyle w:val="Heading3"/>
      </w:pPr>
      <w:r w:rsidRPr="00ED3B77">
        <w:t>Clause 3</w:t>
      </w:r>
      <w:r w:rsidRPr="00ED3B77">
        <w:tab/>
        <w:t>Legislation amended</w:t>
      </w:r>
    </w:p>
    <w:p w14:paraId="2883C081" w14:textId="4D0175F5" w:rsidR="004C0265" w:rsidRPr="00F7087E" w:rsidRDefault="004C0265" w:rsidP="00094F16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  <w:lang w:eastAsia="en-AU"/>
        </w:rPr>
      </w:pPr>
      <w:r w:rsidRPr="00F7087E">
        <w:rPr>
          <w:rFonts w:asciiTheme="minorHAnsi" w:hAnsiTheme="minorHAnsi"/>
          <w:color w:val="000000"/>
          <w:sz w:val="24"/>
          <w:szCs w:val="24"/>
          <w:lang w:eastAsia="en-AU"/>
        </w:rPr>
        <w:t xml:space="preserve">This </w:t>
      </w:r>
      <w:r w:rsidR="00094F16">
        <w:rPr>
          <w:rFonts w:asciiTheme="minorHAnsi" w:hAnsiTheme="minorHAnsi"/>
          <w:color w:val="000000"/>
          <w:sz w:val="24"/>
          <w:szCs w:val="24"/>
          <w:lang w:eastAsia="en-AU"/>
        </w:rPr>
        <w:t>clause provides for the legislation which will be amended.</w:t>
      </w:r>
    </w:p>
    <w:p w14:paraId="2FCE694C" w14:textId="1C51E856" w:rsidR="004C0265" w:rsidRDefault="004C0265" w:rsidP="004C0265">
      <w:pPr>
        <w:pStyle w:val="Heading3"/>
        <w:rPr>
          <w:rFonts w:cs="Arial"/>
          <w:b w:val="0"/>
          <w:bCs/>
          <w:lang w:eastAsia="en-AU"/>
        </w:rPr>
      </w:pPr>
      <w:r w:rsidRPr="00ED3B77">
        <w:t xml:space="preserve">Clause </w:t>
      </w:r>
      <w:r>
        <w:t>4</w:t>
      </w:r>
      <w:r w:rsidRPr="00ED3B77">
        <w:tab/>
      </w:r>
      <w:r w:rsidR="00F7087E">
        <w:t>N</w:t>
      </w:r>
      <w:r w:rsidRPr="00F7087E">
        <w:t>ew section: Asbestos-affected properties – Act, s 7 (2) (b)</w:t>
      </w:r>
    </w:p>
    <w:p w14:paraId="1E79F839" w14:textId="4478E2B4" w:rsidR="00F7087E" w:rsidRDefault="00094F16" w:rsidP="00094F16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 xml:space="preserve">Subsection (1) of this this clause inserts two new exceptions in the </w:t>
      </w:r>
      <w:r w:rsidRPr="00890AA4">
        <w:rPr>
          <w:rFonts w:cs="Calibri"/>
          <w:i/>
          <w:iCs/>
          <w:sz w:val="24"/>
          <w:szCs w:val="24"/>
          <w:lang w:eastAsia="en-AU"/>
        </w:rPr>
        <w:t>Government Agencies (Land Acquisition Reporting) Regulation 2019</w:t>
      </w:r>
      <w:r w:rsidR="00890AA4">
        <w:rPr>
          <w:rFonts w:cs="Calibri"/>
          <w:sz w:val="24"/>
          <w:szCs w:val="24"/>
          <w:lang w:eastAsia="en-AU"/>
        </w:rPr>
        <w:t xml:space="preserve"> for reporting under the </w:t>
      </w:r>
      <w:r w:rsidR="00890AA4" w:rsidRPr="00890AA4">
        <w:rPr>
          <w:rFonts w:cs="Calibri"/>
          <w:i/>
          <w:iCs/>
          <w:sz w:val="24"/>
          <w:szCs w:val="24"/>
          <w:lang w:eastAsia="en-AU"/>
        </w:rPr>
        <w:t>Government Agencies (Land Acquisition Reporting) Act 2018.</w:t>
      </w:r>
    </w:p>
    <w:p w14:paraId="6C9DE6A2" w14:textId="00A5CD7E" w:rsidR="00890AA4" w:rsidRDefault="00890AA4" w:rsidP="00094F16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  <w:lang w:eastAsia="en-AU"/>
        </w:rPr>
      </w:pPr>
    </w:p>
    <w:p w14:paraId="73C8F8F7" w14:textId="55302A5D" w:rsidR="00890AA4" w:rsidRDefault="00890AA4" w:rsidP="00094F1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Subsection (2) of this clause provides definitions for these exceptions.</w:t>
      </w:r>
    </w:p>
    <w:p w14:paraId="33D60209" w14:textId="56195DC3" w:rsidR="00890AA4" w:rsidRDefault="00890AA4" w:rsidP="00094F1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262ED2D7" w14:textId="492129D2" w:rsidR="00890AA4" w:rsidRDefault="00890AA4" w:rsidP="00094F1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rFonts w:cs="Calibri"/>
          <w:sz w:val="24"/>
          <w:szCs w:val="24"/>
          <w:lang w:eastAsia="en-AU"/>
        </w:rPr>
        <w:t>Subsection (3) of this clause provides that the amendment will commence retrospectively on 1 July 2019.</w:t>
      </w:r>
    </w:p>
    <w:p w14:paraId="38A3DB7F" w14:textId="77777777" w:rsidR="00890AA4" w:rsidRPr="00890AA4" w:rsidRDefault="00890AA4" w:rsidP="00094F1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7E20FA38" w14:textId="0ACF8476" w:rsidR="00D7062D" w:rsidRPr="004923C1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5"/>
      <w:footerReference w:type="first" r:id="rId16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C4D3B" w14:textId="77777777" w:rsidR="00F70264" w:rsidRDefault="00F70264">
      <w:pPr>
        <w:spacing w:after="0" w:line="240" w:lineRule="auto"/>
      </w:pPr>
      <w:r>
        <w:separator/>
      </w:r>
    </w:p>
  </w:endnote>
  <w:endnote w:type="continuationSeparator" w:id="0">
    <w:p w14:paraId="3E4E3464" w14:textId="77777777" w:rsidR="00F70264" w:rsidRDefault="00F70264">
      <w:pPr>
        <w:spacing w:after="0" w:line="240" w:lineRule="auto"/>
      </w:pPr>
      <w:r>
        <w:continuationSeparator/>
      </w:r>
    </w:p>
  </w:endnote>
  <w:endnote w:type="continuationNotice" w:id="1">
    <w:p w14:paraId="0A8DCBFC" w14:textId="77777777" w:rsidR="00F70264" w:rsidRDefault="00F70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12237" w14:textId="77777777" w:rsidR="0006071E" w:rsidRDefault="00060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A205" w14:textId="4E82129A" w:rsidR="00B70882" w:rsidRPr="002F1FD4" w:rsidRDefault="002F1FD4" w:rsidP="002F1FD4">
    <w:pPr>
      <w:pStyle w:val="Footer"/>
      <w:jc w:val="center"/>
      <w:rPr>
        <w:rFonts w:cs="Arial"/>
        <w:sz w:val="14"/>
      </w:rPr>
    </w:pPr>
    <w:r w:rsidRPr="002F1F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48B8" w14:textId="77777777" w:rsidR="00B70882" w:rsidRDefault="00B70882">
    <w:pPr>
      <w:pStyle w:val="Footer"/>
      <w:jc w:val="right"/>
    </w:pPr>
  </w:p>
  <w:p w14:paraId="1B19A0D3" w14:textId="77777777" w:rsidR="00B70882" w:rsidRPr="00DC5912" w:rsidRDefault="00B70882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9BDE" w14:textId="64E1966C" w:rsidR="00B70882" w:rsidRPr="002F1FD4" w:rsidRDefault="002F1FD4" w:rsidP="002F1FD4">
    <w:pPr>
      <w:pStyle w:val="Footer"/>
      <w:spacing w:before="60" w:line="240" w:lineRule="auto"/>
      <w:jc w:val="center"/>
      <w:rPr>
        <w:rFonts w:cs="Arial"/>
        <w:noProof/>
        <w:sz w:val="14"/>
      </w:rPr>
    </w:pPr>
    <w:r w:rsidRPr="002F1FD4">
      <w:rPr>
        <w:rFonts w:cs="Arial"/>
        <w:noProof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565C" w14:textId="6F107190" w:rsidR="00B70882" w:rsidRPr="002F1FD4" w:rsidRDefault="002F1FD4" w:rsidP="002F1FD4">
    <w:pPr>
      <w:pStyle w:val="Footer"/>
      <w:jc w:val="center"/>
      <w:rPr>
        <w:rFonts w:cs="Arial"/>
        <w:noProof/>
        <w:sz w:val="14"/>
      </w:rPr>
    </w:pPr>
    <w:r w:rsidRPr="002F1FD4">
      <w:rPr>
        <w:rFonts w:cs="Arial"/>
        <w:noProof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F7FB" w14:textId="77777777" w:rsidR="00F70264" w:rsidRDefault="00F70264">
      <w:pPr>
        <w:spacing w:after="0" w:line="240" w:lineRule="auto"/>
      </w:pPr>
      <w:r>
        <w:separator/>
      </w:r>
    </w:p>
  </w:footnote>
  <w:footnote w:type="continuationSeparator" w:id="0">
    <w:p w14:paraId="5036E312" w14:textId="77777777" w:rsidR="00F70264" w:rsidRDefault="00F70264">
      <w:pPr>
        <w:spacing w:after="0" w:line="240" w:lineRule="auto"/>
      </w:pPr>
      <w:r>
        <w:continuationSeparator/>
      </w:r>
    </w:p>
  </w:footnote>
  <w:footnote w:type="continuationNotice" w:id="1">
    <w:p w14:paraId="1D972223" w14:textId="77777777" w:rsidR="00F70264" w:rsidRDefault="00F70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4527" w14:textId="77777777" w:rsidR="0006071E" w:rsidRDefault="00060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0939" w14:textId="77777777" w:rsidR="0006071E" w:rsidRDefault="000607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2B988" w14:textId="77777777" w:rsidR="0006071E" w:rsidRDefault="00060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91FAA"/>
    <w:multiLevelType w:val="hybridMultilevel"/>
    <w:tmpl w:val="D0B2C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7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4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18"/>
  </w:num>
  <w:num w:numId="4">
    <w:abstractNumId w:val="0"/>
  </w:num>
  <w:num w:numId="5">
    <w:abstractNumId w:val="7"/>
  </w:num>
  <w:num w:numId="6">
    <w:abstractNumId w:val="10"/>
  </w:num>
  <w:num w:numId="7">
    <w:abstractNumId w:val="38"/>
  </w:num>
  <w:num w:numId="8">
    <w:abstractNumId w:val="4"/>
  </w:num>
  <w:num w:numId="9">
    <w:abstractNumId w:val="21"/>
  </w:num>
  <w:num w:numId="10">
    <w:abstractNumId w:val="37"/>
  </w:num>
  <w:num w:numId="11">
    <w:abstractNumId w:val="17"/>
  </w:num>
  <w:num w:numId="12">
    <w:abstractNumId w:val="13"/>
  </w:num>
  <w:num w:numId="13">
    <w:abstractNumId w:val="12"/>
  </w:num>
  <w:num w:numId="14">
    <w:abstractNumId w:val="27"/>
  </w:num>
  <w:num w:numId="15">
    <w:abstractNumId w:val="26"/>
  </w:num>
  <w:num w:numId="16">
    <w:abstractNumId w:val="39"/>
  </w:num>
  <w:num w:numId="17">
    <w:abstractNumId w:val="33"/>
  </w:num>
  <w:num w:numId="18">
    <w:abstractNumId w:val="45"/>
  </w:num>
  <w:num w:numId="19">
    <w:abstractNumId w:val="2"/>
  </w:num>
  <w:num w:numId="20">
    <w:abstractNumId w:val="14"/>
  </w:num>
  <w:num w:numId="21">
    <w:abstractNumId w:val="22"/>
  </w:num>
  <w:num w:numId="22">
    <w:abstractNumId w:val="23"/>
  </w:num>
  <w:num w:numId="23">
    <w:abstractNumId w:val="40"/>
  </w:num>
  <w:num w:numId="24">
    <w:abstractNumId w:val="46"/>
  </w:num>
  <w:num w:numId="25">
    <w:abstractNumId w:val="32"/>
  </w:num>
  <w:num w:numId="26">
    <w:abstractNumId w:val="19"/>
  </w:num>
  <w:num w:numId="27">
    <w:abstractNumId w:val="43"/>
  </w:num>
  <w:num w:numId="28">
    <w:abstractNumId w:val="34"/>
  </w:num>
  <w:num w:numId="29">
    <w:abstractNumId w:val="35"/>
  </w:num>
  <w:num w:numId="30">
    <w:abstractNumId w:val="41"/>
  </w:num>
  <w:num w:numId="31">
    <w:abstractNumId w:val="48"/>
  </w:num>
  <w:num w:numId="32">
    <w:abstractNumId w:val="30"/>
  </w:num>
  <w:num w:numId="33">
    <w:abstractNumId w:val="11"/>
  </w:num>
  <w:num w:numId="34">
    <w:abstractNumId w:val="16"/>
  </w:num>
  <w:num w:numId="35">
    <w:abstractNumId w:val="15"/>
  </w:num>
  <w:num w:numId="36">
    <w:abstractNumId w:val="15"/>
  </w:num>
  <w:num w:numId="37">
    <w:abstractNumId w:val="36"/>
  </w:num>
  <w:num w:numId="38">
    <w:abstractNumId w:val="29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9"/>
  </w:num>
  <w:num w:numId="42">
    <w:abstractNumId w:val="6"/>
  </w:num>
  <w:num w:numId="43">
    <w:abstractNumId w:val="3"/>
  </w:num>
  <w:num w:numId="44">
    <w:abstractNumId w:val="20"/>
  </w:num>
  <w:num w:numId="45">
    <w:abstractNumId w:val="8"/>
  </w:num>
  <w:num w:numId="46">
    <w:abstractNumId w:val="42"/>
  </w:num>
  <w:num w:numId="47">
    <w:abstractNumId w:val="1"/>
  </w:num>
  <w:num w:numId="48">
    <w:abstractNumId w:val="28"/>
  </w:num>
  <w:num w:numId="49">
    <w:abstractNumId w:val="25"/>
  </w:num>
  <w:num w:numId="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71E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16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42EA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DE9"/>
    <w:rsid w:val="001A2FF6"/>
    <w:rsid w:val="001A3907"/>
    <w:rsid w:val="001A3A45"/>
    <w:rsid w:val="001A3DF2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55B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4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23BD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265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4F70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05DD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1B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3C3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5A8"/>
    <w:rsid w:val="007A39EA"/>
    <w:rsid w:val="007A3C0F"/>
    <w:rsid w:val="007A3DA1"/>
    <w:rsid w:val="007A4053"/>
    <w:rsid w:val="007A4173"/>
    <w:rsid w:val="007A4396"/>
    <w:rsid w:val="007A46BC"/>
    <w:rsid w:val="007A586D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0AA4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0E37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6B7B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0882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1DDC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B00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53B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A44"/>
    <w:rsid w:val="00D82C97"/>
    <w:rsid w:val="00D82F0E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0264"/>
    <w:rsid w:val="00F7087E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2501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86FE1-AAF7-4A50-9B59-D29A4E455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7A485-4DB4-429F-AF17-EF71D631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1981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2019-05-13T07:51:00Z</cp:lastPrinted>
  <dcterms:created xsi:type="dcterms:W3CDTF">2020-04-28T01:33:00Z</dcterms:created>
  <dcterms:modified xsi:type="dcterms:W3CDTF">2020-04-28T01:33:00Z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A25461538</vt:lpwstr>
  </property>
  <property fmtid="{D5CDD505-2E9C-101B-9397-08002B2CF9AE}" pid="4" name="Objective-Title">
    <vt:lpwstr>20200423 Government Agencies (Land Acquisition Reporting) Regulation 2020 -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2020-04-23T04:24:38Z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2020-04-23T04:27:13Z</vt:filetime>
  </property>
  <property fmtid="{D5CDD505-2E9C-101B-9397-08002B2CF9AE}" pid="10" name="Objective-ModificationStamp">
    <vt:filetime>2020-04-23T04:27:13Z</vt:filetime>
  </property>
  <property fmtid="{D5CDD505-2E9C-101B-9397-08002B2CF9AE}" pid="11" name="Objective-Owner">
    <vt:lpwstr>Sam Zeller</vt:lpwstr>
  </property>
  <property fmtid="{D5CDD505-2E9C-101B-9397-08002B2CF9AE}" pid="12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2020 advices:Ur</vt:lpwstr>
  </property>
  <property fmtid="{D5CDD505-2E9C-101B-9397-08002B2CF9AE}" pid="13" name="Objective-Parent">
    <vt:lpwstr>Drafting Instructions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1179974</vt:lpwstr>
  </property>
  <property fmtid="{D5CDD505-2E9C-101B-9397-08002B2CF9AE}" pid="34" name="JMSREQUIREDCHECKIN">
    <vt:lpwstr/>
  </property>
</Properties>
</file>