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1C95" w14:textId="77777777" w:rsidR="001440B3" w:rsidRPr="002C71F6" w:rsidRDefault="001440B3">
      <w:pPr>
        <w:spacing w:before="120"/>
        <w:rPr>
          <w:rFonts w:ascii="Arial" w:hAnsi="Arial" w:cs="Arial"/>
        </w:rPr>
      </w:pPr>
      <w:bookmarkStart w:id="0" w:name="_Toc44738651"/>
      <w:r w:rsidRPr="002C71F6">
        <w:rPr>
          <w:rFonts w:ascii="Arial" w:hAnsi="Arial" w:cs="Arial"/>
        </w:rPr>
        <w:t>Australian Capital Territory</w:t>
      </w:r>
    </w:p>
    <w:p w14:paraId="4A16315B" w14:textId="3B13B038" w:rsidR="001440B3" w:rsidRPr="002C71F6" w:rsidRDefault="00110ACB">
      <w:pPr>
        <w:pStyle w:val="Billname"/>
        <w:spacing w:before="700"/>
      </w:pPr>
      <w:r w:rsidRPr="002C71F6">
        <w:t xml:space="preserve">Working with Vulnerable People (Background Checking) </w:t>
      </w:r>
      <w:r w:rsidR="00A31254" w:rsidRPr="002C71F6">
        <w:t xml:space="preserve">Amendment Regulation </w:t>
      </w:r>
      <w:r w:rsidR="00152E23" w:rsidRPr="002C71F6">
        <w:t>20</w:t>
      </w:r>
      <w:r w:rsidRPr="002C71F6">
        <w:t>20</w:t>
      </w:r>
      <w:r w:rsidR="001440B3" w:rsidRPr="002C71F6">
        <w:t xml:space="preserve"> (No </w:t>
      </w:r>
      <w:r w:rsidR="00152E23" w:rsidRPr="002C71F6">
        <w:t>1</w:t>
      </w:r>
      <w:r w:rsidR="001440B3" w:rsidRPr="002C71F6">
        <w:t>)</w:t>
      </w:r>
    </w:p>
    <w:p w14:paraId="507056DC" w14:textId="770F8CF3" w:rsidR="001440B3" w:rsidRPr="002C71F6" w:rsidRDefault="00A31254" w:rsidP="0042011A">
      <w:pPr>
        <w:spacing w:before="340"/>
        <w:rPr>
          <w:rFonts w:ascii="Arial" w:hAnsi="Arial" w:cs="Arial"/>
          <w:b/>
          <w:bCs/>
        </w:rPr>
      </w:pPr>
      <w:r w:rsidRPr="002C71F6">
        <w:rPr>
          <w:rFonts w:ascii="Arial" w:hAnsi="Arial" w:cs="Arial"/>
          <w:b/>
          <w:bCs/>
        </w:rPr>
        <w:t>Subordinate Law SL2020</w:t>
      </w:r>
      <w:r w:rsidR="004C6547">
        <w:rPr>
          <w:rFonts w:ascii="Arial" w:hAnsi="Arial" w:cs="Arial"/>
          <w:b/>
          <w:bCs/>
        </w:rPr>
        <w:t>–18</w:t>
      </w:r>
      <w:bookmarkStart w:id="1" w:name="_GoBack"/>
      <w:bookmarkEnd w:id="1"/>
    </w:p>
    <w:p w14:paraId="00C117DB" w14:textId="77777777" w:rsidR="001440B3" w:rsidRPr="002C71F6" w:rsidRDefault="001440B3" w:rsidP="0042011A">
      <w:pPr>
        <w:pStyle w:val="madeunder"/>
        <w:spacing w:before="300" w:after="0"/>
      </w:pPr>
      <w:r w:rsidRPr="002C71F6">
        <w:t xml:space="preserve">made under the  </w:t>
      </w:r>
    </w:p>
    <w:p w14:paraId="0ABCEF8C" w14:textId="2021D7B5" w:rsidR="001440B3" w:rsidRPr="002C71F6" w:rsidRDefault="00110ACB" w:rsidP="0042011A">
      <w:pPr>
        <w:pStyle w:val="CoverActName"/>
        <w:spacing w:before="320" w:after="0"/>
        <w:rPr>
          <w:rFonts w:cs="Arial"/>
          <w:sz w:val="20"/>
        </w:rPr>
      </w:pPr>
      <w:r w:rsidRPr="002C71F6">
        <w:rPr>
          <w:rFonts w:cs="Arial"/>
          <w:sz w:val="20"/>
        </w:rPr>
        <w:t>Working with Vulnerable People (Background Checking) Act 2011</w:t>
      </w:r>
      <w:r w:rsidR="001440B3" w:rsidRPr="002C71F6">
        <w:rPr>
          <w:rFonts w:cs="Arial"/>
          <w:sz w:val="20"/>
        </w:rPr>
        <w:t xml:space="preserve">, </w:t>
      </w:r>
      <w:r w:rsidR="00152E23" w:rsidRPr="002C71F6">
        <w:rPr>
          <w:rFonts w:cs="Arial"/>
          <w:sz w:val="20"/>
        </w:rPr>
        <w:t xml:space="preserve">s </w:t>
      </w:r>
      <w:r w:rsidRPr="002C71F6">
        <w:rPr>
          <w:rFonts w:cs="Arial"/>
          <w:sz w:val="20"/>
        </w:rPr>
        <w:t>12(2)(</w:t>
      </w:r>
      <w:r w:rsidR="00066092" w:rsidRPr="002C71F6">
        <w:rPr>
          <w:rFonts w:cs="Arial"/>
          <w:sz w:val="20"/>
        </w:rPr>
        <w:t>o</w:t>
      </w:r>
      <w:r w:rsidRPr="002C71F6">
        <w:rPr>
          <w:rFonts w:cs="Arial"/>
          <w:sz w:val="20"/>
        </w:rPr>
        <w:t>)</w:t>
      </w:r>
      <w:r w:rsidR="001440B3" w:rsidRPr="002C71F6">
        <w:rPr>
          <w:rFonts w:cs="Arial"/>
          <w:sz w:val="20"/>
        </w:rPr>
        <w:t xml:space="preserve"> (</w:t>
      </w:r>
      <w:r w:rsidRPr="002C71F6">
        <w:rPr>
          <w:rFonts w:cs="Arial"/>
          <w:sz w:val="20"/>
        </w:rPr>
        <w:t xml:space="preserve">When is a person </w:t>
      </w:r>
      <w:r w:rsidR="00066092" w:rsidRPr="002C71F6">
        <w:rPr>
          <w:rFonts w:cs="Arial"/>
          <w:sz w:val="20"/>
        </w:rPr>
        <w:t xml:space="preserve">not </w:t>
      </w:r>
      <w:r w:rsidRPr="002C71F6">
        <w:rPr>
          <w:rFonts w:cs="Arial"/>
          <w:sz w:val="20"/>
        </w:rPr>
        <w:t>required to be registered</w:t>
      </w:r>
      <w:r w:rsidR="00066092" w:rsidRPr="002C71F6">
        <w:rPr>
          <w:rFonts w:cs="Arial"/>
          <w:sz w:val="20"/>
        </w:rPr>
        <w:t xml:space="preserve"> to engage in a regulated activity</w:t>
      </w:r>
      <w:r w:rsidR="001440B3" w:rsidRPr="002C71F6">
        <w:rPr>
          <w:rFonts w:cs="Arial"/>
          <w:sz w:val="20"/>
        </w:rPr>
        <w:t>)</w:t>
      </w:r>
    </w:p>
    <w:p w14:paraId="0D3E902D" w14:textId="3715B71D" w:rsidR="001440B3" w:rsidRPr="002C71F6" w:rsidRDefault="001440B3" w:rsidP="0042011A">
      <w:pPr>
        <w:pStyle w:val="N-line3"/>
        <w:pBdr>
          <w:bottom w:val="none" w:sz="0" w:space="0" w:color="auto"/>
        </w:pBdr>
        <w:spacing w:before="60"/>
      </w:pPr>
    </w:p>
    <w:p w14:paraId="571EA761" w14:textId="0A8184D0" w:rsidR="0099388D" w:rsidRPr="002C71F6" w:rsidRDefault="0099388D" w:rsidP="0099388D">
      <w:pPr>
        <w:rPr>
          <w:rFonts w:ascii="Arial" w:hAnsi="Arial" w:cs="Arial"/>
          <w:b/>
          <w:bCs/>
        </w:rPr>
      </w:pPr>
      <w:r w:rsidRPr="002C71F6">
        <w:rPr>
          <w:rFonts w:ascii="Arial" w:hAnsi="Arial" w:cs="Arial"/>
          <w:b/>
          <w:bCs/>
        </w:rPr>
        <w:t>EXPLANATORY STATEMENT</w:t>
      </w:r>
    </w:p>
    <w:p w14:paraId="25D0E22D" w14:textId="77777777" w:rsidR="0099388D" w:rsidRPr="002C71F6" w:rsidRDefault="0099388D" w:rsidP="0099388D"/>
    <w:p w14:paraId="342DC3CF" w14:textId="3CDBD4C9" w:rsidR="001440B3" w:rsidRPr="003C237D" w:rsidRDefault="001440B3">
      <w:pPr>
        <w:pStyle w:val="N-line3"/>
        <w:pBdr>
          <w:top w:val="single" w:sz="12" w:space="1" w:color="auto"/>
          <w:bottom w:val="none" w:sz="0" w:space="0" w:color="auto"/>
        </w:pBdr>
        <w:rPr>
          <w:sz w:val="28"/>
          <w:szCs w:val="22"/>
        </w:rPr>
      </w:pPr>
    </w:p>
    <w:p w14:paraId="7A1FDA6C" w14:textId="50395F14" w:rsidR="00A62591" w:rsidRPr="00567F72" w:rsidRDefault="00B52E76" w:rsidP="00567F72">
      <w:pPr>
        <w:spacing w:before="120" w:line="276" w:lineRule="auto"/>
        <w:rPr>
          <w:rFonts w:asciiTheme="minorHAnsi" w:hAnsiTheme="minorHAnsi" w:cstheme="minorHAnsi"/>
          <w:iCs/>
          <w:szCs w:val="24"/>
        </w:rPr>
      </w:pPr>
      <w:r w:rsidRPr="00567F72">
        <w:rPr>
          <w:rFonts w:asciiTheme="minorHAnsi" w:hAnsiTheme="minorHAnsi" w:cstheme="minorHAnsi"/>
          <w:iCs/>
          <w:szCs w:val="24"/>
        </w:rPr>
        <w:t xml:space="preserve">On 16 March 2020, the Minister for </w:t>
      </w:r>
      <w:r w:rsidR="00BF7AE9">
        <w:rPr>
          <w:rFonts w:asciiTheme="minorHAnsi" w:hAnsiTheme="minorHAnsi" w:cstheme="minorHAnsi"/>
          <w:iCs/>
          <w:szCs w:val="24"/>
        </w:rPr>
        <w:t>Health</w:t>
      </w:r>
      <w:r w:rsidRPr="00567F72">
        <w:rPr>
          <w:rFonts w:asciiTheme="minorHAnsi" w:hAnsiTheme="minorHAnsi" w:cstheme="minorHAnsi"/>
          <w:iCs/>
          <w:szCs w:val="24"/>
        </w:rPr>
        <w:t xml:space="preserve"> made an emergency declaration due to the public health risk posed by coronavirus disease 2019 (COVID-19), caused by the novel coronavirus SARS-CoV-2.</w:t>
      </w:r>
    </w:p>
    <w:p w14:paraId="785A4551" w14:textId="4BFCF683" w:rsidR="00B76E63" w:rsidRPr="00567F72" w:rsidRDefault="00B76E63" w:rsidP="00BF1BD2">
      <w:pPr>
        <w:spacing w:before="120" w:line="276" w:lineRule="auto"/>
        <w:ind w:right="-57"/>
        <w:rPr>
          <w:rFonts w:asciiTheme="minorHAnsi" w:hAnsiTheme="minorHAnsi" w:cstheme="minorHAnsi"/>
          <w:szCs w:val="24"/>
        </w:rPr>
      </w:pPr>
      <w:r w:rsidRPr="00567F72">
        <w:rPr>
          <w:rFonts w:asciiTheme="minorHAnsi" w:hAnsiTheme="minorHAnsi" w:cstheme="minorHAnsi"/>
          <w:szCs w:val="24"/>
        </w:rPr>
        <w:t xml:space="preserve">The Working with Vulnerable People (Background Checking) Amendment Regulation 2020 (No 1) (Regulation) exempts Australian Defence Force (ADF) personnel, and public employees of Commonwealth, </w:t>
      </w:r>
      <w:r w:rsidR="0085003F">
        <w:rPr>
          <w:rFonts w:asciiTheme="minorHAnsi" w:hAnsiTheme="minorHAnsi" w:cstheme="minorHAnsi"/>
          <w:szCs w:val="24"/>
        </w:rPr>
        <w:t>s</w:t>
      </w:r>
      <w:r w:rsidRPr="00567F72">
        <w:rPr>
          <w:rFonts w:asciiTheme="minorHAnsi" w:hAnsiTheme="minorHAnsi" w:cstheme="minorHAnsi"/>
          <w:szCs w:val="24"/>
        </w:rPr>
        <w:t xml:space="preserve">tate or </w:t>
      </w:r>
      <w:r w:rsidR="0085003F">
        <w:rPr>
          <w:rFonts w:asciiTheme="minorHAnsi" w:hAnsiTheme="minorHAnsi" w:cstheme="minorHAnsi"/>
          <w:szCs w:val="24"/>
        </w:rPr>
        <w:t>t</w:t>
      </w:r>
      <w:r w:rsidRPr="00567F72">
        <w:rPr>
          <w:rFonts w:asciiTheme="minorHAnsi" w:hAnsiTheme="minorHAnsi" w:cstheme="minorHAnsi"/>
          <w:szCs w:val="24"/>
        </w:rPr>
        <w:t>erritory entities, from registration under the Working with Vulnerable People (WWVP) scheme, while engaged in ‘regulated activities’ on behalf of the Territory for the purposes of supporting the COVID-19 emergency.</w:t>
      </w:r>
      <w:r w:rsidR="00BF1BD2" w:rsidRPr="00BF1BD2">
        <w:rPr>
          <w:rFonts w:asciiTheme="minorHAnsi" w:hAnsiTheme="minorHAnsi" w:cstheme="minorHAnsi"/>
        </w:rPr>
        <w:t xml:space="preserve"> </w:t>
      </w:r>
      <w:r w:rsidR="00BF1BD2">
        <w:rPr>
          <w:rFonts w:asciiTheme="minorHAnsi" w:hAnsiTheme="minorHAnsi" w:cstheme="minorHAnsi"/>
        </w:rPr>
        <w:t>A</w:t>
      </w:r>
      <w:r w:rsidR="00BF1BD2" w:rsidRPr="00BF1BD2">
        <w:rPr>
          <w:rFonts w:asciiTheme="minorHAnsi" w:hAnsiTheme="minorHAnsi" w:cstheme="minorHAnsi"/>
        </w:rPr>
        <w:t xml:space="preserve"> person will be exempt from registration and can engage in regulated activities until the Regulation expires </w:t>
      </w:r>
      <w:r w:rsidR="00BF1BD2">
        <w:rPr>
          <w:rFonts w:asciiTheme="minorHAnsi" w:hAnsiTheme="minorHAnsi" w:cstheme="minorHAnsi"/>
        </w:rPr>
        <w:t>(</w:t>
      </w:r>
      <w:r w:rsidR="00BF1BD2" w:rsidRPr="00BF1BD2">
        <w:rPr>
          <w:rFonts w:asciiTheme="minorHAnsi" w:hAnsiTheme="minorHAnsi" w:cstheme="minorHAnsi"/>
        </w:rPr>
        <w:t>12 months from commencement</w:t>
      </w:r>
      <w:r w:rsidR="00BF1BD2">
        <w:rPr>
          <w:rFonts w:asciiTheme="minorHAnsi" w:hAnsiTheme="minorHAnsi" w:cstheme="minorHAnsi"/>
        </w:rPr>
        <w:t>).</w:t>
      </w:r>
    </w:p>
    <w:p w14:paraId="2AE424E1" w14:textId="7BC2FDFA" w:rsidR="00B76E63" w:rsidRPr="00567F72" w:rsidRDefault="00B76E63" w:rsidP="00BF1BD2">
      <w:pPr>
        <w:spacing w:before="120" w:line="276" w:lineRule="auto"/>
        <w:ind w:right="-198"/>
        <w:rPr>
          <w:rFonts w:asciiTheme="minorHAnsi" w:hAnsiTheme="minorHAnsi" w:cstheme="minorHAnsi"/>
          <w:szCs w:val="24"/>
        </w:rPr>
      </w:pPr>
      <w:r w:rsidRPr="00567F72">
        <w:rPr>
          <w:rFonts w:asciiTheme="minorHAnsi" w:hAnsiTheme="minorHAnsi" w:cstheme="minorHAnsi"/>
          <w:szCs w:val="24"/>
        </w:rPr>
        <w:t xml:space="preserve">ADF personnel and public employees are not ordinarily exempt from registration under the WWVP scheme. However, </w:t>
      </w:r>
      <w:r w:rsidR="00056009" w:rsidRPr="00567F72">
        <w:rPr>
          <w:rFonts w:asciiTheme="minorHAnsi" w:hAnsiTheme="minorHAnsi" w:cstheme="minorHAnsi"/>
          <w:szCs w:val="24"/>
        </w:rPr>
        <w:t>during the COVID-19 emergency</w:t>
      </w:r>
      <w:r w:rsidR="00056009">
        <w:rPr>
          <w:rFonts w:asciiTheme="minorHAnsi" w:hAnsiTheme="minorHAnsi" w:cstheme="minorHAnsi"/>
          <w:szCs w:val="24"/>
        </w:rPr>
        <w:t>,</w:t>
      </w:r>
      <w:r w:rsidR="00056009" w:rsidRPr="00567F72">
        <w:rPr>
          <w:rFonts w:asciiTheme="minorHAnsi" w:hAnsiTheme="minorHAnsi" w:cstheme="minorHAnsi"/>
          <w:szCs w:val="24"/>
        </w:rPr>
        <w:t xml:space="preserve"> </w:t>
      </w:r>
      <w:r w:rsidRPr="00567F72">
        <w:rPr>
          <w:rFonts w:asciiTheme="minorHAnsi" w:hAnsiTheme="minorHAnsi" w:cstheme="minorHAnsi"/>
          <w:szCs w:val="24"/>
        </w:rPr>
        <w:t>the ACT Government may request support be provided to the Territory. This means ADF personnel and other public employees may be required to directly interact with children and other vulnerable people in the ACT. An exemption from WWVP registration is required to assist their ability to engage in regulated activities in the ACT.</w:t>
      </w:r>
      <w:r w:rsidR="00BF1BD2">
        <w:rPr>
          <w:rFonts w:asciiTheme="minorHAnsi" w:hAnsiTheme="minorHAnsi" w:cstheme="minorHAnsi"/>
          <w:szCs w:val="24"/>
        </w:rPr>
        <w:t xml:space="preserve"> </w:t>
      </w:r>
    </w:p>
    <w:p w14:paraId="3D91CF6F" w14:textId="2C715C44" w:rsidR="004C650C" w:rsidRPr="00567F72" w:rsidRDefault="00265B2D" w:rsidP="00567F72">
      <w:pPr>
        <w:spacing w:before="120" w:line="276" w:lineRule="auto"/>
        <w:rPr>
          <w:rFonts w:asciiTheme="minorHAnsi" w:hAnsiTheme="minorHAnsi" w:cstheme="minorHAnsi"/>
          <w:iCs/>
          <w:szCs w:val="24"/>
        </w:rPr>
      </w:pPr>
      <w:r w:rsidRPr="00567F72">
        <w:rPr>
          <w:rFonts w:asciiTheme="minorHAnsi" w:hAnsiTheme="minorHAnsi" w:cstheme="minorHAnsi"/>
          <w:iCs/>
          <w:szCs w:val="24"/>
        </w:rPr>
        <w:t xml:space="preserve">The </w:t>
      </w:r>
      <w:r w:rsidR="00FF1C74" w:rsidRPr="00567F72">
        <w:rPr>
          <w:rFonts w:asciiTheme="minorHAnsi" w:hAnsiTheme="minorHAnsi" w:cstheme="minorHAnsi"/>
          <w:iCs/>
          <w:szCs w:val="24"/>
        </w:rPr>
        <w:t>Regulation must be notified</w:t>
      </w:r>
      <w:r w:rsidRPr="00567F72">
        <w:rPr>
          <w:rFonts w:asciiTheme="minorHAnsi" w:hAnsiTheme="minorHAnsi" w:cstheme="minorHAnsi"/>
          <w:iCs/>
          <w:szCs w:val="24"/>
        </w:rPr>
        <w:t xml:space="preserve"> on the Legislation Register</w:t>
      </w:r>
      <w:r w:rsidR="00FF1C74" w:rsidRPr="00567F72">
        <w:rPr>
          <w:rFonts w:asciiTheme="minorHAnsi" w:hAnsiTheme="minorHAnsi" w:cstheme="minorHAnsi"/>
          <w:iCs/>
          <w:szCs w:val="24"/>
        </w:rPr>
        <w:t xml:space="preserve"> and presented to the Legislative Assembly</w:t>
      </w:r>
      <w:r w:rsidRPr="00567F72">
        <w:rPr>
          <w:rFonts w:asciiTheme="minorHAnsi" w:hAnsiTheme="minorHAnsi" w:cstheme="minorHAnsi"/>
          <w:iCs/>
          <w:szCs w:val="24"/>
        </w:rPr>
        <w:t xml:space="preserve"> within six (6) sitting days</w:t>
      </w:r>
      <w:r w:rsidR="00D80207" w:rsidRPr="00567F72">
        <w:rPr>
          <w:rFonts w:asciiTheme="minorHAnsi" w:hAnsiTheme="minorHAnsi" w:cstheme="minorHAnsi"/>
          <w:iCs/>
          <w:szCs w:val="24"/>
        </w:rPr>
        <w:t xml:space="preserve"> under the </w:t>
      </w:r>
      <w:r w:rsidR="00D80207" w:rsidRPr="00567F72">
        <w:rPr>
          <w:rFonts w:asciiTheme="minorHAnsi" w:hAnsiTheme="minorHAnsi" w:cstheme="minorHAnsi"/>
          <w:i/>
          <w:szCs w:val="24"/>
        </w:rPr>
        <w:t>Legislation Act 2001</w:t>
      </w:r>
      <w:r w:rsidR="00FF1C74" w:rsidRPr="00567F72">
        <w:rPr>
          <w:rFonts w:asciiTheme="minorHAnsi" w:hAnsiTheme="minorHAnsi" w:cstheme="minorHAnsi"/>
          <w:iCs/>
          <w:szCs w:val="24"/>
        </w:rPr>
        <w:t>.</w:t>
      </w:r>
    </w:p>
    <w:bookmarkEnd w:id="0"/>
    <w:p w14:paraId="45DDC599" w14:textId="1F752D2C" w:rsidR="0099388D" w:rsidRPr="00567F72" w:rsidRDefault="00A62591" w:rsidP="00567F72">
      <w:pPr>
        <w:spacing w:before="120" w:line="276" w:lineRule="auto"/>
        <w:rPr>
          <w:rFonts w:asciiTheme="minorHAnsi" w:hAnsiTheme="minorHAnsi" w:cstheme="minorHAnsi"/>
          <w:b/>
          <w:bCs/>
          <w:iCs/>
          <w:szCs w:val="24"/>
          <w:u w:val="single"/>
        </w:rPr>
      </w:pPr>
      <w:r w:rsidRPr="00567F72">
        <w:rPr>
          <w:rFonts w:asciiTheme="minorHAnsi" w:hAnsiTheme="minorHAnsi" w:cstheme="minorHAnsi"/>
          <w:b/>
          <w:bCs/>
          <w:iCs/>
          <w:szCs w:val="24"/>
          <w:u w:val="single"/>
        </w:rPr>
        <w:t xml:space="preserve">Human rights implications </w:t>
      </w:r>
    </w:p>
    <w:p w14:paraId="311DEC43" w14:textId="4E6448BD" w:rsidR="00F37E0F" w:rsidRPr="00567F72" w:rsidRDefault="00F37E0F" w:rsidP="00567F72">
      <w:pPr>
        <w:spacing w:before="120" w:line="276" w:lineRule="auto"/>
        <w:rPr>
          <w:rFonts w:asciiTheme="minorHAnsi" w:hAnsiTheme="minorHAnsi" w:cstheme="minorHAnsi"/>
          <w:iCs/>
          <w:szCs w:val="24"/>
        </w:rPr>
      </w:pPr>
      <w:r w:rsidRPr="00567F72">
        <w:rPr>
          <w:rFonts w:asciiTheme="minorHAnsi" w:hAnsiTheme="minorHAnsi" w:cstheme="minorHAnsi"/>
          <w:iCs/>
          <w:szCs w:val="24"/>
        </w:rPr>
        <w:t xml:space="preserve">During the development of this Instrument, due regard was given to its effect in relation to the compatibility with human rights as set out in the </w:t>
      </w:r>
      <w:r w:rsidRPr="00567F72">
        <w:rPr>
          <w:rFonts w:asciiTheme="minorHAnsi" w:hAnsiTheme="minorHAnsi" w:cstheme="minorHAnsi"/>
          <w:i/>
          <w:szCs w:val="24"/>
        </w:rPr>
        <w:t>Human Rights Act 2004</w:t>
      </w:r>
      <w:r w:rsidRPr="00567F72">
        <w:rPr>
          <w:rFonts w:asciiTheme="minorHAnsi" w:hAnsiTheme="minorHAnsi" w:cstheme="minorHAnsi"/>
          <w:iCs/>
          <w:szCs w:val="24"/>
        </w:rPr>
        <w:t xml:space="preserve"> (HRA).</w:t>
      </w:r>
    </w:p>
    <w:p w14:paraId="78476462" w14:textId="544AFAAD" w:rsidR="002C71F6" w:rsidRPr="00567F72" w:rsidRDefault="002C71F6" w:rsidP="00567F72">
      <w:pPr>
        <w:spacing w:before="120" w:line="276" w:lineRule="auto"/>
        <w:rPr>
          <w:rFonts w:asciiTheme="minorHAnsi" w:hAnsiTheme="minorHAnsi" w:cstheme="minorHAnsi"/>
          <w:iCs/>
          <w:szCs w:val="24"/>
        </w:rPr>
      </w:pPr>
      <w:r w:rsidRPr="00567F72">
        <w:rPr>
          <w:rFonts w:asciiTheme="minorHAnsi" w:hAnsiTheme="minorHAnsi" w:cstheme="minorHAnsi"/>
          <w:iCs/>
          <w:szCs w:val="24"/>
        </w:rPr>
        <w:lastRenderedPageBreak/>
        <w:t xml:space="preserve">The Regulation engages the right to liberty and security of person (section 18 of the HRA) in relation to vulnerable people accessing regulated activities </w:t>
      </w:r>
      <w:r w:rsidR="00C63B37">
        <w:rPr>
          <w:rFonts w:asciiTheme="minorHAnsi" w:hAnsiTheme="minorHAnsi" w:cstheme="minorHAnsi"/>
          <w:iCs/>
          <w:szCs w:val="24"/>
        </w:rPr>
        <w:t xml:space="preserve">regarding </w:t>
      </w:r>
      <w:r w:rsidRPr="00567F72">
        <w:rPr>
          <w:rFonts w:asciiTheme="minorHAnsi" w:hAnsiTheme="minorHAnsi" w:cstheme="minorHAnsi"/>
          <w:iCs/>
          <w:szCs w:val="24"/>
        </w:rPr>
        <w:t>their vulnerability.</w:t>
      </w:r>
    </w:p>
    <w:p w14:paraId="7BFF0E3B" w14:textId="15B3BC75" w:rsidR="002C71F6" w:rsidRPr="00567F72" w:rsidRDefault="002C71F6" w:rsidP="00567F72">
      <w:pPr>
        <w:spacing w:before="120" w:line="276" w:lineRule="auto"/>
        <w:rPr>
          <w:rFonts w:asciiTheme="minorHAnsi" w:hAnsiTheme="minorHAnsi" w:cstheme="minorHAnsi"/>
          <w:iCs/>
          <w:szCs w:val="24"/>
        </w:rPr>
      </w:pPr>
      <w:r w:rsidRPr="00567F72">
        <w:rPr>
          <w:rFonts w:asciiTheme="minorHAnsi" w:hAnsiTheme="minorHAnsi" w:cstheme="minorHAnsi"/>
          <w:iCs/>
          <w:szCs w:val="24"/>
        </w:rPr>
        <w:t xml:space="preserve">The Regulation engages this right because the Commissioner </w:t>
      </w:r>
      <w:r w:rsidR="00A56369">
        <w:rPr>
          <w:rFonts w:asciiTheme="minorHAnsi" w:hAnsiTheme="minorHAnsi" w:cstheme="minorHAnsi"/>
          <w:iCs/>
          <w:szCs w:val="24"/>
        </w:rPr>
        <w:t xml:space="preserve">for Fair Trading (the Commissioner) </w:t>
      </w:r>
      <w:r w:rsidRPr="00567F72">
        <w:rPr>
          <w:rFonts w:asciiTheme="minorHAnsi" w:hAnsiTheme="minorHAnsi" w:cstheme="minorHAnsi"/>
          <w:iCs/>
          <w:szCs w:val="24"/>
        </w:rPr>
        <w:t xml:space="preserve">will engage in a higher level of risk by exempting ADF personnel and public employees to provide the workforce capacity required to deliver an effective and urgent response to the public health emergency. </w:t>
      </w:r>
    </w:p>
    <w:p w14:paraId="02D1DBA8" w14:textId="70F2AE7F" w:rsidR="002C71F6" w:rsidRPr="00567F72" w:rsidRDefault="002C71F6" w:rsidP="00567F72">
      <w:pPr>
        <w:spacing w:before="120" w:line="276" w:lineRule="auto"/>
        <w:rPr>
          <w:rFonts w:asciiTheme="minorHAnsi" w:hAnsiTheme="minorHAnsi" w:cstheme="minorHAnsi"/>
          <w:iCs/>
          <w:szCs w:val="24"/>
        </w:rPr>
      </w:pPr>
      <w:r w:rsidRPr="00567F72">
        <w:rPr>
          <w:rFonts w:asciiTheme="minorHAnsi" w:hAnsiTheme="minorHAnsi" w:cstheme="minorHAnsi"/>
          <w:iCs/>
          <w:szCs w:val="24"/>
        </w:rPr>
        <w:t xml:space="preserve">The </w:t>
      </w:r>
      <w:r w:rsidR="003C237D" w:rsidRPr="00567F72">
        <w:rPr>
          <w:rFonts w:asciiTheme="minorHAnsi" w:hAnsiTheme="minorHAnsi" w:cstheme="minorHAnsi"/>
          <w:iCs/>
          <w:szCs w:val="24"/>
        </w:rPr>
        <w:t>Regulation</w:t>
      </w:r>
      <w:r w:rsidRPr="00567F72">
        <w:rPr>
          <w:rFonts w:asciiTheme="minorHAnsi" w:hAnsiTheme="minorHAnsi" w:cstheme="minorHAnsi"/>
          <w:iCs/>
          <w:szCs w:val="24"/>
        </w:rPr>
        <w:t xml:space="preserve"> do</w:t>
      </w:r>
      <w:r w:rsidR="003C237D" w:rsidRPr="00567F72">
        <w:rPr>
          <w:rFonts w:asciiTheme="minorHAnsi" w:hAnsiTheme="minorHAnsi" w:cstheme="minorHAnsi"/>
          <w:iCs/>
          <w:szCs w:val="24"/>
        </w:rPr>
        <w:t xml:space="preserve">es </w:t>
      </w:r>
      <w:r w:rsidRPr="00567F72">
        <w:rPr>
          <w:rFonts w:asciiTheme="minorHAnsi" w:hAnsiTheme="minorHAnsi" w:cstheme="minorHAnsi"/>
          <w:iCs/>
          <w:szCs w:val="24"/>
        </w:rPr>
        <w:t xml:space="preserve">not limit this right because ADF personnel and public employees are </w:t>
      </w:r>
      <w:r w:rsidR="003C237D" w:rsidRPr="00567F72">
        <w:rPr>
          <w:rFonts w:asciiTheme="minorHAnsi" w:hAnsiTheme="minorHAnsi" w:cstheme="minorHAnsi"/>
          <w:iCs/>
          <w:szCs w:val="24"/>
        </w:rPr>
        <w:t xml:space="preserve">subject to other regulatory obligations, including police checks and security clearances. Exempt individuals are also </w:t>
      </w:r>
      <w:r w:rsidRPr="00567F72">
        <w:rPr>
          <w:rFonts w:asciiTheme="minorHAnsi" w:hAnsiTheme="minorHAnsi" w:cstheme="minorHAnsi"/>
          <w:iCs/>
          <w:szCs w:val="24"/>
        </w:rPr>
        <w:t>limited to engaging in regulated activities for the purposes of supporting the ACT</w:t>
      </w:r>
      <w:r w:rsidR="00526A59">
        <w:rPr>
          <w:rFonts w:asciiTheme="minorHAnsi" w:hAnsiTheme="minorHAnsi" w:cstheme="minorHAnsi"/>
          <w:iCs/>
          <w:szCs w:val="24"/>
        </w:rPr>
        <w:t xml:space="preserve"> Government’s</w:t>
      </w:r>
      <w:r w:rsidRPr="00567F72">
        <w:rPr>
          <w:rFonts w:asciiTheme="minorHAnsi" w:hAnsiTheme="minorHAnsi" w:cstheme="minorHAnsi"/>
          <w:iCs/>
          <w:szCs w:val="24"/>
        </w:rPr>
        <w:t xml:space="preserve"> response to the COVID-19 public health emergency. In addition, these individuals are subject to all other reporting obligations.  </w:t>
      </w:r>
    </w:p>
    <w:p w14:paraId="111E3F8E" w14:textId="3844FEC5" w:rsidR="002C71F6" w:rsidRPr="00567F72" w:rsidRDefault="002C71F6" w:rsidP="00567F72">
      <w:pPr>
        <w:spacing w:before="120" w:line="276" w:lineRule="auto"/>
        <w:rPr>
          <w:rFonts w:asciiTheme="minorHAnsi" w:hAnsiTheme="minorHAnsi" w:cstheme="minorHAnsi"/>
        </w:rPr>
      </w:pPr>
      <w:r w:rsidRPr="00567F72">
        <w:rPr>
          <w:rFonts w:asciiTheme="minorHAnsi" w:hAnsiTheme="minorHAnsi" w:cstheme="minorHAnsi"/>
        </w:rPr>
        <w:t>The Commissioner maintains the power to revoke the exemption in relation to any person during the period of a public health emergency</w:t>
      </w:r>
      <w:r w:rsidR="00917322">
        <w:rPr>
          <w:rFonts w:asciiTheme="minorHAnsi" w:hAnsiTheme="minorHAnsi" w:cstheme="minorHAnsi"/>
        </w:rPr>
        <w:t>,</w:t>
      </w:r>
      <w:r w:rsidRPr="00567F72">
        <w:rPr>
          <w:rFonts w:asciiTheme="minorHAnsi" w:hAnsiTheme="minorHAnsi" w:cstheme="minorHAnsi"/>
        </w:rPr>
        <w:t xml:space="preserve"> where the</w:t>
      </w:r>
      <w:r w:rsidR="00917322">
        <w:rPr>
          <w:rFonts w:asciiTheme="minorHAnsi" w:hAnsiTheme="minorHAnsi" w:cstheme="minorHAnsi"/>
        </w:rPr>
        <w:t xml:space="preserve"> individual is</w:t>
      </w:r>
      <w:r w:rsidRPr="00567F72">
        <w:rPr>
          <w:rFonts w:asciiTheme="minorHAnsi" w:hAnsiTheme="minorHAnsi" w:cstheme="minorHAnsi"/>
        </w:rPr>
        <w:t xml:space="preserve"> subsequently assessed as an unacceptable risk of harm to </w:t>
      </w:r>
      <w:r w:rsidR="007C2129">
        <w:rPr>
          <w:rFonts w:asciiTheme="minorHAnsi" w:hAnsiTheme="minorHAnsi" w:cstheme="minorHAnsi"/>
        </w:rPr>
        <w:t xml:space="preserve">children and </w:t>
      </w:r>
      <w:r w:rsidRPr="00567F72">
        <w:rPr>
          <w:rFonts w:asciiTheme="minorHAnsi" w:hAnsiTheme="minorHAnsi" w:cstheme="minorHAnsi"/>
        </w:rPr>
        <w:t xml:space="preserve">vulnerable people. This </w:t>
      </w:r>
      <w:r w:rsidR="00AE368E">
        <w:rPr>
          <w:rFonts w:asciiTheme="minorHAnsi" w:hAnsiTheme="minorHAnsi" w:cstheme="minorHAnsi"/>
        </w:rPr>
        <w:t>reduces the risk of potential harm to</w:t>
      </w:r>
      <w:r w:rsidRPr="00AE368E">
        <w:rPr>
          <w:rFonts w:asciiTheme="minorHAnsi" w:hAnsiTheme="minorHAnsi" w:cstheme="minorHAnsi"/>
        </w:rPr>
        <w:t xml:space="preserve"> </w:t>
      </w:r>
      <w:r w:rsidR="00CE034E">
        <w:rPr>
          <w:rFonts w:asciiTheme="minorHAnsi" w:hAnsiTheme="minorHAnsi" w:cstheme="minorHAnsi"/>
        </w:rPr>
        <w:t xml:space="preserve">children and </w:t>
      </w:r>
      <w:r w:rsidRPr="00AE368E">
        <w:rPr>
          <w:rFonts w:asciiTheme="minorHAnsi" w:hAnsiTheme="minorHAnsi" w:cstheme="minorHAnsi"/>
        </w:rPr>
        <w:t>vulnerable people</w:t>
      </w:r>
      <w:r w:rsidRPr="00567F72">
        <w:rPr>
          <w:rFonts w:asciiTheme="minorHAnsi" w:hAnsiTheme="minorHAnsi" w:cstheme="minorHAnsi"/>
        </w:rPr>
        <w:t xml:space="preserve"> and protect</w:t>
      </w:r>
      <w:r w:rsidR="00783711">
        <w:rPr>
          <w:rFonts w:asciiTheme="minorHAnsi" w:hAnsiTheme="minorHAnsi" w:cstheme="minorHAnsi"/>
        </w:rPr>
        <w:t>s</w:t>
      </w:r>
      <w:r w:rsidRPr="00567F72">
        <w:rPr>
          <w:rFonts w:asciiTheme="minorHAnsi" w:hAnsiTheme="minorHAnsi" w:cstheme="minorHAnsi"/>
        </w:rPr>
        <w:t xml:space="preserve"> the rights and dignity of vulnerable people by limiting their exposure to people who pose a risk to their safety, welfare and wellbeing.</w:t>
      </w:r>
    </w:p>
    <w:p w14:paraId="224E10E0" w14:textId="044EA9F7" w:rsidR="00AF0749" w:rsidRPr="00567F72" w:rsidRDefault="002C71F6" w:rsidP="00567F72">
      <w:pPr>
        <w:spacing w:before="120" w:line="276" w:lineRule="auto"/>
        <w:rPr>
          <w:rFonts w:asciiTheme="minorHAnsi" w:hAnsiTheme="minorHAnsi" w:cstheme="minorHAnsi"/>
        </w:rPr>
      </w:pPr>
      <w:r w:rsidRPr="00567F72">
        <w:rPr>
          <w:rFonts w:asciiTheme="minorHAnsi" w:hAnsiTheme="minorHAnsi" w:cstheme="minorHAnsi"/>
        </w:rPr>
        <w:t xml:space="preserve">The </w:t>
      </w:r>
      <w:r w:rsidR="003C237D" w:rsidRPr="00567F72">
        <w:rPr>
          <w:rFonts w:asciiTheme="minorHAnsi" w:hAnsiTheme="minorHAnsi" w:cstheme="minorHAnsi"/>
        </w:rPr>
        <w:t>amendment section expires 12 months after the day it commences.</w:t>
      </w:r>
    </w:p>
    <w:p w14:paraId="43264A17" w14:textId="55FBEA96" w:rsidR="003C237D" w:rsidRPr="00567F72" w:rsidRDefault="003C237D" w:rsidP="00567F72">
      <w:pPr>
        <w:pStyle w:val="Heading2"/>
      </w:pPr>
      <w:r w:rsidRPr="00567F72">
        <w:t xml:space="preserve">Clause Notes </w:t>
      </w:r>
    </w:p>
    <w:p w14:paraId="6EF04578" w14:textId="36B84B01" w:rsidR="003C237D" w:rsidRPr="00567F72" w:rsidRDefault="003C237D" w:rsidP="00567F72">
      <w:pPr>
        <w:pStyle w:val="Heading3"/>
      </w:pPr>
      <w:r w:rsidRPr="00567F72">
        <w:t xml:space="preserve">Clause </w:t>
      </w:r>
      <w:r w:rsidR="004C6547">
        <w:fldChar w:fldCharType="begin"/>
      </w:r>
      <w:r w:rsidR="004C6547">
        <w:instrText xml:space="preserve"> SEQ Clause \* ARABIC </w:instrText>
      </w:r>
      <w:r w:rsidR="004C6547">
        <w:fldChar w:fldCharType="separate"/>
      </w:r>
      <w:r w:rsidRPr="00567F72">
        <w:t>1</w:t>
      </w:r>
      <w:r w:rsidR="004C6547">
        <w:fldChar w:fldCharType="end"/>
      </w:r>
      <w:r w:rsidRPr="00567F72">
        <w:t xml:space="preserve"> — Name of Regulation</w:t>
      </w:r>
    </w:p>
    <w:p w14:paraId="03F564A3" w14:textId="554B1E44" w:rsidR="003C237D" w:rsidRPr="00567F72" w:rsidRDefault="003C237D" w:rsidP="00567F72">
      <w:pPr>
        <w:spacing w:before="120" w:line="276" w:lineRule="auto"/>
        <w:rPr>
          <w:rFonts w:asciiTheme="minorHAnsi" w:eastAsia="Calibri" w:hAnsiTheme="minorHAnsi" w:cstheme="minorHAnsi"/>
        </w:rPr>
      </w:pPr>
      <w:r w:rsidRPr="00567F72">
        <w:rPr>
          <w:rFonts w:asciiTheme="minorHAnsi" w:eastAsia="Calibri" w:hAnsiTheme="minorHAnsi" w:cstheme="minorHAnsi"/>
        </w:rPr>
        <w:t>This clause provides that the name of the regulation is the Working with Vulnerable People (Background Checking) Amendment Regulation 2020 (No 1).</w:t>
      </w:r>
    </w:p>
    <w:p w14:paraId="291B8DA3" w14:textId="2541CFF6" w:rsidR="003C237D" w:rsidRPr="00567F72" w:rsidRDefault="003C237D" w:rsidP="00567F72">
      <w:pPr>
        <w:pStyle w:val="Heading3"/>
      </w:pPr>
      <w:r w:rsidRPr="00567F72">
        <w:t xml:space="preserve">Clause </w:t>
      </w:r>
      <w:r w:rsidR="004C6547">
        <w:fldChar w:fldCharType="begin"/>
      </w:r>
      <w:r w:rsidR="004C6547">
        <w:instrText xml:space="preserve"> SEQ Clause \* ARABIC </w:instrText>
      </w:r>
      <w:r w:rsidR="004C6547">
        <w:fldChar w:fldCharType="separate"/>
      </w:r>
      <w:r w:rsidRPr="00567F72">
        <w:t>2</w:t>
      </w:r>
      <w:r w:rsidR="004C6547">
        <w:fldChar w:fldCharType="end"/>
      </w:r>
      <w:r w:rsidRPr="00567F72">
        <w:t xml:space="preserve"> — Commencement</w:t>
      </w:r>
    </w:p>
    <w:p w14:paraId="68D3DCB8" w14:textId="74CFABF1" w:rsidR="003C237D" w:rsidRPr="00567F72" w:rsidRDefault="003C237D" w:rsidP="00917322">
      <w:pPr>
        <w:spacing w:before="120" w:line="276" w:lineRule="auto"/>
        <w:ind w:right="-57"/>
        <w:rPr>
          <w:rFonts w:asciiTheme="minorHAnsi" w:eastAsia="Calibri" w:hAnsiTheme="minorHAnsi" w:cstheme="minorHAnsi"/>
        </w:rPr>
      </w:pPr>
      <w:r w:rsidRPr="00567F72">
        <w:rPr>
          <w:rFonts w:asciiTheme="minorHAnsi" w:eastAsia="Calibri" w:hAnsiTheme="minorHAnsi" w:cstheme="minorHAnsi"/>
        </w:rPr>
        <w:t xml:space="preserve">This clause provides that the </w:t>
      </w:r>
      <w:r w:rsidR="00917322">
        <w:rPr>
          <w:rFonts w:asciiTheme="minorHAnsi" w:eastAsia="Calibri" w:hAnsiTheme="minorHAnsi" w:cstheme="minorHAnsi"/>
        </w:rPr>
        <w:t>R</w:t>
      </w:r>
      <w:r w:rsidRPr="00567F72">
        <w:rPr>
          <w:rFonts w:asciiTheme="minorHAnsi" w:eastAsia="Calibri" w:hAnsiTheme="minorHAnsi" w:cstheme="minorHAnsi"/>
        </w:rPr>
        <w:t xml:space="preserve">egulation commences the day after its notification day. </w:t>
      </w:r>
    </w:p>
    <w:p w14:paraId="70C17B2A" w14:textId="28FCE8D4" w:rsidR="00567F72" w:rsidRPr="00567F72" w:rsidRDefault="00567F72" w:rsidP="00567F72">
      <w:pPr>
        <w:pStyle w:val="Heading3"/>
      </w:pPr>
      <w:r w:rsidRPr="00567F72">
        <w:t xml:space="preserve">Clause </w:t>
      </w:r>
      <w:r w:rsidR="004C6547">
        <w:fldChar w:fldCharType="begin"/>
      </w:r>
      <w:r w:rsidR="004C6547">
        <w:instrText xml:space="preserve"> SEQ Clause \* ARABIC </w:instrText>
      </w:r>
      <w:r w:rsidR="004C6547">
        <w:fldChar w:fldCharType="separate"/>
      </w:r>
      <w:r>
        <w:rPr>
          <w:noProof/>
        </w:rPr>
        <w:t>3</w:t>
      </w:r>
      <w:r w:rsidR="004C6547">
        <w:rPr>
          <w:noProof/>
        </w:rPr>
        <w:fldChar w:fldCharType="end"/>
      </w:r>
      <w:r w:rsidRPr="00567F72">
        <w:t xml:space="preserve"> — Legislation amended</w:t>
      </w:r>
    </w:p>
    <w:p w14:paraId="499F00D4" w14:textId="02C696A4" w:rsidR="00567F72" w:rsidRPr="00567F72" w:rsidRDefault="00567F72" w:rsidP="00567F72">
      <w:pPr>
        <w:spacing w:before="120" w:line="276" w:lineRule="auto"/>
        <w:rPr>
          <w:rFonts w:asciiTheme="minorHAnsi" w:eastAsia="Calibri" w:hAnsiTheme="minorHAnsi" w:cstheme="minorHAnsi"/>
        </w:rPr>
      </w:pPr>
      <w:r w:rsidRPr="00567F72">
        <w:rPr>
          <w:rFonts w:asciiTheme="minorHAnsi" w:eastAsia="Calibri" w:hAnsiTheme="minorHAnsi" w:cstheme="minorHAnsi"/>
        </w:rPr>
        <w:t xml:space="preserve">This clause provides that the </w:t>
      </w:r>
      <w:r w:rsidR="00917322">
        <w:rPr>
          <w:rFonts w:asciiTheme="minorHAnsi" w:eastAsia="Calibri" w:hAnsiTheme="minorHAnsi" w:cstheme="minorHAnsi"/>
        </w:rPr>
        <w:t>R</w:t>
      </w:r>
      <w:r w:rsidRPr="00567F72">
        <w:rPr>
          <w:rFonts w:asciiTheme="minorHAnsi" w:eastAsia="Calibri" w:hAnsiTheme="minorHAnsi" w:cstheme="minorHAnsi"/>
        </w:rPr>
        <w:t xml:space="preserve">egulation amends the Working with Vulnerable People (Background Checking) Regulation 2012. </w:t>
      </w:r>
    </w:p>
    <w:p w14:paraId="65158C47" w14:textId="05559441" w:rsidR="00567F72" w:rsidRPr="00567F72" w:rsidRDefault="00567F72" w:rsidP="00567F72">
      <w:pPr>
        <w:pStyle w:val="Heading3"/>
      </w:pPr>
      <w:r w:rsidRPr="00567F72">
        <w:t xml:space="preserve">Clause </w:t>
      </w:r>
      <w:r w:rsidR="004C6547">
        <w:fldChar w:fldCharType="begin"/>
      </w:r>
      <w:r w:rsidR="004C6547">
        <w:instrText xml:space="preserve"> SEQ Clause</w:instrText>
      </w:r>
      <w:r w:rsidR="004C6547">
        <w:instrText xml:space="preserve"> \* ARABIC </w:instrText>
      </w:r>
      <w:r w:rsidR="004C6547">
        <w:fldChar w:fldCharType="separate"/>
      </w:r>
      <w:r>
        <w:rPr>
          <w:noProof/>
        </w:rPr>
        <w:t>4</w:t>
      </w:r>
      <w:r w:rsidR="004C6547">
        <w:rPr>
          <w:noProof/>
        </w:rPr>
        <w:fldChar w:fldCharType="end"/>
      </w:r>
      <w:r w:rsidRPr="00567F72">
        <w:t xml:space="preserve"> — </w:t>
      </w:r>
      <w:r>
        <w:t>New Section 4A</w:t>
      </w:r>
    </w:p>
    <w:p w14:paraId="619951A4" w14:textId="5C1503F2" w:rsidR="00C836C7" w:rsidRPr="00567F72" w:rsidRDefault="00567F72" w:rsidP="00567F72">
      <w:pPr>
        <w:spacing w:before="120" w:line="276" w:lineRule="auto"/>
        <w:rPr>
          <w:rFonts w:asciiTheme="minorHAnsi" w:eastAsia="Calibri" w:hAnsiTheme="minorHAnsi" w:cstheme="minorHAnsi"/>
        </w:rPr>
      </w:pPr>
      <w:r w:rsidRPr="00567F72">
        <w:rPr>
          <w:rFonts w:asciiTheme="minorHAnsi" w:eastAsia="Calibri" w:hAnsiTheme="minorHAnsi" w:cstheme="minorHAnsi"/>
        </w:rPr>
        <w:t xml:space="preserve">This clause </w:t>
      </w:r>
      <w:r>
        <w:rPr>
          <w:rFonts w:asciiTheme="minorHAnsi" w:eastAsia="Calibri" w:hAnsiTheme="minorHAnsi" w:cstheme="minorHAnsi"/>
        </w:rPr>
        <w:t xml:space="preserve">inserts a new section 4A that exempts ADF personnel and Commonwealth, </w:t>
      </w:r>
      <w:r w:rsidR="0044152C">
        <w:rPr>
          <w:rFonts w:asciiTheme="minorHAnsi" w:eastAsia="Calibri" w:hAnsiTheme="minorHAnsi" w:cstheme="minorHAnsi"/>
        </w:rPr>
        <w:t>s</w:t>
      </w:r>
      <w:r>
        <w:rPr>
          <w:rFonts w:asciiTheme="minorHAnsi" w:eastAsia="Calibri" w:hAnsiTheme="minorHAnsi" w:cstheme="minorHAnsi"/>
        </w:rPr>
        <w:t xml:space="preserve">tate and </w:t>
      </w:r>
      <w:r w:rsidR="0044152C">
        <w:rPr>
          <w:rFonts w:asciiTheme="minorHAnsi" w:eastAsia="Calibri" w:hAnsiTheme="minorHAnsi" w:cstheme="minorHAnsi"/>
        </w:rPr>
        <w:t>t</w:t>
      </w:r>
      <w:r>
        <w:rPr>
          <w:rFonts w:asciiTheme="minorHAnsi" w:eastAsia="Calibri" w:hAnsiTheme="minorHAnsi" w:cstheme="minorHAnsi"/>
        </w:rPr>
        <w:t xml:space="preserve">erritory public employees from registration where they are engaging in regulated activities on behalf of the Territory and for a purpose related to the COVID-19 public health emergency. </w:t>
      </w:r>
    </w:p>
    <w:sectPr w:rsidR="00C836C7" w:rsidRPr="00567F72"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8247C" w14:textId="77777777" w:rsidR="00C33474" w:rsidRDefault="00C33474" w:rsidP="001440B3">
      <w:r>
        <w:separator/>
      </w:r>
    </w:p>
  </w:endnote>
  <w:endnote w:type="continuationSeparator" w:id="0">
    <w:p w14:paraId="653C0BF1" w14:textId="77777777" w:rsidR="00C33474" w:rsidRDefault="00C33474"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048D" w14:textId="77777777" w:rsidR="00152E23" w:rsidRDefault="0015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6223"/>
      <w:docPartObj>
        <w:docPartGallery w:val="Page Numbers (Bottom of Page)"/>
        <w:docPartUnique/>
      </w:docPartObj>
    </w:sdtPr>
    <w:sdtEndPr>
      <w:rPr>
        <w:noProof/>
      </w:rPr>
    </w:sdtEndPr>
    <w:sdtContent>
      <w:p w14:paraId="5D3E3726" w14:textId="611D40E9" w:rsidR="00D27483" w:rsidRDefault="00D274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77C31" w14:textId="249E3C89" w:rsidR="00152E23" w:rsidRPr="002610F4" w:rsidRDefault="002610F4" w:rsidP="002610F4">
    <w:pPr>
      <w:pStyle w:val="Footer"/>
      <w:jc w:val="center"/>
      <w:rPr>
        <w:rFonts w:cs="Arial"/>
        <w:sz w:val="14"/>
      </w:rPr>
    </w:pPr>
    <w:r w:rsidRPr="002610F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BF7E" w14:textId="77777777" w:rsidR="00152E23" w:rsidRDefault="0015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61C7" w14:textId="77777777" w:rsidR="00C33474" w:rsidRDefault="00C33474" w:rsidP="001440B3">
      <w:r>
        <w:separator/>
      </w:r>
    </w:p>
  </w:footnote>
  <w:footnote w:type="continuationSeparator" w:id="0">
    <w:p w14:paraId="1B695106" w14:textId="77777777" w:rsidR="00C33474" w:rsidRDefault="00C33474"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68A9" w14:textId="77777777" w:rsidR="00152E23" w:rsidRDefault="0015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913E" w14:textId="77777777" w:rsidR="00152E23" w:rsidRDefault="00152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2BAE" w14:textId="77777777" w:rsidR="00152E23" w:rsidRDefault="0015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E3F4408"/>
    <w:multiLevelType w:val="hybridMultilevel"/>
    <w:tmpl w:val="FBA6C732"/>
    <w:lvl w:ilvl="0" w:tplc="EABCCF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A43853"/>
    <w:multiLevelType w:val="hybridMultilevel"/>
    <w:tmpl w:val="F54AC5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D40462B"/>
    <w:multiLevelType w:val="hybridMultilevel"/>
    <w:tmpl w:val="4E0E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D7720FB"/>
    <w:multiLevelType w:val="hybridMultilevel"/>
    <w:tmpl w:val="D48EDE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E4783E"/>
    <w:multiLevelType w:val="hybridMultilevel"/>
    <w:tmpl w:val="CF1AAD08"/>
    <w:lvl w:ilvl="0" w:tplc="D930C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F1319B"/>
    <w:multiLevelType w:val="hybridMultilevel"/>
    <w:tmpl w:val="FBA6C732"/>
    <w:lvl w:ilvl="0" w:tplc="EABCCF4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0DD2483"/>
    <w:multiLevelType w:val="hybridMultilevel"/>
    <w:tmpl w:val="2424D612"/>
    <w:lvl w:ilvl="0" w:tplc="DCDEBEAA">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5"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4"/>
  </w:num>
  <w:num w:numId="4">
    <w:abstractNumId w:val="9"/>
  </w:num>
  <w:num w:numId="5">
    <w:abstractNumId w:val="13"/>
  </w:num>
  <w:num w:numId="6">
    <w:abstractNumId w:val="1"/>
  </w:num>
  <w:num w:numId="7">
    <w:abstractNumId w:val="7"/>
  </w:num>
  <w:num w:numId="8">
    <w:abstractNumId w:val="8"/>
  </w:num>
  <w:num w:numId="9">
    <w:abstractNumId w:val="15"/>
  </w:num>
  <w:num w:numId="10">
    <w:abstractNumId w:val="3"/>
  </w:num>
  <w:num w:numId="11">
    <w:abstractNumId w:val="12"/>
  </w:num>
  <w:num w:numId="12">
    <w:abstractNumId w:val="10"/>
  </w:num>
  <w:num w:numId="13">
    <w:abstractNumId w:val="14"/>
  </w:num>
  <w:num w:numId="14">
    <w:abstractNumId w:val="1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19"/>
    <w:rsid w:val="000053F7"/>
    <w:rsid w:val="00011DC5"/>
    <w:rsid w:val="00056009"/>
    <w:rsid w:val="00066092"/>
    <w:rsid w:val="00071A11"/>
    <w:rsid w:val="00092615"/>
    <w:rsid w:val="000A7E87"/>
    <w:rsid w:val="000D70D4"/>
    <w:rsid w:val="00110ACB"/>
    <w:rsid w:val="00120A16"/>
    <w:rsid w:val="001440B3"/>
    <w:rsid w:val="00152E23"/>
    <w:rsid w:val="00153995"/>
    <w:rsid w:val="001C6280"/>
    <w:rsid w:val="00222933"/>
    <w:rsid w:val="00240F20"/>
    <w:rsid w:val="002610F4"/>
    <w:rsid w:val="00265B2D"/>
    <w:rsid w:val="00265D35"/>
    <w:rsid w:val="00272714"/>
    <w:rsid w:val="00282E40"/>
    <w:rsid w:val="00283719"/>
    <w:rsid w:val="00284F38"/>
    <w:rsid w:val="002C32D4"/>
    <w:rsid w:val="002C71F6"/>
    <w:rsid w:val="00332A80"/>
    <w:rsid w:val="00374876"/>
    <w:rsid w:val="003C237D"/>
    <w:rsid w:val="0042011A"/>
    <w:rsid w:val="0044152C"/>
    <w:rsid w:val="0049353E"/>
    <w:rsid w:val="004C650C"/>
    <w:rsid w:val="004C6547"/>
    <w:rsid w:val="004E67E3"/>
    <w:rsid w:val="00525963"/>
    <w:rsid w:val="00526A59"/>
    <w:rsid w:val="00531684"/>
    <w:rsid w:val="00567F72"/>
    <w:rsid w:val="005A1BC0"/>
    <w:rsid w:val="005B0F63"/>
    <w:rsid w:val="00600F2E"/>
    <w:rsid w:val="0069351D"/>
    <w:rsid w:val="006E2EF7"/>
    <w:rsid w:val="007007E4"/>
    <w:rsid w:val="00783711"/>
    <w:rsid w:val="007C2129"/>
    <w:rsid w:val="007D0D8B"/>
    <w:rsid w:val="00825004"/>
    <w:rsid w:val="0082727A"/>
    <w:rsid w:val="00833C9E"/>
    <w:rsid w:val="0083503C"/>
    <w:rsid w:val="0085003F"/>
    <w:rsid w:val="00857C7B"/>
    <w:rsid w:val="008D751B"/>
    <w:rsid w:val="00917322"/>
    <w:rsid w:val="00946018"/>
    <w:rsid w:val="0099388D"/>
    <w:rsid w:val="00994813"/>
    <w:rsid w:val="00A2361D"/>
    <w:rsid w:val="00A31254"/>
    <w:rsid w:val="00A42964"/>
    <w:rsid w:val="00A42F5A"/>
    <w:rsid w:val="00A51CA0"/>
    <w:rsid w:val="00A56369"/>
    <w:rsid w:val="00A62591"/>
    <w:rsid w:val="00A9468A"/>
    <w:rsid w:val="00A964DA"/>
    <w:rsid w:val="00AA0424"/>
    <w:rsid w:val="00AA35F7"/>
    <w:rsid w:val="00AB558A"/>
    <w:rsid w:val="00AE368E"/>
    <w:rsid w:val="00AF0749"/>
    <w:rsid w:val="00B52E76"/>
    <w:rsid w:val="00B76E63"/>
    <w:rsid w:val="00B94987"/>
    <w:rsid w:val="00BB5504"/>
    <w:rsid w:val="00BF1BD2"/>
    <w:rsid w:val="00BF5A05"/>
    <w:rsid w:val="00BF7AE9"/>
    <w:rsid w:val="00C07E9D"/>
    <w:rsid w:val="00C152A0"/>
    <w:rsid w:val="00C33474"/>
    <w:rsid w:val="00C54130"/>
    <w:rsid w:val="00C63B37"/>
    <w:rsid w:val="00C836C7"/>
    <w:rsid w:val="00C9607A"/>
    <w:rsid w:val="00CE034E"/>
    <w:rsid w:val="00CE74C8"/>
    <w:rsid w:val="00CF535E"/>
    <w:rsid w:val="00D27483"/>
    <w:rsid w:val="00D47951"/>
    <w:rsid w:val="00D57945"/>
    <w:rsid w:val="00D80207"/>
    <w:rsid w:val="00DF204F"/>
    <w:rsid w:val="00E11FCA"/>
    <w:rsid w:val="00E71CFE"/>
    <w:rsid w:val="00E81022"/>
    <w:rsid w:val="00ED4B70"/>
    <w:rsid w:val="00EF0220"/>
    <w:rsid w:val="00F37E0F"/>
    <w:rsid w:val="00FC7B48"/>
    <w:rsid w:val="00FE2024"/>
    <w:rsid w:val="00FF1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54D96"/>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3C237D"/>
    <w:pPr>
      <w:keepNext/>
      <w:spacing w:before="240" w:after="120" w:line="276" w:lineRule="auto"/>
      <w:outlineLvl w:val="1"/>
    </w:pPr>
    <w:rPr>
      <w:rFonts w:asciiTheme="minorHAnsi" w:eastAsia="Calibri" w:hAnsiTheme="minorHAnsi" w:cstheme="minorHAnsi"/>
      <w:b/>
      <w:szCs w:val="24"/>
    </w:rPr>
  </w:style>
  <w:style w:type="paragraph" w:styleId="Heading3">
    <w:name w:val="heading 3"/>
    <w:basedOn w:val="Normal"/>
    <w:next w:val="Normal"/>
    <w:qFormat/>
    <w:rsid w:val="003C237D"/>
    <w:pPr>
      <w:keepNext/>
      <w:spacing w:before="240" w:after="120" w:line="276" w:lineRule="auto"/>
      <w:outlineLvl w:val="2"/>
    </w:pPr>
    <w:rPr>
      <w:rFonts w:asciiTheme="minorHAnsi" w:eastAsia="Calibri" w:hAnsiTheme="minorHAnsi" w:cstheme="minorHAnsi"/>
      <w:b/>
      <w:szCs w:val="24"/>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AA0424"/>
    <w:pPr>
      <w:ind w:left="720"/>
      <w:contextualSpacing/>
    </w:pPr>
  </w:style>
  <w:style w:type="paragraph" w:styleId="BalloonText">
    <w:name w:val="Balloon Text"/>
    <w:basedOn w:val="Normal"/>
    <w:link w:val="BalloonTextChar"/>
    <w:uiPriority w:val="99"/>
    <w:semiHidden/>
    <w:unhideWhenUsed/>
    <w:rsid w:val="00E81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02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A1BC0"/>
    <w:rPr>
      <w:sz w:val="16"/>
      <w:szCs w:val="16"/>
    </w:rPr>
  </w:style>
  <w:style w:type="paragraph" w:styleId="CommentText">
    <w:name w:val="annotation text"/>
    <w:basedOn w:val="Normal"/>
    <w:link w:val="CommentTextChar"/>
    <w:uiPriority w:val="99"/>
    <w:semiHidden/>
    <w:unhideWhenUsed/>
    <w:rsid w:val="005A1BC0"/>
    <w:rPr>
      <w:sz w:val="20"/>
    </w:rPr>
  </w:style>
  <w:style w:type="character" w:customStyle="1" w:styleId="CommentTextChar">
    <w:name w:val="Comment Text Char"/>
    <w:basedOn w:val="DefaultParagraphFont"/>
    <w:link w:val="CommentText"/>
    <w:uiPriority w:val="99"/>
    <w:semiHidden/>
    <w:rsid w:val="005A1BC0"/>
    <w:rPr>
      <w:lang w:eastAsia="en-US"/>
    </w:rPr>
  </w:style>
  <w:style w:type="paragraph" w:styleId="CommentSubject">
    <w:name w:val="annotation subject"/>
    <w:basedOn w:val="CommentText"/>
    <w:next w:val="CommentText"/>
    <w:link w:val="CommentSubjectChar"/>
    <w:uiPriority w:val="99"/>
    <w:semiHidden/>
    <w:unhideWhenUsed/>
    <w:rsid w:val="005A1BC0"/>
    <w:rPr>
      <w:b/>
      <w:bCs/>
    </w:rPr>
  </w:style>
  <w:style w:type="character" w:customStyle="1" w:styleId="CommentSubjectChar">
    <w:name w:val="Comment Subject Char"/>
    <w:basedOn w:val="CommentTextChar"/>
    <w:link w:val="CommentSubject"/>
    <w:uiPriority w:val="99"/>
    <w:semiHidden/>
    <w:rsid w:val="005A1BC0"/>
    <w:rPr>
      <w:b/>
      <w:bCs/>
      <w:lang w:eastAsia="en-US"/>
    </w:rPr>
  </w:style>
  <w:style w:type="character" w:customStyle="1" w:styleId="FooterChar">
    <w:name w:val="Footer Char"/>
    <w:basedOn w:val="DefaultParagraphFont"/>
    <w:link w:val="Footer"/>
    <w:uiPriority w:val="99"/>
    <w:rsid w:val="00D27483"/>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4549">
      <w:bodyDiv w:val="1"/>
      <w:marLeft w:val="0"/>
      <w:marRight w:val="0"/>
      <w:marTop w:val="0"/>
      <w:marBottom w:val="0"/>
      <w:divBdr>
        <w:top w:val="none" w:sz="0" w:space="0" w:color="auto"/>
        <w:left w:val="none" w:sz="0" w:space="0" w:color="auto"/>
        <w:bottom w:val="none" w:sz="0" w:space="0" w:color="auto"/>
        <w:right w:val="none" w:sz="0" w:space="0" w:color="auto"/>
      </w:divBdr>
    </w:div>
    <w:div w:id="1918398687">
      <w:bodyDiv w:val="1"/>
      <w:marLeft w:val="0"/>
      <w:marRight w:val="0"/>
      <w:marTop w:val="0"/>
      <w:marBottom w:val="0"/>
      <w:divBdr>
        <w:top w:val="none" w:sz="0" w:space="0" w:color="auto"/>
        <w:left w:val="none" w:sz="0" w:space="0" w:color="auto"/>
        <w:bottom w:val="none" w:sz="0" w:space="0" w:color="auto"/>
        <w:right w:val="none" w:sz="0" w:space="0" w:color="auto"/>
      </w:divBdr>
      <w:divsChild>
        <w:div w:id="1068072282">
          <w:marLeft w:val="0"/>
          <w:marRight w:val="0"/>
          <w:marTop w:val="0"/>
          <w:marBottom w:val="0"/>
          <w:divBdr>
            <w:top w:val="none" w:sz="0" w:space="0" w:color="auto"/>
            <w:left w:val="none" w:sz="0" w:space="0" w:color="auto"/>
            <w:bottom w:val="none" w:sz="0" w:space="0" w:color="auto"/>
            <w:right w:val="none" w:sz="0" w:space="0" w:color="auto"/>
          </w:divBdr>
        </w:div>
        <w:div w:id="160126784">
          <w:marLeft w:val="0"/>
          <w:marRight w:val="0"/>
          <w:marTop w:val="0"/>
          <w:marBottom w:val="0"/>
          <w:divBdr>
            <w:top w:val="none" w:sz="0" w:space="0" w:color="auto"/>
            <w:left w:val="none" w:sz="0" w:space="0" w:color="auto"/>
            <w:bottom w:val="none" w:sz="0" w:space="0" w:color="auto"/>
            <w:right w:val="none" w:sz="0" w:space="0" w:color="auto"/>
          </w:divBdr>
        </w:div>
        <w:div w:id="1367873210">
          <w:marLeft w:val="0"/>
          <w:marRight w:val="0"/>
          <w:marTop w:val="0"/>
          <w:marBottom w:val="0"/>
          <w:divBdr>
            <w:top w:val="none" w:sz="0" w:space="0" w:color="auto"/>
            <w:left w:val="none" w:sz="0" w:space="0" w:color="auto"/>
            <w:bottom w:val="none" w:sz="0" w:space="0" w:color="auto"/>
            <w:right w:val="none" w:sz="0" w:space="0" w:color="auto"/>
          </w:divBdr>
        </w:div>
        <w:div w:id="1668555866">
          <w:marLeft w:val="0"/>
          <w:marRight w:val="0"/>
          <w:marTop w:val="0"/>
          <w:marBottom w:val="0"/>
          <w:divBdr>
            <w:top w:val="none" w:sz="0" w:space="0" w:color="auto"/>
            <w:left w:val="none" w:sz="0" w:space="0" w:color="auto"/>
            <w:bottom w:val="none" w:sz="0" w:space="0" w:color="auto"/>
            <w:right w:val="none" w:sz="0" w:space="0" w:color="auto"/>
          </w:divBdr>
        </w:div>
        <w:div w:id="405538248">
          <w:marLeft w:val="0"/>
          <w:marRight w:val="0"/>
          <w:marTop w:val="0"/>
          <w:marBottom w:val="0"/>
          <w:divBdr>
            <w:top w:val="none" w:sz="0" w:space="0" w:color="auto"/>
            <w:left w:val="none" w:sz="0" w:space="0" w:color="auto"/>
            <w:bottom w:val="none" w:sz="0" w:space="0" w:color="auto"/>
            <w:right w:val="none" w:sz="0" w:space="0" w:color="auto"/>
          </w:divBdr>
        </w:div>
        <w:div w:id="1687636123">
          <w:marLeft w:val="0"/>
          <w:marRight w:val="0"/>
          <w:marTop w:val="0"/>
          <w:marBottom w:val="0"/>
          <w:divBdr>
            <w:top w:val="none" w:sz="0" w:space="0" w:color="auto"/>
            <w:left w:val="none" w:sz="0" w:space="0" w:color="auto"/>
            <w:bottom w:val="none" w:sz="0" w:space="0" w:color="auto"/>
            <w:right w:val="none" w:sz="0" w:space="0" w:color="auto"/>
          </w:divBdr>
        </w:div>
        <w:div w:id="95180212">
          <w:marLeft w:val="0"/>
          <w:marRight w:val="0"/>
          <w:marTop w:val="0"/>
          <w:marBottom w:val="0"/>
          <w:divBdr>
            <w:top w:val="none" w:sz="0" w:space="0" w:color="auto"/>
            <w:left w:val="none" w:sz="0" w:space="0" w:color="auto"/>
            <w:bottom w:val="none" w:sz="0" w:space="0" w:color="auto"/>
            <w:right w:val="none" w:sz="0" w:space="0" w:color="auto"/>
          </w:divBdr>
        </w:div>
        <w:div w:id="2123183308">
          <w:marLeft w:val="0"/>
          <w:marRight w:val="0"/>
          <w:marTop w:val="0"/>
          <w:marBottom w:val="0"/>
          <w:divBdr>
            <w:top w:val="none" w:sz="0" w:space="0" w:color="auto"/>
            <w:left w:val="none" w:sz="0" w:space="0" w:color="auto"/>
            <w:bottom w:val="none" w:sz="0" w:space="0" w:color="auto"/>
            <w:right w:val="none" w:sz="0" w:space="0" w:color="auto"/>
          </w:divBdr>
        </w:div>
        <w:div w:id="412581300">
          <w:marLeft w:val="0"/>
          <w:marRight w:val="0"/>
          <w:marTop w:val="0"/>
          <w:marBottom w:val="0"/>
          <w:divBdr>
            <w:top w:val="none" w:sz="0" w:space="0" w:color="auto"/>
            <w:left w:val="none" w:sz="0" w:space="0" w:color="auto"/>
            <w:bottom w:val="none" w:sz="0" w:space="0" w:color="auto"/>
            <w:right w:val="none" w:sz="0" w:space="0" w:color="auto"/>
          </w:divBdr>
        </w:div>
        <w:div w:id="490560464">
          <w:marLeft w:val="0"/>
          <w:marRight w:val="0"/>
          <w:marTop w:val="0"/>
          <w:marBottom w:val="0"/>
          <w:divBdr>
            <w:top w:val="none" w:sz="0" w:space="0" w:color="auto"/>
            <w:left w:val="none" w:sz="0" w:space="0" w:color="auto"/>
            <w:bottom w:val="none" w:sz="0" w:space="0" w:color="auto"/>
            <w:right w:val="none" w:sz="0" w:space="0" w:color="auto"/>
          </w:divBdr>
        </w:div>
        <w:div w:id="1680430020">
          <w:marLeft w:val="0"/>
          <w:marRight w:val="0"/>
          <w:marTop w:val="0"/>
          <w:marBottom w:val="0"/>
          <w:divBdr>
            <w:top w:val="none" w:sz="0" w:space="0" w:color="auto"/>
            <w:left w:val="none" w:sz="0" w:space="0" w:color="auto"/>
            <w:bottom w:val="none" w:sz="0" w:space="0" w:color="auto"/>
            <w:right w:val="none" w:sz="0" w:space="0" w:color="auto"/>
          </w:divBdr>
        </w:div>
        <w:div w:id="886066677">
          <w:marLeft w:val="0"/>
          <w:marRight w:val="0"/>
          <w:marTop w:val="0"/>
          <w:marBottom w:val="0"/>
          <w:divBdr>
            <w:top w:val="none" w:sz="0" w:space="0" w:color="auto"/>
            <w:left w:val="none" w:sz="0" w:space="0" w:color="auto"/>
            <w:bottom w:val="none" w:sz="0" w:space="0" w:color="auto"/>
            <w:right w:val="none" w:sz="0" w:space="0" w:color="auto"/>
          </w:divBdr>
        </w:div>
        <w:div w:id="1316566442">
          <w:marLeft w:val="0"/>
          <w:marRight w:val="0"/>
          <w:marTop w:val="0"/>
          <w:marBottom w:val="0"/>
          <w:divBdr>
            <w:top w:val="none" w:sz="0" w:space="0" w:color="auto"/>
            <w:left w:val="none" w:sz="0" w:space="0" w:color="auto"/>
            <w:bottom w:val="none" w:sz="0" w:space="0" w:color="auto"/>
            <w:right w:val="none" w:sz="0" w:space="0" w:color="auto"/>
          </w:divBdr>
        </w:div>
        <w:div w:id="1235433629">
          <w:marLeft w:val="0"/>
          <w:marRight w:val="0"/>
          <w:marTop w:val="0"/>
          <w:marBottom w:val="0"/>
          <w:divBdr>
            <w:top w:val="none" w:sz="0" w:space="0" w:color="auto"/>
            <w:left w:val="none" w:sz="0" w:space="0" w:color="auto"/>
            <w:bottom w:val="none" w:sz="0" w:space="0" w:color="auto"/>
            <w:right w:val="none" w:sz="0" w:space="0" w:color="auto"/>
          </w:divBdr>
        </w:div>
        <w:div w:id="1719426982">
          <w:marLeft w:val="0"/>
          <w:marRight w:val="0"/>
          <w:marTop w:val="0"/>
          <w:marBottom w:val="0"/>
          <w:divBdr>
            <w:top w:val="none" w:sz="0" w:space="0" w:color="auto"/>
            <w:left w:val="none" w:sz="0" w:space="0" w:color="auto"/>
            <w:bottom w:val="none" w:sz="0" w:space="0" w:color="auto"/>
            <w:right w:val="none" w:sz="0" w:space="0" w:color="auto"/>
          </w:divBdr>
        </w:div>
        <w:div w:id="30890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3629</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2004-04-05T00:37:00Z</cp:lastPrinted>
  <dcterms:created xsi:type="dcterms:W3CDTF">2020-05-05T01:10:00Z</dcterms:created>
  <dcterms:modified xsi:type="dcterms:W3CDTF">2020-05-05T01:21:00Z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A25359321</vt:lpwstr>
  </property>
  <property fmtid="{D5CDD505-2E9C-101B-9397-08002B2CF9AE}" pid="4" name="Objective-Title">
    <vt:lpwstr>Explanatory Statement - Working with Vulnerable People (Background Checking) Australian Defence Force Staff Declaration 2020 (No 1) copy</vt:lpwstr>
  </property>
  <property fmtid="{D5CDD505-2E9C-101B-9397-08002B2CF9AE}" pid="5" name="Objective-Comment">
    <vt:lpwstr/>
  </property>
  <property fmtid="{D5CDD505-2E9C-101B-9397-08002B2CF9AE}" pid="6" name="Objective-CreationStamp">
    <vt:filetime>2020-04-03T05:21:06Z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2020-04-05T22:34:36Z</vt:filetime>
  </property>
  <property fmtid="{D5CDD505-2E9C-101B-9397-08002B2CF9AE}" pid="10" name="Objective-ModificationStamp">
    <vt:filetime>2020-04-05T22:34:36Z</vt:filetime>
  </property>
  <property fmtid="{D5CDD505-2E9C-101B-9397-08002B2CF9AE}" pid="11" name="Objective-Owner">
    <vt:lpwstr>Cath Matthews</vt:lpwstr>
  </property>
  <property fmtid="{D5CDD505-2E9C-101B-9397-08002B2CF9AE}" pid="12" name="Objective-Path">
    <vt:lpwstr>Whole of ACT Government:AC - Access Canberra:16. BRANCH - Projects, Governance &amp; Support:SECTION - Policy &amp; Coordination:UNIT - Government Business &amp; Coordination:12. Items requiring coordination/Input from divisions:2020 - Items requiring coordination/In</vt:lpwstr>
  </property>
  <property fmtid="{D5CDD505-2E9C-101B-9397-08002B2CF9AE}" pid="13" name="Objective-Parent">
    <vt:lpwstr>Working with Vulnerable People (Background Checking) Australian Defence Force Declaration 2020 (No 1)</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1-2020/15100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