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DDB5C"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bookmarkEnd w:id="0"/>
    <w:p w14:paraId="628C4E1E" w14:textId="1FFBB858" w:rsidR="00FE3B1D" w:rsidRPr="002F09FF" w:rsidRDefault="00FE3B1D" w:rsidP="00FE3B1D">
      <w:pPr>
        <w:pStyle w:val="Billname"/>
        <w:spacing w:before="700"/>
      </w:pPr>
      <w:r>
        <w:t>Crimes (Sentence Administration) (</w:t>
      </w:r>
      <w:fldSimple w:instr=" DOCPROPERTY  AppointmentTopic  \* MERGEFORMAT ">
        <w:r>
          <w:t>Sentence Administration Board</w:t>
        </w:r>
      </w:fldSimple>
      <w:r>
        <w:t xml:space="preserve">) Appointment </w:t>
      </w:r>
      <w:fldSimple w:instr=" DOCPROPERTY  Year  \* MERGEFORMAT ">
        <w:r>
          <w:t>2020</w:t>
        </w:r>
      </w:fldSimple>
      <w:r>
        <w:t xml:space="preserve"> </w:t>
      </w:r>
      <w:r w:rsidRPr="002F09FF">
        <w:t>(No</w:t>
      </w:r>
      <w:r>
        <w:t xml:space="preserve"> 8</w:t>
      </w:r>
      <w:r w:rsidRPr="002F09FF">
        <w:t>)</w:t>
      </w:r>
    </w:p>
    <w:p w14:paraId="3B9DB34F" w14:textId="1D04AF74" w:rsidR="00FE3B1D" w:rsidRDefault="00FE3B1D" w:rsidP="00FE3B1D">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2020</w:t>
      </w:r>
      <w:r>
        <w:rPr>
          <w:rFonts w:ascii="Arial" w:hAnsi="Arial" w:cs="Arial"/>
          <w:b/>
          <w:bCs/>
        </w:rPr>
        <w:fldChar w:fldCharType="end"/>
      </w:r>
      <w:r w:rsidRPr="002F09FF">
        <w:rPr>
          <w:rFonts w:ascii="Arial" w:hAnsi="Arial" w:cs="Arial"/>
          <w:b/>
          <w:bCs/>
        </w:rPr>
        <w:t>–</w:t>
      </w:r>
      <w:r w:rsidR="00584EDC">
        <w:rPr>
          <w:rFonts w:ascii="Arial" w:hAnsi="Arial" w:cs="Arial"/>
          <w:b/>
          <w:bCs/>
        </w:rPr>
        <w:t>105</w:t>
      </w:r>
    </w:p>
    <w:p w14:paraId="2BF4B272" w14:textId="77777777" w:rsidR="00FE3B1D" w:rsidRDefault="00FE3B1D" w:rsidP="00FE3B1D">
      <w:pPr>
        <w:pStyle w:val="madeunder"/>
        <w:spacing w:before="300" w:after="0"/>
      </w:pPr>
      <w:r>
        <w:t xml:space="preserve">made under the </w:t>
      </w:r>
    </w:p>
    <w:p w14:paraId="656E8399" w14:textId="77777777" w:rsidR="00FE3B1D" w:rsidRDefault="00FE3B1D" w:rsidP="00FE3B1D">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BBB69A9" w14:textId="77777777" w:rsidR="00FE3B1D" w:rsidRDefault="00FE3B1D" w:rsidP="00FE3B1D">
      <w:pPr>
        <w:pStyle w:val="CoverActName"/>
        <w:spacing w:before="320" w:after="0"/>
        <w:rPr>
          <w:rFonts w:cs="Arial"/>
          <w:sz w:val="20"/>
        </w:rPr>
      </w:pPr>
      <w:r>
        <w:rPr>
          <w:rFonts w:cs="Arial"/>
          <w:sz w:val="35"/>
          <w:szCs w:val="35"/>
          <w:shd w:val="clear" w:color="auto" w:fill="FFFFFF"/>
        </w:rPr>
        <w:t>EXPLANATORY STATEMENT</w:t>
      </w:r>
    </w:p>
    <w:p w14:paraId="3FD15382" w14:textId="77777777" w:rsidR="00FE3B1D" w:rsidRDefault="00FE3B1D" w:rsidP="00FE3B1D">
      <w:pPr>
        <w:pStyle w:val="N-line3"/>
        <w:pBdr>
          <w:bottom w:val="none" w:sz="0" w:space="0" w:color="auto"/>
        </w:pBdr>
        <w:spacing w:before="60"/>
      </w:pPr>
    </w:p>
    <w:p w14:paraId="5C7D7745" w14:textId="77777777" w:rsidR="00FE3B1D" w:rsidRDefault="00FE3B1D" w:rsidP="00FE3B1D">
      <w:pPr>
        <w:pStyle w:val="N-line3"/>
        <w:pBdr>
          <w:top w:val="single" w:sz="12" w:space="1" w:color="auto"/>
          <w:bottom w:val="none" w:sz="0" w:space="0" w:color="auto"/>
        </w:pBdr>
      </w:pPr>
    </w:p>
    <w:p w14:paraId="54557220" w14:textId="77777777" w:rsidR="00FE3B1D" w:rsidRDefault="00FE3B1D" w:rsidP="00FE3B1D">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6D080A37" w14:textId="77777777" w:rsidR="00FE3B1D" w:rsidRDefault="00FE3B1D" w:rsidP="00FE3B1D"/>
    <w:p w14:paraId="687CE2F4" w14:textId="28F9B381" w:rsidR="00FE3B1D" w:rsidRDefault="00FE3B1D" w:rsidP="00FE3B1D">
      <w:r>
        <w:t xml:space="preserve">In accordance with section </w:t>
      </w:r>
      <w:fldSimple w:instr=" DOCPROPERTY  Section  \* MERGEFORMAT ">
        <w:r>
          <w:t>174</w:t>
        </w:r>
      </w:fldSimple>
      <w:r>
        <w:t xml:space="preserve"> of the Act, this instrument appoints Mr Peter Hyndal in a non-judicial position as a Member of the </w:t>
      </w:r>
      <w:fldSimple w:instr=" DOCPROPERTY  AppointmentTopic  \* MERGEFORMAT ">
        <w:r>
          <w:t>Sentence Administration Board</w:t>
        </w:r>
      </w:fldSimple>
      <w:r>
        <w:t xml:space="preserve">. </w:t>
      </w:r>
    </w:p>
    <w:p w14:paraId="1A1B97F7" w14:textId="77777777" w:rsidR="00FE3B1D" w:rsidRDefault="00FE3B1D" w:rsidP="00FE3B1D"/>
    <w:p w14:paraId="2FA192BB" w14:textId="189AE1C4" w:rsidR="00FE3B1D" w:rsidRDefault="00FE3B1D" w:rsidP="00FE3B1D">
      <w:r>
        <w:t xml:space="preserve">Mr Hyndal is appointed from </w:t>
      </w:r>
      <w:fldSimple w:instr=" DOCPROPERTY  AppointmentFrom  \* MERGEFORMAT ">
        <w:r>
          <w:t>14 May 2020</w:t>
        </w:r>
      </w:fldSimple>
      <w:r>
        <w:t xml:space="preserve"> until </w:t>
      </w:r>
      <w:fldSimple w:instr=" DOCPROPERTY  AppointmentEnds  \* MERGEFORMAT ">
        <w:r>
          <w:t>13 May 2023</w:t>
        </w:r>
      </w:fldSimple>
      <w:r>
        <w:t>.</w:t>
      </w:r>
    </w:p>
    <w:p w14:paraId="6486EC05" w14:textId="77777777" w:rsidR="00FE3B1D" w:rsidRDefault="00FE3B1D" w:rsidP="00FE3B1D">
      <w:pPr>
        <w:spacing w:before="60" w:after="60"/>
      </w:pPr>
    </w:p>
    <w:p w14:paraId="27195EB9" w14:textId="77777777" w:rsidR="00FE3B1D" w:rsidRDefault="00FE3B1D" w:rsidP="00FE3B1D">
      <w:r>
        <w:t xml:space="preserve">Section 229 of the </w:t>
      </w:r>
      <w:r>
        <w:rPr>
          <w:i/>
        </w:rPr>
        <w:t xml:space="preserve">Legislation Act 2001 </w:t>
      </w:r>
      <w:r>
        <w:t>states that the instrument making an appointment to which division 19.3.3 applies is a disallowable instrument.</w:t>
      </w:r>
    </w:p>
    <w:p w14:paraId="1353B00F" w14:textId="77777777" w:rsidR="00FE3B1D" w:rsidRDefault="00FE3B1D" w:rsidP="00FE3B1D"/>
    <w:p w14:paraId="0C95E28E" w14:textId="77777777" w:rsidR="00FE3B1D" w:rsidRDefault="00FE3B1D" w:rsidP="00FE3B1D">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0B6789D4" w14:textId="77777777" w:rsidR="00FE3B1D" w:rsidRDefault="00FE3B1D" w:rsidP="001D6732">
      <w:pPr>
        <w:tabs>
          <w:tab w:val="left" w:pos="4320"/>
        </w:tabs>
      </w:pPr>
    </w:p>
    <w:p w14:paraId="1E1F3B3F" w14:textId="13C19103" w:rsidR="00FE3B1D" w:rsidRPr="00FE3B1D" w:rsidRDefault="00FE3B1D" w:rsidP="00FE3B1D">
      <w:r w:rsidRPr="00FE3B1D">
        <w:t xml:space="preserve">Mr Hyndal a consultant in the area of transgender issues, providing policy advice and training to a range of agencies, educational institutions and community organizations on LGBTI and inclusion issues. He has worked with many international and national organizations providing advice and/or reviewing resource materials. </w:t>
      </w:r>
      <w:r w:rsidR="009D6434">
        <w:t>Mr Hyndal</w:t>
      </w:r>
      <w:r w:rsidRPr="00FE3B1D">
        <w:t xml:space="preserve"> was Deputy Chair of the ACT LGBTIQ Ministerial Advisory Council </w:t>
      </w:r>
      <w:r w:rsidR="009D6434">
        <w:t>for three years</w:t>
      </w:r>
      <w:r w:rsidRPr="00FE3B1D">
        <w:t xml:space="preserve">. </w:t>
      </w:r>
    </w:p>
    <w:p w14:paraId="5B3310CD" w14:textId="0B2451EC" w:rsidR="001440B3" w:rsidRDefault="001D6732" w:rsidP="00FE3B1D">
      <w:r>
        <w:tab/>
      </w:r>
      <w:r>
        <w:tab/>
      </w:r>
    </w:p>
    <w:sectPr w:rsidR="001440B3"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908C" w14:textId="77777777" w:rsidR="002610E8" w:rsidRDefault="002610E8" w:rsidP="001440B3">
      <w:r>
        <w:separator/>
      </w:r>
    </w:p>
  </w:endnote>
  <w:endnote w:type="continuationSeparator" w:id="0">
    <w:p w14:paraId="7EE4DF17" w14:textId="77777777" w:rsidR="002610E8" w:rsidRDefault="002610E8"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949F"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1AF8"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ADD8"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D23D9" w14:textId="77777777" w:rsidR="002610E8" w:rsidRDefault="002610E8" w:rsidP="001440B3">
      <w:r>
        <w:separator/>
      </w:r>
    </w:p>
  </w:footnote>
  <w:footnote w:type="continuationSeparator" w:id="0">
    <w:p w14:paraId="4E1F5C55" w14:textId="77777777" w:rsidR="002610E8" w:rsidRDefault="002610E8"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C39DF"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6E4E"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0457"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9"/>
    <w:rsid w:val="0003492B"/>
    <w:rsid w:val="00067DB8"/>
    <w:rsid w:val="00075904"/>
    <w:rsid w:val="000B3FBC"/>
    <w:rsid w:val="000C4A2C"/>
    <w:rsid w:val="000F484D"/>
    <w:rsid w:val="00125CAA"/>
    <w:rsid w:val="001440B3"/>
    <w:rsid w:val="00176A1D"/>
    <w:rsid w:val="00182FA8"/>
    <w:rsid w:val="001D5512"/>
    <w:rsid w:val="001D6732"/>
    <w:rsid w:val="001F4516"/>
    <w:rsid w:val="00217D4C"/>
    <w:rsid w:val="00222933"/>
    <w:rsid w:val="002610E8"/>
    <w:rsid w:val="00283719"/>
    <w:rsid w:val="002B0C31"/>
    <w:rsid w:val="002D1E22"/>
    <w:rsid w:val="002E77F9"/>
    <w:rsid w:val="002F09FF"/>
    <w:rsid w:val="002F59F7"/>
    <w:rsid w:val="00375C80"/>
    <w:rsid w:val="003A6A75"/>
    <w:rsid w:val="003C0854"/>
    <w:rsid w:val="003D78F0"/>
    <w:rsid w:val="003E2381"/>
    <w:rsid w:val="003E41F9"/>
    <w:rsid w:val="00403E41"/>
    <w:rsid w:val="0042011A"/>
    <w:rsid w:val="00450987"/>
    <w:rsid w:val="00504D7E"/>
    <w:rsid w:val="0051264B"/>
    <w:rsid w:val="00525963"/>
    <w:rsid w:val="005358A4"/>
    <w:rsid w:val="005649D4"/>
    <w:rsid w:val="00571041"/>
    <w:rsid w:val="00584EDC"/>
    <w:rsid w:val="005D083B"/>
    <w:rsid w:val="0068319F"/>
    <w:rsid w:val="0069648E"/>
    <w:rsid w:val="006C155A"/>
    <w:rsid w:val="006D3174"/>
    <w:rsid w:val="007C38D8"/>
    <w:rsid w:val="007D3E1D"/>
    <w:rsid w:val="008E32E8"/>
    <w:rsid w:val="009901D9"/>
    <w:rsid w:val="009D6434"/>
    <w:rsid w:val="00A56D56"/>
    <w:rsid w:val="00AA35F7"/>
    <w:rsid w:val="00B713CA"/>
    <w:rsid w:val="00B824A6"/>
    <w:rsid w:val="00BA6900"/>
    <w:rsid w:val="00C16761"/>
    <w:rsid w:val="00C207D5"/>
    <w:rsid w:val="00C26715"/>
    <w:rsid w:val="00C653F5"/>
    <w:rsid w:val="00C73801"/>
    <w:rsid w:val="00C95A88"/>
    <w:rsid w:val="00CB41B1"/>
    <w:rsid w:val="00CF4A73"/>
    <w:rsid w:val="00CF68E9"/>
    <w:rsid w:val="00D07312"/>
    <w:rsid w:val="00D3633C"/>
    <w:rsid w:val="00D44440"/>
    <w:rsid w:val="00E555B5"/>
    <w:rsid w:val="00ED2068"/>
    <w:rsid w:val="00F0024F"/>
    <w:rsid w:val="00F235ED"/>
    <w:rsid w:val="00F45657"/>
    <w:rsid w:val="00F64A72"/>
    <w:rsid w:val="00F72AFE"/>
    <w:rsid w:val="00F94212"/>
    <w:rsid w:val="00FA5C7A"/>
    <w:rsid w:val="00FC0BDF"/>
    <w:rsid w:val="00FC7B48"/>
    <w:rsid w:val="00FE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DFE9"/>
  <w15:docId w15:val="{5FCA7C1B-8B63-42FA-B9E9-D7010DF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636CE-8FD0-4B0C-A016-D377CD2D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1623</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2020-05-12T23:11:00Z</dcterms:created>
  <dcterms:modified xsi:type="dcterms:W3CDTF">2020-05-12T23:11:00Z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5</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Peter</vt:lpwstr>
  </property>
  <property fmtid="{D5CDD505-2E9C-101B-9397-08002B2CF9AE}" pid="14" name="LastName">
    <vt:lpwstr>Hyndal</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