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D4273F"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13F25F8D" w14:textId="7C2A49D9" w:rsidR="00C17FAB" w:rsidRDefault="00E84283">
      <w:pPr>
        <w:pStyle w:val="Billname"/>
        <w:spacing w:before="700"/>
      </w:pPr>
      <w:r>
        <w:t>City Renewal Authority and Suburban Land</w:t>
      </w:r>
      <w:r w:rsidR="00FD75CE">
        <w:t xml:space="preserve"> </w:t>
      </w:r>
      <w:r w:rsidR="00D20B93">
        <w:t xml:space="preserve">Agency </w:t>
      </w:r>
      <w:r w:rsidR="00FD75CE">
        <w:t>(</w:t>
      </w:r>
      <w:r>
        <w:t xml:space="preserve">Authority </w:t>
      </w:r>
      <w:r w:rsidR="00D20B93" w:rsidRPr="00D20B93">
        <w:t xml:space="preserve">Board </w:t>
      </w:r>
      <w:r w:rsidRPr="00D20B93">
        <w:t>Member</w:t>
      </w:r>
      <w:r w:rsidR="00FD75CE" w:rsidRPr="00D20B93">
        <w:t xml:space="preserve">) </w:t>
      </w:r>
      <w:r w:rsidRPr="00D20B93">
        <w:t>Appointment 2020</w:t>
      </w:r>
      <w:r w:rsidR="00FD75CE" w:rsidRPr="00D20B93">
        <w:t xml:space="preserve"> (No </w:t>
      </w:r>
      <w:r w:rsidR="00D20B93" w:rsidRPr="00D20B93">
        <w:t>2</w:t>
      </w:r>
      <w:r w:rsidR="00FD75CE" w:rsidRPr="00D20B93">
        <w:t>)</w:t>
      </w:r>
    </w:p>
    <w:p w14:paraId="54485886" w14:textId="179F154F"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2020</w:t>
      </w:r>
      <w:r w:rsidR="00C17FAB">
        <w:rPr>
          <w:rFonts w:ascii="Arial" w:hAnsi="Arial" w:cs="Arial"/>
          <w:b/>
          <w:bCs/>
        </w:rPr>
        <w:t>–</w:t>
      </w:r>
      <w:r w:rsidR="009764D2">
        <w:rPr>
          <w:rFonts w:ascii="Arial" w:hAnsi="Arial" w:cs="Arial"/>
          <w:b/>
          <w:bCs/>
        </w:rPr>
        <w:t>127</w:t>
      </w:r>
    </w:p>
    <w:p w14:paraId="7678DE46" w14:textId="77777777" w:rsidR="00C17FAB" w:rsidRDefault="00C17FAB" w:rsidP="00DA3B00">
      <w:pPr>
        <w:pStyle w:val="madeunder"/>
        <w:spacing w:before="300" w:after="0"/>
      </w:pPr>
      <w:r>
        <w:t xml:space="preserve">made under the  </w:t>
      </w:r>
    </w:p>
    <w:p w14:paraId="15F41C38" w14:textId="2F5403DF" w:rsidR="00C17FAB" w:rsidRDefault="00E84283" w:rsidP="000D22B9">
      <w:pPr>
        <w:pStyle w:val="CoverActName"/>
        <w:spacing w:before="320" w:after="0"/>
        <w:jc w:val="left"/>
        <w:rPr>
          <w:rFonts w:cs="Arial"/>
          <w:sz w:val="20"/>
        </w:rPr>
      </w:pPr>
      <w:r>
        <w:rPr>
          <w:rFonts w:cs="Arial"/>
          <w:sz w:val="20"/>
        </w:rPr>
        <w:t>City Renewal Authority and Suburban Land Agency Act 2017, s</w:t>
      </w:r>
      <w:r w:rsidR="000D22B9">
        <w:rPr>
          <w:rFonts w:cs="Arial"/>
          <w:sz w:val="20"/>
        </w:rPr>
        <w:t xml:space="preserve"> </w:t>
      </w:r>
      <w:r>
        <w:rPr>
          <w:rFonts w:cs="Arial"/>
          <w:sz w:val="20"/>
        </w:rPr>
        <w:t>15 (Establishment of governing board for authority)</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2D0FE97F" w:rsidR="00C17FAB" w:rsidRDefault="003D7E13">
      <w:r w:rsidRPr="00D20B93">
        <w:t xml:space="preserve">This explanatory statement relates to the </w:t>
      </w:r>
      <w:r w:rsidRPr="00D20B93">
        <w:rPr>
          <w:i/>
          <w:iCs/>
        </w:rPr>
        <w:t xml:space="preserve">City Renewal Authority and Suburban Land Agency (Authority </w:t>
      </w:r>
      <w:r w:rsidR="00BC7001">
        <w:rPr>
          <w:i/>
          <w:iCs/>
        </w:rPr>
        <w:t xml:space="preserve">Board </w:t>
      </w:r>
      <w:r w:rsidRPr="00D20B93">
        <w:rPr>
          <w:i/>
          <w:iCs/>
        </w:rPr>
        <w:t>Member) Appoint</w:t>
      </w:r>
      <w:r w:rsidR="00D20B93" w:rsidRPr="00D20B93">
        <w:rPr>
          <w:i/>
          <w:iCs/>
        </w:rPr>
        <w:t>ment</w:t>
      </w:r>
      <w:r w:rsidRPr="00D20B93">
        <w:rPr>
          <w:i/>
          <w:iCs/>
        </w:rPr>
        <w:t xml:space="preserve"> 20</w:t>
      </w:r>
      <w:r w:rsidR="00D20B93" w:rsidRPr="00D20B93">
        <w:rPr>
          <w:i/>
          <w:iCs/>
        </w:rPr>
        <w:t>20</w:t>
      </w:r>
      <w:r w:rsidRPr="00D20B93">
        <w:rPr>
          <w:i/>
          <w:iCs/>
        </w:rPr>
        <w:t xml:space="preserve"> (No </w:t>
      </w:r>
      <w:r w:rsidR="00D20B93" w:rsidRPr="00D20B93">
        <w:rPr>
          <w:i/>
          <w:iCs/>
        </w:rPr>
        <w:t>2</w:t>
      </w:r>
      <w:r w:rsidRPr="00D20B93">
        <w:rPr>
          <w:i/>
          <w:iCs/>
        </w:rPr>
        <w:t xml:space="preserve">) </w:t>
      </w:r>
      <w:r w:rsidRPr="00D20B93">
        <w:t>as made by the Chief Minister and presented to the Legislative Assembly. It has been</w:t>
      </w:r>
      <w:r>
        <w:t xml:space="preserve"> prepared in order to assist the reader of the instrument and to help inform debate on it. It does not form part of the instrument and has not been endorsed by the Legislative Assembly.</w:t>
      </w:r>
    </w:p>
    <w:p w14:paraId="6C5D0075" w14:textId="46E76D6F" w:rsidR="003D7E13" w:rsidRDefault="003D7E13"/>
    <w:p w14:paraId="1799B53E" w14:textId="141C5D86" w:rsidR="00B56C39" w:rsidRDefault="003D7E13">
      <w:r>
        <w:t xml:space="preserve">Section 7 of the </w:t>
      </w:r>
      <w:r>
        <w:rPr>
          <w:i/>
          <w:iCs/>
        </w:rPr>
        <w:t>City Renewal Authority and Suburban Land Agency Act 2017</w:t>
      </w:r>
      <w:r>
        <w:t xml:space="preserve"> (the </w:t>
      </w:r>
      <w:r w:rsidRPr="000D22B9">
        <w:rPr>
          <w:b/>
          <w:bCs/>
          <w:i/>
          <w:iCs/>
        </w:rPr>
        <w:t>Act</w:t>
      </w:r>
      <w:r>
        <w:t>) establishes the City Renewal Authority (</w:t>
      </w:r>
      <w:r w:rsidR="000D22B9">
        <w:t xml:space="preserve">the </w:t>
      </w:r>
      <w:r w:rsidR="000D22B9" w:rsidRPr="000D22B9">
        <w:rPr>
          <w:b/>
          <w:bCs/>
          <w:i/>
          <w:iCs/>
        </w:rPr>
        <w:t>a</w:t>
      </w:r>
      <w:r w:rsidRPr="000D22B9">
        <w:rPr>
          <w:b/>
          <w:bCs/>
          <w:i/>
          <w:iCs/>
        </w:rPr>
        <w:t>uthority</w:t>
      </w:r>
      <w:r>
        <w:t xml:space="preserve">). Section 15 of the Act establishes the governing board for the </w:t>
      </w:r>
      <w:r w:rsidR="000D22B9">
        <w:t>a</w:t>
      </w:r>
      <w:r>
        <w:t>uthority</w:t>
      </w:r>
      <w:r w:rsidR="000D22B9">
        <w:t xml:space="preserve"> (the </w:t>
      </w:r>
      <w:r w:rsidR="000D22B9" w:rsidRPr="000D22B9">
        <w:rPr>
          <w:b/>
          <w:bCs/>
          <w:i/>
          <w:iCs/>
        </w:rPr>
        <w:t>board</w:t>
      </w:r>
      <w:r w:rsidR="000D22B9">
        <w:t>)</w:t>
      </w:r>
      <w:r>
        <w:t xml:space="preserve">. For the purposes of the </w:t>
      </w:r>
      <w:r>
        <w:rPr>
          <w:i/>
          <w:iCs/>
        </w:rPr>
        <w:t xml:space="preserve">Financial Management Act 1996 </w:t>
      </w:r>
      <w:r>
        <w:t>(</w:t>
      </w:r>
      <w:r w:rsidR="000D22B9">
        <w:t xml:space="preserve">the </w:t>
      </w:r>
      <w:r w:rsidRPr="000D22B9">
        <w:rPr>
          <w:b/>
          <w:bCs/>
          <w:i/>
          <w:iCs/>
        </w:rPr>
        <w:t>FMA</w:t>
      </w:r>
      <w:r>
        <w:t xml:space="preserve">) the </w:t>
      </w:r>
      <w:r w:rsidR="000D22B9">
        <w:t>a</w:t>
      </w:r>
      <w:r>
        <w:t xml:space="preserve">uthority is a territory authority, and therefore </w:t>
      </w:r>
      <w:r w:rsidR="00C910D7">
        <w:t>p</w:t>
      </w:r>
      <w:r>
        <w:t>arts 8 and 9 of th</w:t>
      </w:r>
      <w:r w:rsidR="00C910D7">
        <w:t>e FMA</w:t>
      </w:r>
      <w:r>
        <w:t xml:space="preserve"> apply. Section 78</w:t>
      </w:r>
      <w:r w:rsidR="00C910D7">
        <w:t xml:space="preserve"> </w:t>
      </w:r>
      <w:r>
        <w:t>(7)</w:t>
      </w:r>
      <w:r w:rsidR="00C910D7">
        <w:t xml:space="preserve"> </w:t>
      </w:r>
      <w:r>
        <w:t xml:space="preserve">(b) of the FMA provides that an appointment </w:t>
      </w:r>
      <w:r w:rsidR="00B56C39">
        <w:t>of a member to a board of a territory authority is an appointment made under the provision of the establishing Act that establishes the governing board. In this case, s</w:t>
      </w:r>
      <w:r w:rsidR="00C910D7">
        <w:t xml:space="preserve">ection </w:t>
      </w:r>
      <w:r w:rsidR="00B56C39">
        <w:t>15 of the Act is the relevant provision.</w:t>
      </w:r>
    </w:p>
    <w:p w14:paraId="476C625D" w14:textId="77777777" w:rsidR="00B56C39" w:rsidRDefault="00B56C39"/>
    <w:p w14:paraId="5314BCC7" w14:textId="47E26E9D" w:rsidR="003D7E13" w:rsidRDefault="00B56C39">
      <w:r>
        <w:t xml:space="preserve">Section 78 of the FMA provides for the appointment of </w:t>
      </w:r>
      <w:r w:rsidR="00C910D7">
        <w:t>governing</w:t>
      </w:r>
      <w:r>
        <w:t xml:space="preserve"> board</w:t>
      </w:r>
      <w:r w:rsidR="00C910D7">
        <w:t>s</w:t>
      </w:r>
      <w:r>
        <w:t xml:space="preserve"> generally. The Minister with responsibility for a territory authority may appoint members of the authority. The Minister must apply the criteria in s</w:t>
      </w:r>
      <w:r w:rsidR="00C910D7">
        <w:t xml:space="preserve">ection </w:t>
      </w:r>
      <w:r>
        <w:t>78 of the FMA and must, as far as practicable, ensure that each discipline and area of expertise mentioned in s</w:t>
      </w:r>
      <w:r w:rsidR="00C910D7">
        <w:t xml:space="preserve">ection </w:t>
      </w:r>
      <w:r>
        <w:t>21</w:t>
      </w:r>
      <w:r w:rsidR="00C910D7">
        <w:t xml:space="preserve"> </w:t>
      </w:r>
      <w:r>
        <w:t>(2) of the Act is represented among the appointed members. A member must have knowledge of and experience in at least one of the disciplines and area of expertise prescribed in s</w:t>
      </w:r>
      <w:r w:rsidR="00C910D7">
        <w:t xml:space="preserve">ection </w:t>
      </w:r>
      <w:r>
        <w:t>21</w:t>
      </w:r>
      <w:r w:rsidR="00C910D7">
        <w:t xml:space="preserve"> </w:t>
      </w:r>
      <w:r>
        <w:t>(2) of the Act.</w:t>
      </w:r>
    </w:p>
    <w:p w14:paraId="03EB4A7B" w14:textId="7495073A" w:rsidR="00B56C39" w:rsidRDefault="00B56C39"/>
    <w:p w14:paraId="14434544" w14:textId="5079283F" w:rsidR="00B56C39" w:rsidRDefault="00B56C39">
      <w:r>
        <w:t xml:space="preserve">This instrument appoints </w:t>
      </w:r>
      <w:r w:rsidR="000D22B9">
        <w:t xml:space="preserve">Ms </w:t>
      </w:r>
      <w:r w:rsidR="00D20B93">
        <w:t>Gabrielle Trainor AO</w:t>
      </w:r>
      <w:r>
        <w:t xml:space="preserve"> as a member of the</w:t>
      </w:r>
      <w:r w:rsidR="000D22B9">
        <w:t xml:space="preserve"> b</w:t>
      </w:r>
      <w:r w:rsidR="00D20B93">
        <w:t xml:space="preserve">oard </w:t>
      </w:r>
      <w:r>
        <w:t xml:space="preserve">for </w:t>
      </w:r>
      <w:r w:rsidR="00D20B93">
        <w:t>the period 23 June 2020 to 22 June 2023.</w:t>
      </w:r>
    </w:p>
    <w:p w14:paraId="7052B57F" w14:textId="3009AED1" w:rsidR="003D7E13" w:rsidRDefault="003D7E13"/>
    <w:p w14:paraId="238D29D2" w14:textId="1C29A58E" w:rsidR="00D20B93" w:rsidRPr="00D20B93" w:rsidRDefault="00D20B93" w:rsidP="00D20B93">
      <w:pPr>
        <w:spacing w:after="240"/>
        <w:rPr>
          <w:lang w:eastAsia="en-AU"/>
        </w:rPr>
      </w:pPr>
      <w:r w:rsidRPr="00D20B93">
        <w:rPr>
          <w:lang w:eastAsia="en-AU"/>
        </w:rPr>
        <w:t>Ms Trainor has 25 years’ experience as a non-executive director and adviser with significant experience in governance, strategy and risk management.</w:t>
      </w:r>
    </w:p>
    <w:p w14:paraId="798A1EFF" w14:textId="77777777" w:rsidR="00D20B93" w:rsidRPr="00D20B93" w:rsidRDefault="00D20B93" w:rsidP="00D20B93">
      <w:pPr>
        <w:rPr>
          <w:lang w:eastAsia="en-AU"/>
        </w:rPr>
      </w:pPr>
      <w:r w:rsidRPr="00D20B93">
        <w:rPr>
          <w:lang w:eastAsia="en-AU"/>
        </w:rPr>
        <w:lastRenderedPageBreak/>
        <w:t>She was appointed an Officer of the Order of Australia for services to the community in transport, infrastructure, planning and design and to social welfare, sporting and cultural organisations.</w:t>
      </w:r>
    </w:p>
    <w:p w14:paraId="37E73D69" w14:textId="77777777" w:rsidR="00C910D7" w:rsidRDefault="00C910D7"/>
    <w:p w14:paraId="2EF25F9C" w14:textId="2281029B" w:rsidR="000D22B9" w:rsidRDefault="000D22B9" w:rsidP="000D22B9">
      <w:r>
        <w:t>Section 21 (4) of the Act provides that a member of the board must not be a public servant. Ms Trainor is not a public servant.</w:t>
      </w:r>
    </w:p>
    <w:p w14:paraId="7A3A7047" w14:textId="77777777" w:rsidR="000D22B9" w:rsidRDefault="000D22B9"/>
    <w:p w14:paraId="666018D3" w14:textId="1111FD98" w:rsidR="00B56C39" w:rsidRDefault="009B05EC">
      <w:r>
        <w:t xml:space="preserve">Division 19.3.3 of the </w:t>
      </w:r>
      <w:r>
        <w:rPr>
          <w:i/>
          <w:iCs/>
        </w:rPr>
        <w:t xml:space="preserve">Legislation Act 2001 </w:t>
      </w:r>
      <w:r>
        <w:t xml:space="preserve">applies as </w:t>
      </w:r>
      <w:r w:rsidR="00D20B93">
        <w:t>Ms Trainor</w:t>
      </w:r>
      <w:r>
        <w:t xml:space="preserve"> is not a public servant, is appointed for longer than 6 months and will have functions beyond advising the Minister. In accordance with s</w:t>
      </w:r>
      <w:r w:rsidR="00C910D7">
        <w:t xml:space="preserve">ection </w:t>
      </w:r>
      <w:r>
        <w:t>228 of the Legislation Act, the Standing Committee on Planning and Urban Ren</w:t>
      </w:r>
      <w:r w:rsidR="00CA21AB">
        <w:t>ewal has been consulted and noted the appointment. The appointment is a disallowable instrument by operation of s</w:t>
      </w:r>
      <w:r w:rsidR="00C910D7">
        <w:t>ection </w:t>
      </w:r>
      <w:r w:rsidR="00CA21AB">
        <w:t>229 of the Legislation Act.</w:t>
      </w:r>
    </w:p>
    <w:p w14:paraId="1CA475D3" w14:textId="6C48CF28" w:rsidR="00CA21AB" w:rsidRDefault="00CA21AB"/>
    <w:p w14:paraId="10359A81" w14:textId="53F13642" w:rsidR="00C910D7" w:rsidRDefault="00CA21AB">
      <w:r>
        <w:t>The instrument is not likely to impose appreciable costs on the community, or part of the community and therefore a regulatory impact statement (</w:t>
      </w:r>
      <w:r w:rsidR="000D22B9">
        <w:t xml:space="preserve">a </w:t>
      </w:r>
      <w:r w:rsidRPr="000D22B9">
        <w:rPr>
          <w:b/>
          <w:bCs/>
          <w:i/>
          <w:iCs/>
        </w:rPr>
        <w:t>RIS</w:t>
      </w:r>
      <w:r>
        <w:t>) is not required (Legislation Act, s</w:t>
      </w:r>
      <w:r w:rsidR="00C910D7">
        <w:t xml:space="preserve">ection </w:t>
      </w:r>
      <w:r>
        <w:t>34), Further, a RIS is unnecessary, in accordance with the Legislation Act (s</w:t>
      </w:r>
      <w:r w:rsidR="000D22B9">
        <w:t xml:space="preserve">ection </w:t>
      </w:r>
      <w:r>
        <w:t>36</w:t>
      </w:r>
      <w:r w:rsidR="000D22B9">
        <w:t xml:space="preserve"> </w:t>
      </w:r>
      <w:r>
        <w:t>(1)</w:t>
      </w:r>
      <w:r w:rsidR="000D22B9">
        <w:t xml:space="preserve"> </w:t>
      </w:r>
      <w:r>
        <w:t>(b)), as the disallowable instrument does not operate to the disadvantage of anyone by adversely affecting the person’s rights, or imposing liabilities on the person.</w:t>
      </w:r>
    </w:p>
    <w:p w14:paraId="6902754B" w14:textId="77777777" w:rsidR="00C910D7" w:rsidRDefault="00C910D7"/>
    <w:p w14:paraId="319B0425" w14:textId="313E8008" w:rsidR="00CA21AB" w:rsidRDefault="00CA21AB">
      <w:r>
        <w:t xml:space="preserve">Remuneration for the </w:t>
      </w:r>
      <w:r w:rsidR="00C910D7">
        <w:t>b</w:t>
      </w:r>
      <w:r>
        <w:t xml:space="preserve">oard is set by </w:t>
      </w:r>
      <w:r w:rsidR="000D22B9">
        <w:t>d</w:t>
      </w:r>
      <w:r>
        <w:t xml:space="preserve">etermination 13 of 2019 of the ACT Remuneration Tribunal and is met by the </w:t>
      </w:r>
      <w:r w:rsidR="000D22B9">
        <w:t>a</w:t>
      </w:r>
      <w:r>
        <w:t xml:space="preserve">uthority </w:t>
      </w:r>
      <w:r w:rsidR="00C910D7">
        <w:t>b</w:t>
      </w:r>
      <w:r>
        <w:t>udget.</w:t>
      </w:r>
    </w:p>
    <w:p w14:paraId="71510B6C" w14:textId="4D301C01" w:rsidR="00CA21AB" w:rsidRDefault="00CA21AB"/>
    <w:p w14:paraId="507E5538" w14:textId="6439CB3C" w:rsidR="00B56C39" w:rsidRDefault="001A532C">
      <w:r>
        <w:t>The instrument is consistent with the Legislative Assembly’s Scrutiny of Bills Committee Terms of Reference. In particular, the instrument:</w:t>
      </w:r>
    </w:p>
    <w:p w14:paraId="18369F2E" w14:textId="0F01F2A1" w:rsidR="001A532C" w:rsidRDefault="001A532C" w:rsidP="001A532C">
      <w:pPr>
        <w:pStyle w:val="ListParagraph"/>
        <w:numPr>
          <w:ilvl w:val="0"/>
          <w:numId w:val="10"/>
        </w:numPr>
      </w:pPr>
      <w:r>
        <w:t>Is made under a ministerial power found in the Act (see section 15 of the Act and s</w:t>
      </w:r>
      <w:r w:rsidR="00C910D7">
        <w:t xml:space="preserve">ection </w:t>
      </w:r>
      <w:r>
        <w:t>78 of the FMA).</w:t>
      </w:r>
    </w:p>
    <w:p w14:paraId="1C4042C1" w14:textId="567B5C02" w:rsidR="001A532C" w:rsidRDefault="001A532C" w:rsidP="001A532C">
      <w:pPr>
        <w:pStyle w:val="ListParagraph"/>
        <w:numPr>
          <w:ilvl w:val="0"/>
          <w:numId w:val="10"/>
        </w:numPr>
      </w:pPr>
      <w:r>
        <w:t xml:space="preserve">Is in accordance with the general objects of the Act under which it is made. The appointment of members to the </w:t>
      </w:r>
      <w:r w:rsidR="000D22B9">
        <w:t>b</w:t>
      </w:r>
      <w:r>
        <w:t>oard is integral to its operation 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65DF8937"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a member of the </w:t>
      </w:r>
      <w:r w:rsidR="000D22B9">
        <w:t>b</w:t>
      </w:r>
      <w:r>
        <w:t>oard.</w:t>
      </w:r>
    </w:p>
    <w:p w14:paraId="3BD046D6" w14:textId="77777777" w:rsidR="00707CBA" w:rsidRPr="003D7E13" w:rsidRDefault="00707CBA" w:rsidP="001A532C"/>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CE1539" w14:textId="77777777" w:rsidR="006B02CC" w:rsidRDefault="006B02CC" w:rsidP="00C17FAB">
      <w:r>
        <w:separator/>
      </w:r>
    </w:p>
  </w:endnote>
  <w:endnote w:type="continuationSeparator" w:id="0">
    <w:p w14:paraId="616AC4E7" w14:textId="77777777" w:rsidR="006B02CC" w:rsidRDefault="006B02C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3C45265A" w:rsidR="00DA3B00" w:rsidRPr="00436D6D" w:rsidRDefault="00436D6D" w:rsidP="00436D6D">
    <w:pPr>
      <w:pStyle w:val="Footer"/>
      <w:jc w:val="center"/>
      <w:rPr>
        <w:rFonts w:cs="Arial"/>
        <w:sz w:val="14"/>
      </w:rPr>
    </w:pPr>
    <w:r w:rsidRPr="00436D6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CA0996" w14:textId="77777777" w:rsidR="006B02CC" w:rsidRDefault="006B02CC" w:rsidP="00C17FAB">
      <w:r>
        <w:separator/>
      </w:r>
    </w:p>
  </w:footnote>
  <w:footnote w:type="continuationSeparator" w:id="0">
    <w:p w14:paraId="7275C375" w14:textId="77777777" w:rsidR="006B02CC" w:rsidRDefault="006B02C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8"/>
  </w:num>
  <w:num w:numId="6">
    <w:abstractNumId w:val="2"/>
  </w:num>
  <w:num w:numId="7">
    <w:abstractNumId w:val="5"/>
  </w:num>
  <w:num w:numId="8">
    <w:abstractNumId w:val="6"/>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D22B9"/>
    <w:rsid w:val="001A532C"/>
    <w:rsid w:val="00226D67"/>
    <w:rsid w:val="002D7C60"/>
    <w:rsid w:val="003D7E13"/>
    <w:rsid w:val="00436D6D"/>
    <w:rsid w:val="004B55F3"/>
    <w:rsid w:val="006B02CC"/>
    <w:rsid w:val="00707CBA"/>
    <w:rsid w:val="007346AC"/>
    <w:rsid w:val="00747309"/>
    <w:rsid w:val="00885E1E"/>
    <w:rsid w:val="008A5A9C"/>
    <w:rsid w:val="009508A5"/>
    <w:rsid w:val="009764D2"/>
    <w:rsid w:val="009B05EC"/>
    <w:rsid w:val="009D5AA8"/>
    <w:rsid w:val="00B56C39"/>
    <w:rsid w:val="00BA11AA"/>
    <w:rsid w:val="00BC7001"/>
    <w:rsid w:val="00C17FAB"/>
    <w:rsid w:val="00C910D7"/>
    <w:rsid w:val="00CA21AB"/>
    <w:rsid w:val="00CE599C"/>
    <w:rsid w:val="00D20B93"/>
    <w:rsid w:val="00DA3B00"/>
    <w:rsid w:val="00E84283"/>
    <w:rsid w:val="00FA29A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semiHidden/>
    <w:unhideWhenUsed/>
    <w:rsid w:val="00C910D7"/>
    <w:rPr>
      <w:sz w:val="20"/>
    </w:rPr>
  </w:style>
  <w:style w:type="character" w:customStyle="1" w:styleId="CommentTextChar">
    <w:name w:val="Comment Text Char"/>
    <w:basedOn w:val="DefaultParagraphFont"/>
    <w:link w:val="CommentText"/>
    <w:uiPriority w:val="99"/>
    <w:semiHidden/>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693</Words>
  <Characters>3510</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2020-05-26T23:12:00Z</dcterms:created>
  <dcterms:modified xsi:type="dcterms:W3CDTF">2020-05-26T23:12:00Z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A25368492</vt:lpwstr>
  </property>
  <property fmtid="{D5CDD505-2E9C-101B-9397-08002B2CF9AE}" pid="4" name="Objective-Title">
    <vt:lpwstr>CRA board member Trainor (ES)</vt:lpwstr>
  </property>
  <property fmtid="{D5CDD505-2E9C-101B-9397-08002B2CF9AE}" pid="5" name="Objective-Comment">
    <vt:lpwstr/>
  </property>
  <property fmtid="{D5CDD505-2E9C-101B-9397-08002B2CF9AE}" pid="6" name="Objective-CreationStamp">
    <vt:filetime>2020-04-06T06:27:25Z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2020-05-26T10:33:06Z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Assembly):2020:19/559 - Cabinet - City Rene</vt:lpwstr>
  </property>
  <property fmtid="{D5CDD505-2E9C-101B-9397-08002B2CF9AE}" pid="13" name="Objective-Parent">
    <vt:lpwstr>06. Explanatory Statements</vt:lpwstr>
  </property>
  <property fmtid="{D5CDD505-2E9C-101B-9397-08002B2CF9AE}" pid="14" name="Objective-State">
    <vt:lpwstr>Being Edited</vt:lpwstr>
  </property>
  <property fmtid="{D5CDD505-2E9C-101B-9397-08002B2CF9AE}" pid="15" name="Objective-Version">
    <vt:lpwstr>1.1</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1-2019/28357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