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E4FC" w14:textId="77777777" w:rsidR="00CE35BB" w:rsidRDefault="00CE35BB">
      <w:pPr>
        <w:pStyle w:val="Header"/>
        <w:tabs>
          <w:tab w:val="clear" w:pos="4153"/>
          <w:tab w:val="clear" w:pos="8306"/>
        </w:tabs>
      </w:pPr>
      <w:bookmarkStart w:id="0" w:name="_GoBack"/>
      <w:bookmarkEnd w:id="0"/>
    </w:p>
    <w:p w14:paraId="44E07C07" w14:textId="77777777" w:rsidR="00CE35BB" w:rsidRDefault="00CE35BB"/>
    <w:p w14:paraId="7302E245" w14:textId="77777777" w:rsidR="00CE35BB" w:rsidRDefault="00CE35BB">
      <w:pPr>
        <w:spacing w:before="120"/>
        <w:rPr>
          <w:rFonts w:ascii="Arial" w:hAnsi="Arial" w:cs="Arial"/>
        </w:rPr>
      </w:pPr>
      <w:bookmarkStart w:id="1" w:name="_Toc44738651"/>
      <w:smartTag w:uri="urn:schemas-microsoft-com:office:smarttags" w:element="State">
        <w:smartTag w:uri="urn:schemas-microsoft-com:office:smarttags" w:element="place">
          <w:r>
            <w:rPr>
              <w:rFonts w:ascii="Arial" w:hAnsi="Arial" w:cs="Arial"/>
            </w:rPr>
            <w:t>Australian Capital Territory</w:t>
          </w:r>
        </w:smartTag>
      </w:smartTag>
    </w:p>
    <w:p w14:paraId="50AF6714" w14:textId="53E068DB" w:rsidR="00CE35BB" w:rsidRDefault="00CE35BB" w:rsidP="00860C8A">
      <w:pPr>
        <w:pStyle w:val="Billname"/>
        <w:spacing w:before="700" w:after="0"/>
      </w:pPr>
      <w:r>
        <w:t>Gaming Machine (Fees)</w:t>
      </w:r>
      <w:r w:rsidR="00962E3B">
        <w:t xml:space="preserve"> </w:t>
      </w:r>
      <w:r w:rsidRPr="00854772">
        <w:t xml:space="preserve">Determination </w:t>
      </w:r>
      <w:r w:rsidR="00AD4B74">
        <w:t>20</w:t>
      </w:r>
      <w:r w:rsidR="00401F0F">
        <w:t>20</w:t>
      </w:r>
      <w:r w:rsidR="003304E1">
        <w:t xml:space="preserve"> (No 1)</w:t>
      </w:r>
    </w:p>
    <w:p w14:paraId="74124766" w14:textId="14E45D09" w:rsidR="00CE35BB" w:rsidRDefault="00CE35BB" w:rsidP="006B21F4">
      <w:pPr>
        <w:spacing w:before="240" w:after="60"/>
        <w:jc w:val="both"/>
        <w:rPr>
          <w:rFonts w:ascii="Arial" w:hAnsi="Arial" w:cs="Arial"/>
          <w:b/>
          <w:bCs/>
          <w:vertAlign w:val="superscript"/>
        </w:rPr>
      </w:pPr>
      <w:r>
        <w:rPr>
          <w:rFonts w:ascii="Arial" w:hAnsi="Arial" w:cs="Arial"/>
          <w:b/>
          <w:bCs/>
        </w:rPr>
        <w:t xml:space="preserve">Disallowable Instrument </w:t>
      </w:r>
      <w:r w:rsidRPr="007164DD">
        <w:rPr>
          <w:rFonts w:ascii="Arial" w:hAnsi="Arial" w:cs="Arial"/>
          <w:b/>
          <w:bCs/>
        </w:rPr>
        <w:t>DI</w:t>
      </w:r>
      <w:r w:rsidR="00A160C5">
        <w:rPr>
          <w:rFonts w:ascii="Arial" w:hAnsi="Arial" w:cs="Arial"/>
          <w:b/>
          <w:bCs/>
        </w:rPr>
        <w:t>20</w:t>
      </w:r>
      <w:r w:rsidR="00401F0F">
        <w:rPr>
          <w:rFonts w:ascii="Arial" w:hAnsi="Arial" w:cs="Arial"/>
          <w:b/>
          <w:bCs/>
        </w:rPr>
        <w:t>20</w:t>
      </w:r>
      <w:r w:rsidR="00806044" w:rsidRPr="00806044">
        <w:rPr>
          <w:b/>
          <w:bCs/>
        </w:rPr>
        <w:t>–</w:t>
      </w:r>
      <w:r w:rsidR="00807F07" w:rsidRPr="00807F07">
        <w:rPr>
          <w:rFonts w:ascii="Arial" w:hAnsi="Arial" w:cs="Arial"/>
          <w:b/>
          <w:bCs/>
        </w:rPr>
        <w:t>129</w:t>
      </w:r>
    </w:p>
    <w:p w14:paraId="7C4A0BC9" w14:textId="77777777" w:rsidR="00CE35BB" w:rsidRDefault="00CE35BB" w:rsidP="006B21F4">
      <w:pPr>
        <w:pStyle w:val="madeunder"/>
        <w:spacing w:before="240" w:after="120"/>
      </w:pPr>
      <w:r>
        <w:t xml:space="preserve">made under the  </w:t>
      </w:r>
    </w:p>
    <w:p w14:paraId="3FB3286A" w14:textId="77777777" w:rsidR="00CE35BB" w:rsidRPr="00D86025" w:rsidRDefault="00CE35BB" w:rsidP="006B21F4">
      <w:pPr>
        <w:pStyle w:val="CoverActName"/>
      </w:pPr>
      <w:r w:rsidRPr="00D86025">
        <w:rPr>
          <w:sz w:val="20"/>
          <w:szCs w:val="20"/>
        </w:rPr>
        <w:t>Gaming Machine Act 2004,</w:t>
      </w:r>
      <w:r w:rsidR="001B275B" w:rsidRPr="00D86025">
        <w:rPr>
          <w:sz w:val="20"/>
          <w:szCs w:val="20"/>
        </w:rPr>
        <w:t xml:space="preserve"> section 177 (Determination of f</w:t>
      </w:r>
      <w:r w:rsidRPr="00D86025">
        <w:rPr>
          <w:sz w:val="20"/>
          <w:szCs w:val="20"/>
        </w:rPr>
        <w:t>ees)</w:t>
      </w:r>
    </w:p>
    <w:p w14:paraId="572230DD" w14:textId="77777777" w:rsidR="00CE35BB" w:rsidRDefault="00CE35BB" w:rsidP="006B21F4">
      <w:pPr>
        <w:pStyle w:val="N-line3"/>
        <w:pBdr>
          <w:bottom w:val="none" w:sz="0" w:space="0" w:color="auto"/>
        </w:pBdr>
      </w:pPr>
    </w:p>
    <w:p w14:paraId="55B97DA1" w14:textId="77777777" w:rsidR="00CE35BB" w:rsidRDefault="00CE35BB" w:rsidP="006B21F4">
      <w:pPr>
        <w:jc w:val="both"/>
      </w:pPr>
    </w:p>
    <w:p w14:paraId="4815602E" w14:textId="77777777" w:rsidR="00CE35BB" w:rsidRDefault="00CE35BB" w:rsidP="006B21F4">
      <w:pPr>
        <w:pStyle w:val="Heading3"/>
        <w:jc w:val="both"/>
      </w:pPr>
      <w:r>
        <w:t>EXPLANATORY STATEMENT</w:t>
      </w:r>
    </w:p>
    <w:p w14:paraId="7717A49E" w14:textId="77777777" w:rsidR="00CE35BB" w:rsidRDefault="00CE35BB" w:rsidP="006B21F4">
      <w:pPr>
        <w:jc w:val="both"/>
      </w:pPr>
    </w:p>
    <w:p w14:paraId="61132E6B" w14:textId="77777777" w:rsidR="00CE35BB" w:rsidRDefault="00CE35BB" w:rsidP="006B21F4">
      <w:pPr>
        <w:pStyle w:val="N-line3"/>
        <w:pBdr>
          <w:top w:val="single" w:sz="12" w:space="1" w:color="auto"/>
          <w:bottom w:val="none" w:sz="0" w:space="0" w:color="auto"/>
        </w:pBdr>
      </w:pPr>
    </w:p>
    <w:p w14:paraId="37E8A3CD" w14:textId="77777777" w:rsidR="00246E0C" w:rsidRDefault="00246E0C" w:rsidP="00246E0C">
      <w:pPr>
        <w:jc w:val="both"/>
      </w:pPr>
      <w:r>
        <w:t xml:space="preserve">The </w:t>
      </w:r>
      <w:r>
        <w:rPr>
          <w:i/>
          <w:iCs/>
        </w:rPr>
        <w:t xml:space="preserve">Gaming Machine Act 2004 </w:t>
      </w:r>
      <w:r>
        <w:t>(the Act)</w:t>
      </w:r>
      <w:r>
        <w:rPr>
          <w:i/>
          <w:iCs/>
        </w:rPr>
        <w:t xml:space="preserve"> </w:t>
      </w:r>
      <w:r>
        <w:t>regulates the operation of gaming machines in the Territory.</w:t>
      </w:r>
    </w:p>
    <w:p w14:paraId="72E0BCA5" w14:textId="77777777" w:rsidR="00246E0C" w:rsidRDefault="00246E0C" w:rsidP="00246E0C">
      <w:pPr>
        <w:jc w:val="both"/>
      </w:pPr>
    </w:p>
    <w:p w14:paraId="32B20997" w14:textId="377E41BD" w:rsidR="00246E0C" w:rsidRPr="007231A3" w:rsidRDefault="00246E0C" w:rsidP="00246E0C">
      <w:pPr>
        <w:jc w:val="both"/>
      </w:pPr>
      <w:r>
        <w:t xml:space="preserve">This instrument revokes the determination of fees made by Disallowable Instrument </w:t>
      </w:r>
      <w:r w:rsidRPr="007231A3">
        <w:t>DI</w:t>
      </w:r>
      <w:r w:rsidR="00AD4B74">
        <w:t>201</w:t>
      </w:r>
      <w:r w:rsidR="00401F0F">
        <w:t>9</w:t>
      </w:r>
      <w:r w:rsidR="00AD4B74">
        <w:t>-1</w:t>
      </w:r>
      <w:r w:rsidR="00401F0F">
        <w:t>58</w:t>
      </w:r>
      <w:r w:rsidR="00E74CF9">
        <w:t>.</w:t>
      </w:r>
    </w:p>
    <w:p w14:paraId="7326C53D" w14:textId="77777777" w:rsidR="00246E0C" w:rsidRDefault="00246E0C" w:rsidP="00246E0C">
      <w:pPr>
        <w:jc w:val="both"/>
      </w:pPr>
    </w:p>
    <w:p w14:paraId="316997C4" w14:textId="77777777" w:rsidR="00246E0C" w:rsidRDefault="00246E0C" w:rsidP="00246E0C">
      <w:pPr>
        <w:jc w:val="both"/>
      </w:pPr>
      <w:r>
        <w:t>Section 177 of the Act provides that the Minister may determine fees for the Act. This instrument provides for fees in relation to administrative tasks performed under the Act, including applications and notifications for approvals, licences, authorisation certificates, storage permits, permits for linked jackpot arrangements and amendments to those licences, certificates, schedules and permits issued by the ACT Gambling and Racing Commission.</w:t>
      </w:r>
    </w:p>
    <w:p w14:paraId="46043C67" w14:textId="77777777" w:rsidR="00231F3D" w:rsidRDefault="00231F3D" w:rsidP="00246E0C">
      <w:pPr>
        <w:jc w:val="both"/>
      </w:pPr>
    </w:p>
    <w:p w14:paraId="71EC68CD" w14:textId="13808F05" w:rsidR="00B76924" w:rsidRDefault="00231F3D" w:rsidP="00AD2980">
      <w:pPr>
        <w:jc w:val="both"/>
      </w:pPr>
      <w:r>
        <w:t xml:space="preserve">This fee determination provides that the </w:t>
      </w:r>
      <w:r w:rsidR="00AD2980">
        <w:t xml:space="preserve">fees listed in the Attachment to this explanatory statement </w:t>
      </w:r>
      <w:r>
        <w:t xml:space="preserve">are ‘Nil’ ($0) where the </w:t>
      </w:r>
      <w:r w:rsidR="00F7433A">
        <w:t>matter for which the fee is payable is</w:t>
      </w:r>
      <w:r>
        <w:t xml:space="preserve"> undertaken as a result of </w:t>
      </w:r>
      <w:r w:rsidR="00CD026F">
        <w:t>the</w:t>
      </w:r>
      <w:r>
        <w:t xml:space="preserve"> surrender of a gaming machine authorisation </w:t>
      </w:r>
      <w:r w:rsidR="00806044">
        <w:t xml:space="preserve">to receive </w:t>
      </w:r>
      <w:r w:rsidR="00B76924">
        <w:t xml:space="preserve">an </w:t>
      </w:r>
      <w:r w:rsidR="00806044">
        <w:t xml:space="preserve">incentive payment </w:t>
      </w:r>
      <w:r>
        <w:t>under the</w:t>
      </w:r>
      <w:r w:rsidR="00806044">
        <w:t xml:space="preserve"> ACT Government’s</w:t>
      </w:r>
      <w:r>
        <w:t xml:space="preserve"> COVID-19 Economic Survival Package</w:t>
      </w:r>
      <w:r w:rsidR="00B76924">
        <w:t xml:space="preserve"> (ESP)</w:t>
      </w:r>
      <w:r>
        <w:t>.</w:t>
      </w:r>
      <w:r w:rsidR="00AD2980">
        <w:t xml:space="preserve"> </w:t>
      </w:r>
    </w:p>
    <w:p w14:paraId="4A39A1CC" w14:textId="2000E534" w:rsidR="00B76924" w:rsidRDefault="00B76924" w:rsidP="00AD2980">
      <w:pPr>
        <w:jc w:val="both"/>
      </w:pPr>
    </w:p>
    <w:p w14:paraId="25132C23" w14:textId="5207227B" w:rsidR="00B76924" w:rsidRDefault="00B76924" w:rsidP="00B76924">
      <w:pPr>
        <w:jc w:val="both"/>
      </w:pPr>
      <w:r>
        <w:t xml:space="preserve">The instrument includes a new definitions section setting out COVID-19-related definitions. The relevant part of the ESP can be located at: </w:t>
      </w:r>
      <w:hyperlink r:id="rId7" w:history="1">
        <w:r w:rsidRPr="006F55C6">
          <w:rPr>
            <w:rStyle w:val="Hyperlink"/>
          </w:rPr>
          <w:t>https://www.covid19.act.gov.au/economic-support/economic-survival-package/supporting-local-businesses-and-the-economy</w:t>
        </w:r>
      </w:hyperlink>
      <w:r>
        <w:t xml:space="preserve">. </w:t>
      </w:r>
    </w:p>
    <w:p w14:paraId="6B90F635" w14:textId="77777777" w:rsidR="00B76924" w:rsidRDefault="00B76924" w:rsidP="00B76924">
      <w:pPr>
        <w:jc w:val="both"/>
      </w:pPr>
    </w:p>
    <w:p w14:paraId="334231A3" w14:textId="6DBF2825" w:rsidR="00B76924" w:rsidRDefault="00B76924" w:rsidP="00B76924">
      <w:pPr>
        <w:jc w:val="both"/>
      </w:pPr>
      <w:r>
        <w:t>Under the section ‘Supporting community clubs and the Casino Canberra’, the ESP states as follows:</w:t>
      </w:r>
    </w:p>
    <w:p w14:paraId="0D7700BA" w14:textId="77777777" w:rsidR="00B76924" w:rsidRDefault="00B76924" w:rsidP="00B76924">
      <w:pPr>
        <w:jc w:val="both"/>
      </w:pPr>
    </w:p>
    <w:p w14:paraId="29639020" w14:textId="77777777" w:rsidR="00B76924" w:rsidRPr="00B76924" w:rsidRDefault="00B76924" w:rsidP="00B76924">
      <w:pPr>
        <w:spacing w:after="120"/>
        <w:ind w:left="284"/>
        <w:jc w:val="both"/>
        <w:rPr>
          <w:i/>
          <w:iCs/>
        </w:rPr>
      </w:pPr>
      <w:r w:rsidRPr="00B76924">
        <w:rPr>
          <w:i/>
          <w:iCs/>
        </w:rPr>
        <w:t>The government will provide further support to community clubs and Casino Canberra, to enable them to keep staff employed as they adjust to the physical distancing measures. Measures include:</w:t>
      </w:r>
    </w:p>
    <w:p w14:paraId="6B9CEA13" w14:textId="44E0E95E" w:rsidR="00B76924" w:rsidRPr="00B76924" w:rsidRDefault="00B76924" w:rsidP="00B76924">
      <w:pPr>
        <w:pStyle w:val="ListParagraph"/>
        <w:numPr>
          <w:ilvl w:val="0"/>
          <w:numId w:val="13"/>
        </w:numPr>
        <w:ind w:left="851" w:hanging="284"/>
        <w:jc w:val="both"/>
        <w:rPr>
          <w:i/>
          <w:iCs/>
        </w:rPr>
      </w:pPr>
      <w:r w:rsidRPr="00B76924">
        <w:rPr>
          <w:i/>
          <w:iCs/>
        </w:rPr>
        <w:t>Providing gaming machine licensees with the opportunity to access a payment of $15,000 per authorisation if they voluntarily surrender gaming machine authorisations.</w:t>
      </w:r>
    </w:p>
    <w:p w14:paraId="07688515" w14:textId="77777777" w:rsidR="00B76924" w:rsidRDefault="00B76924" w:rsidP="00AD2980">
      <w:pPr>
        <w:jc w:val="both"/>
      </w:pPr>
    </w:p>
    <w:p w14:paraId="474EE914" w14:textId="553B8571" w:rsidR="00B76924" w:rsidRDefault="00B76924" w:rsidP="00B76924">
      <w:pPr>
        <w:jc w:val="both"/>
      </w:pPr>
      <w:r>
        <w:t>For relevant matters, t</w:t>
      </w:r>
      <w:r w:rsidR="00AD2980">
        <w:t xml:space="preserve">he Attachment sets out the </w:t>
      </w:r>
      <w:r w:rsidR="00666786">
        <w:t>current</w:t>
      </w:r>
      <w:r w:rsidR="00AD2980">
        <w:t xml:space="preserve"> fee (in column 3) and the new fee (Nil) to take effect from 1</w:t>
      </w:r>
      <w:r w:rsidR="00A03782">
        <w:t xml:space="preserve"> June</w:t>
      </w:r>
      <w:r w:rsidR="00AD2980">
        <w:t xml:space="preserve"> 2020 (in column 4) to enable a comparison.</w:t>
      </w:r>
      <w:r>
        <w:br w:type="page"/>
      </w:r>
    </w:p>
    <w:p w14:paraId="603C20E4" w14:textId="77777777" w:rsidR="00B76924" w:rsidRDefault="00B76924" w:rsidP="00AD2980"/>
    <w:p w14:paraId="4D7C0E2F" w14:textId="77777777" w:rsidR="00B76924" w:rsidRDefault="00B76924" w:rsidP="00AD2980"/>
    <w:p w14:paraId="42D3C221" w14:textId="77777777" w:rsidR="00B76924" w:rsidRDefault="00B76924" w:rsidP="00AD2980"/>
    <w:p w14:paraId="222E5D16" w14:textId="77777777" w:rsidR="00B76924" w:rsidRDefault="00B76924" w:rsidP="00AD2980"/>
    <w:p w14:paraId="4ED40DF7" w14:textId="50CB4BF9" w:rsidR="00AD2980" w:rsidRDefault="00AD2980" w:rsidP="00AD2980">
      <w:pPr>
        <w:rPr>
          <w:bCs/>
        </w:rPr>
      </w:pPr>
      <w:r>
        <w:t xml:space="preserve">Other than the changes set out in the Attachment to this explanatory statement, the fees and list of items </w:t>
      </w:r>
      <w:r w:rsidRPr="00BE600D">
        <w:t xml:space="preserve">for which fees are set in this instrument </w:t>
      </w:r>
      <w:r w:rsidR="0019182B">
        <w:t>are</w:t>
      </w:r>
      <w:r w:rsidRPr="00BE600D">
        <w:t xml:space="preserve"> identical to Disallowable Instrument </w:t>
      </w:r>
      <w:r w:rsidRPr="00BE600D">
        <w:rPr>
          <w:bCs/>
        </w:rPr>
        <w:t>DI20</w:t>
      </w:r>
      <w:r>
        <w:rPr>
          <w:bCs/>
        </w:rPr>
        <w:t>19-158.</w:t>
      </w:r>
    </w:p>
    <w:p w14:paraId="5F6C2D5F" w14:textId="77777777" w:rsidR="00C47792" w:rsidRPr="00B76924" w:rsidRDefault="00C47792" w:rsidP="00247E7A">
      <w:pPr>
        <w:jc w:val="both"/>
        <w:rPr>
          <w:i/>
          <w:iCs/>
        </w:rPr>
      </w:pPr>
    </w:p>
    <w:p w14:paraId="07D4B456" w14:textId="77777777" w:rsidR="00AD2980" w:rsidRDefault="00AD2980" w:rsidP="00AD2980">
      <w:pPr>
        <w:jc w:val="both"/>
      </w:pPr>
      <w:r>
        <w:t>A determination under section 177 is a disallowable instrument and must be tabled in the Legislative Assembly.</w:t>
      </w:r>
    </w:p>
    <w:p w14:paraId="44059B4D" w14:textId="77777777" w:rsidR="005775A9" w:rsidRDefault="005775A9" w:rsidP="00BB38D9"/>
    <w:p w14:paraId="26239FA2" w14:textId="77777777" w:rsidR="00440DE3" w:rsidRDefault="00440DE3" w:rsidP="006B21F4">
      <w:pPr>
        <w:jc w:val="both"/>
      </w:pPr>
    </w:p>
    <w:p w14:paraId="3FAFC858" w14:textId="77777777" w:rsidR="00246E0C" w:rsidRDefault="00246E0C" w:rsidP="006B21F4">
      <w:pPr>
        <w:jc w:val="both"/>
        <w:sectPr w:rsidR="00246E0C" w:rsidSect="00440DE3">
          <w:headerReference w:type="even" r:id="rId8"/>
          <w:headerReference w:type="default" r:id="rId9"/>
          <w:footerReference w:type="even" r:id="rId10"/>
          <w:footerReference w:type="default" r:id="rId11"/>
          <w:headerReference w:type="first" r:id="rId12"/>
          <w:footerReference w:type="first" r:id="rId13"/>
          <w:pgSz w:w="11907" w:h="16840" w:code="9"/>
          <w:pgMar w:top="851" w:right="1588" w:bottom="993" w:left="1588" w:header="720" w:footer="720" w:gutter="0"/>
          <w:paperSrc w:first="7" w:other="7"/>
          <w:cols w:space="720"/>
          <w:titlePg/>
        </w:sect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394"/>
        <w:gridCol w:w="1418"/>
        <w:gridCol w:w="1418"/>
      </w:tblGrid>
      <w:tr w:rsidR="00AD4B74" w:rsidRPr="004A2DC2" w14:paraId="77E85704" w14:textId="77777777" w:rsidTr="00AD4B74">
        <w:trPr>
          <w:tblHeader/>
          <w:jc w:val="center"/>
        </w:trPr>
        <w:tc>
          <w:tcPr>
            <w:tcW w:w="1276" w:type="dxa"/>
            <w:tcBorders>
              <w:top w:val="nil"/>
              <w:left w:val="nil"/>
              <w:bottom w:val="single" w:sz="12" w:space="0" w:color="auto"/>
              <w:right w:val="nil"/>
            </w:tcBorders>
          </w:tcPr>
          <w:bookmarkEnd w:id="1"/>
          <w:p w14:paraId="55A59E2D" w14:textId="77777777" w:rsidR="00AD4B74" w:rsidRPr="004A2DC2" w:rsidRDefault="00AD4B74" w:rsidP="005724D1">
            <w:pPr>
              <w:pStyle w:val="Heading2"/>
              <w:spacing w:before="120"/>
              <w:jc w:val="left"/>
            </w:pPr>
            <w:r w:rsidRPr="004A2DC2">
              <w:rPr>
                <w:sz w:val="22"/>
                <w:szCs w:val="22"/>
              </w:rPr>
              <w:lastRenderedPageBreak/>
              <w:t>Column 1</w:t>
            </w:r>
          </w:p>
        </w:tc>
        <w:tc>
          <w:tcPr>
            <w:tcW w:w="4394" w:type="dxa"/>
            <w:tcBorders>
              <w:top w:val="nil"/>
              <w:left w:val="nil"/>
              <w:bottom w:val="single" w:sz="12" w:space="0" w:color="auto"/>
              <w:right w:val="nil"/>
            </w:tcBorders>
          </w:tcPr>
          <w:p w14:paraId="4DB205C1" w14:textId="77777777" w:rsidR="00AD4B74" w:rsidRPr="004A2DC2" w:rsidRDefault="00AD4B74" w:rsidP="005724D1">
            <w:pPr>
              <w:spacing w:before="120"/>
              <w:rPr>
                <w:b/>
                <w:bCs/>
              </w:rPr>
            </w:pPr>
            <w:r w:rsidRPr="004A2DC2">
              <w:rPr>
                <w:b/>
                <w:bCs/>
                <w:sz w:val="22"/>
                <w:szCs w:val="22"/>
              </w:rPr>
              <w:t>Column 2</w:t>
            </w:r>
          </w:p>
        </w:tc>
        <w:tc>
          <w:tcPr>
            <w:tcW w:w="1418" w:type="dxa"/>
            <w:tcBorders>
              <w:top w:val="nil"/>
              <w:left w:val="nil"/>
              <w:bottom w:val="single" w:sz="12" w:space="0" w:color="auto"/>
              <w:right w:val="nil"/>
            </w:tcBorders>
          </w:tcPr>
          <w:p w14:paraId="41939C0C" w14:textId="77777777" w:rsidR="00AD4B74" w:rsidRPr="004A2DC2" w:rsidRDefault="00AD4B74" w:rsidP="005724D1">
            <w:pPr>
              <w:spacing w:before="120"/>
              <w:rPr>
                <w:b/>
                <w:bCs/>
              </w:rPr>
            </w:pPr>
            <w:r w:rsidRPr="004A2DC2">
              <w:rPr>
                <w:b/>
                <w:bCs/>
                <w:sz w:val="22"/>
                <w:szCs w:val="22"/>
              </w:rPr>
              <w:t>Column 3</w:t>
            </w:r>
          </w:p>
        </w:tc>
        <w:tc>
          <w:tcPr>
            <w:tcW w:w="1418" w:type="dxa"/>
            <w:tcBorders>
              <w:top w:val="nil"/>
              <w:left w:val="nil"/>
              <w:bottom w:val="single" w:sz="12" w:space="0" w:color="auto"/>
              <w:right w:val="nil"/>
            </w:tcBorders>
          </w:tcPr>
          <w:p w14:paraId="56D65784" w14:textId="77777777" w:rsidR="00AD4B74" w:rsidRPr="004A2DC2" w:rsidRDefault="00AD4B74" w:rsidP="005724D1">
            <w:pPr>
              <w:spacing w:before="120"/>
              <w:rPr>
                <w:b/>
                <w:bCs/>
                <w:sz w:val="22"/>
                <w:szCs w:val="22"/>
              </w:rPr>
            </w:pPr>
            <w:r w:rsidRPr="004A2DC2">
              <w:rPr>
                <w:b/>
                <w:bCs/>
                <w:sz w:val="22"/>
                <w:szCs w:val="22"/>
              </w:rPr>
              <w:t>Column 4</w:t>
            </w:r>
          </w:p>
        </w:tc>
      </w:tr>
      <w:tr w:rsidR="00AD4B74" w:rsidRPr="004A2DC2" w14:paraId="44CACA31" w14:textId="77777777" w:rsidTr="00AD4B74">
        <w:trPr>
          <w:tblHeader/>
          <w:jc w:val="center"/>
        </w:trPr>
        <w:tc>
          <w:tcPr>
            <w:tcW w:w="1276" w:type="dxa"/>
            <w:tcBorders>
              <w:top w:val="single" w:sz="12" w:space="0" w:color="auto"/>
              <w:left w:val="nil"/>
              <w:bottom w:val="single" w:sz="12" w:space="0" w:color="auto"/>
              <w:right w:val="nil"/>
            </w:tcBorders>
          </w:tcPr>
          <w:p w14:paraId="275F1C28" w14:textId="77777777" w:rsidR="00AD4B74" w:rsidRPr="004A2DC2" w:rsidRDefault="00AD4B74" w:rsidP="00EB2527">
            <w:pPr>
              <w:pStyle w:val="Heading2"/>
              <w:jc w:val="left"/>
            </w:pPr>
            <w:r w:rsidRPr="004A2DC2">
              <w:rPr>
                <w:sz w:val="22"/>
                <w:szCs w:val="22"/>
              </w:rPr>
              <w:t xml:space="preserve">Relevant Section of Act </w:t>
            </w:r>
          </w:p>
        </w:tc>
        <w:tc>
          <w:tcPr>
            <w:tcW w:w="4394" w:type="dxa"/>
            <w:tcBorders>
              <w:top w:val="single" w:sz="12" w:space="0" w:color="auto"/>
              <w:left w:val="nil"/>
              <w:bottom w:val="single" w:sz="12" w:space="0" w:color="auto"/>
              <w:right w:val="nil"/>
            </w:tcBorders>
          </w:tcPr>
          <w:p w14:paraId="06C7ECFF" w14:textId="77777777" w:rsidR="00AD4B74" w:rsidRPr="004A2DC2" w:rsidRDefault="00AD4B74" w:rsidP="00EB2527">
            <w:pPr>
              <w:rPr>
                <w:b/>
                <w:bCs/>
              </w:rPr>
            </w:pPr>
            <w:r w:rsidRPr="004A2DC2">
              <w:rPr>
                <w:b/>
                <w:bCs/>
                <w:sz w:val="22"/>
                <w:szCs w:val="22"/>
              </w:rPr>
              <w:t>Description of Matter for which Fee is Payable</w:t>
            </w:r>
          </w:p>
        </w:tc>
        <w:tc>
          <w:tcPr>
            <w:tcW w:w="1418" w:type="dxa"/>
            <w:tcBorders>
              <w:top w:val="single" w:sz="12" w:space="0" w:color="auto"/>
              <w:left w:val="nil"/>
              <w:bottom w:val="single" w:sz="12" w:space="0" w:color="auto"/>
              <w:right w:val="nil"/>
            </w:tcBorders>
          </w:tcPr>
          <w:p w14:paraId="3EDBAA89" w14:textId="779841D5" w:rsidR="00AD4B74" w:rsidRPr="004A2DC2" w:rsidRDefault="00AD4B74" w:rsidP="00712EC1">
            <w:pPr>
              <w:rPr>
                <w:b/>
                <w:bCs/>
              </w:rPr>
            </w:pPr>
            <w:r w:rsidRPr="004A2DC2">
              <w:rPr>
                <w:b/>
                <w:bCs/>
                <w:sz w:val="22"/>
                <w:szCs w:val="22"/>
              </w:rPr>
              <w:t>Previous Fee</w:t>
            </w:r>
            <w:r w:rsidR="00F869A6" w:rsidRPr="004A2DC2">
              <w:rPr>
                <w:b/>
                <w:bCs/>
                <w:sz w:val="22"/>
                <w:szCs w:val="22"/>
              </w:rPr>
              <w:t xml:space="preserve"> (GST exempt)</w:t>
            </w:r>
          </w:p>
        </w:tc>
        <w:tc>
          <w:tcPr>
            <w:tcW w:w="1418" w:type="dxa"/>
            <w:tcBorders>
              <w:top w:val="single" w:sz="12" w:space="0" w:color="auto"/>
              <w:left w:val="nil"/>
              <w:bottom w:val="single" w:sz="12" w:space="0" w:color="auto"/>
              <w:right w:val="nil"/>
            </w:tcBorders>
          </w:tcPr>
          <w:p w14:paraId="0C2A1095" w14:textId="3AB93F63" w:rsidR="00AD4B74" w:rsidRPr="004A2DC2" w:rsidRDefault="00AD4B74" w:rsidP="00EB2527">
            <w:pPr>
              <w:rPr>
                <w:b/>
                <w:bCs/>
                <w:sz w:val="22"/>
                <w:szCs w:val="22"/>
              </w:rPr>
            </w:pPr>
            <w:r w:rsidRPr="004A2DC2">
              <w:rPr>
                <w:b/>
                <w:bCs/>
                <w:sz w:val="22"/>
                <w:szCs w:val="22"/>
              </w:rPr>
              <w:t>Fee from 1</w:t>
            </w:r>
            <w:r w:rsidR="009E6CBE">
              <w:rPr>
                <w:b/>
                <w:bCs/>
                <w:sz w:val="22"/>
                <w:szCs w:val="22"/>
              </w:rPr>
              <w:t>8</w:t>
            </w:r>
            <w:r w:rsidR="0019182B">
              <w:rPr>
                <w:b/>
                <w:bCs/>
                <w:sz w:val="22"/>
                <w:szCs w:val="22"/>
              </w:rPr>
              <w:t> </w:t>
            </w:r>
            <w:r w:rsidR="00AD2980" w:rsidRPr="004A2DC2">
              <w:rPr>
                <w:b/>
                <w:bCs/>
                <w:sz w:val="22"/>
                <w:szCs w:val="22"/>
              </w:rPr>
              <w:t>May 2020</w:t>
            </w:r>
            <w:r w:rsidR="00F869A6" w:rsidRPr="004A2DC2">
              <w:rPr>
                <w:b/>
                <w:bCs/>
                <w:sz w:val="22"/>
                <w:szCs w:val="22"/>
              </w:rPr>
              <w:t xml:space="preserve"> (GST exempt)</w:t>
            </w:r>
          </w:p>
        </w:tc>
      </w:tr>
      <w:tr w:rsidR="002661D3" w:rsidRPr="004A2DC2" w14:paraId="138D4CF8" w14:textId="77777777" w:rsidTr="00AD4B74">
        <w:trPr>
          <w:jc w:val="center"/>
        </w:trPr>
        <w:tc>
          <w:tcPr>
            <w:tcW w:w="1276" w:type="dxa"/>
            <w:tcBorders>
              <w:left w:val="nil"/>
              <w:right w:val="nil"/>
            </w:tcBorders>
          </w:tcPr>
          <w:p w14:paraId="74552B81" w14:textId="77777777" w:rsidR="002661D3" w:rsidRPr="004A2DC2" w:rsidRDefault="002661D3" w:rsidP="002661D3">
            <w:r w:rsidRPr="004A2DC2">
              <w:t>33</w:t>
            </w:r>
          </w:p>
          <w:p w14:paraId="0272F797" w14:textId="77777777" w:rsidR="002661D3" w:rsidRPr="004A2DC2" w:rsidRDefault="002661D3" w:rsidP="002661D3"/>
          <w:p w14:paraId="0F911BEC" w14:textId="77777777" w:rsidR="002661D3" w:rsidRPr="004A2DC2" w:rsidRDefault="002661D3" w:rsidP="002661D3"/>
          <w:p w14:paraId="4CE8EBD3" w14:textId="77777777" w:rsidR="002661D3" w:rsidRPr="004A2DC2" w:rsidRDefault="002661D3" w:rsidP="002661D3"/>
          <w:p w14:paraId="1EABEC40" w14:textId="77777777" w:rsidR="002661D3" w:rsidRPr="004A2DC2" w:rsidRDefault="002661D3" w:rsidP="002661D3">
            <w:r w:rsidRPr="004A2DC2">
              <w:t>(1)(a)</w:t>
            </w:r>
          </w:p>
          <w:p w14:paraId="44930A9F" w14:textId="77777777" w:rsidR="002661D3" w:rsidRPr="004A2DC2" w:rsidRDefault="002661D3" w:rsidP="002661D3"/>
          <w:p w14:paraId="539B5E69" w14:textId="7D56CE83" w:rsidR="002661D3" w:rsidRPr="004A2DC2" w:rsidRDefault="002661D3" w:rsidP="002661D3"/>
        </w:tc>
        <w:tc>
          <w:tcPr>
            <w:tcW w:w="4394" w:type="dxa"/>
            <w:tcBorders>
              <w:left w:val="nil"/>
              <w:right w:val="nil"/>
            </w:tcBorders>
          </w:tcPr>
          <w:p w14:paraId="0A81B851" w14:textId="77777777" w:rsidR="002661D3" w:rsidRPr="004A2DC2" w:rsidRDefault="002661D3" w:rsidP="002661D3">
            <w:r w:rsidRPr="004A2DC2">
              <w:t xml:space="preserve">Application for authorisation certificate amendment (an </w:t>
            </w:r>
            <w:r w:rsidRPr="004A2DC2">
              <w:rPr>
                <w:b/>
                <w:i/>
              </w:rPr>
              <w:t>authorisation certificate amendment application</w:t>
            </w:r>
            <w:r w:rsidRPr="004A2DC2">
              <w:t>):</w:t>
            </w:r>
          </w:p>
          <w:p w14:paraId="2D88AA8F" w14:textId="77777777" w:rsidR="002661D3" w:rsidRPr="004A2DC2" w:rsidRDefault="002661D3" w:rsidP="002661D3">
            <w:pPr>
              <w:rPr>
                <w:i/>
              </w:rPr>
            </w:pPr>
          </w:p>
          <w:p w14:paraId="73E68764" w14:textId="77777777" w:rsidR="00666786" w:rsidRPr="004A2DC2" w:rsidRDefault="00666786" w:rsidP="00666786">
            <w:r w:rsidRPr="004A2DC2">
              <w:t xml:space="preserve">a </w:t>
            </w:r>
            <w:r w:rsidRPr="004A2DC2">
              <w:rPr>
                <w:b/>
                <w:i/>
              </w:rPr>
              <w:t>gaming area amendment</w:t>
            </w:r>
          </w:p>
          <w:p w14:paraId="6DE507E7" w14:textId="77777777" w:rsidR="00666786" w:rsidRPr="004A2DC2" w:rsidRDefault="00666786" w:rsidP="00666786">
            <w:pPr>
              <w:ind w:left="720"/>
            </w:pPr>
            <w:r w:rsidRPr="004A2DC2">
              <w:t>Where the application is made as a result of a COVID-19 surrender of a gaming machine authorisation</w:t>
            </w:r>
          </w:p>
          <w:p w14:paraId="066D1D6F" w14:textId="77777777" w:rsidR="00666786" w:rsidRPr="004A2DC2" w:rsidRDefault="00666786" w:rsidP="00666786">
            <w:pPr>
              <w:ind w:left="720"/>
            </w:pPr>
          </w:p>
          <w:p w14:paraId="04AB6D97" w14:textId="0B4B9118" w:rsidR="002661D3" w:rsidRPr="004A2DC2" w:rsidRDefault="00666786" w:rsidP="002661D3">
            <w:pPr>
              <w:ind w:left="720"/>
            </w:pPr>
            <w:r w:rsidRPr="004A2DC2">
              <w:t>In all other cases</w:t>
            </w:r>
          </w:p>
          <w:p w14:paraId="6F3CDE55" w14:textId="77777777" w:rsidR="002661D3" w:rsidRPr="004A2DC2" w:rsidRDefault="002661D3" w:rsidP="002661D3">
            <w:pPr>
              <w:rPr>
                <w:i/>
              </w:rPr>
            </w:pPr>
          </w:p>
        </w:tc>
        <w:tc>
          <w:tcPr>
            <w:tcW w:w="1418" w:type="dxa"/>
            <w:tcBorders>
              <w:left w:val="nil"/>
              <w:right w:val="nil"/>
            </w:tcBorders>
          </w:tcPr>
          <w:p w14:paraId="58177D32" w14:textId="77777777" w:rsidR="002661D3" w:rsidRPr="004A2DC2" w:rsidRDefault="002661D3" w:rsidP="002661D3">
            <w:pPr>
              <w:jc w:val="both"/>
            </w:pPr>
          </w:p>
          <w:p w14:paraId="182AC3C7" w14:textId="77777777" w:rsidR="002661D3" w:rsidRPr="004A2DC2" w:rsidRDefault="002661D3" w:rsidP="002661D3">
            <w:pPr>
              <w:jc w:val="both"/>
            </w:pPr>
          </w:p>
          <w:p w14:paraId="3BA57040" w14:textId="77777777" w:rsidR="002661D3" w:rsidRPr="004A2DC2" w:rsidRDefault="002661D3" w:rsidP="002661D3">
            <w:pPr>
              <w:jc w:val="both"/>
            </w:pPr>
          </w:p>
          <w:p w14:paraId="54D0219D" w14:textId="77777777" w:rsidR="002661D3" w:rsidRPr="004A2DC2" w:rsidRDefault="002661D3" w:rsidP="002661D3">
            <w:pPr>
              <w:jc w:val="both"/>
            </w:pPr>
          </w:p>
          <w:p w14:paraId="34FFDCAC" w14:textId="77777777" w:rsidR="00666786" w:rsidRPr="004A2DC2" w:rsidRDefault="00666786" w:rsidP="002661D3"/>
          <w:p w14:paraId="580EF665" w14:textId="77777777" w:rsidR="00666786" w:rsidRPr="004A2DC2" w:rsidRDefault="00666786" w:rsidP="002661D3"/>
          <w:p w14:paraId="575B4AB2" w14:textId="77777777" w:rsidR="00666786" w:rsidRPr="004A2DC2" w:rsidRDefault="00666786" w:rsidP="002661D3"/>
          <w:p w14:paraId="091C29A0" w14:textId="254B2D53" w:rsidR="00666786" w:rsidRPr="004A2DC2" w:rsidRDefault="00666786" w:rsidP="002661D3">
            <w:r w:rsidRPr="004A2DC2">
              <w:t>N/A</w:t>
            </w:r>
          </w:p>
          <w:p w14:paraId="70FBF5D2" w14:textId="77777777" w:rsidR="00666786" w:rsidRPr="004A2DC2" w:rsidRDefault="00666786" w:rsidP="002661D3"/>
          <w:p w14:paraId="4FA6601F" w14:textId="642CAD8C" w:rsidR="002661D3" w:rsidRPr="004A2DC2" w:rsidRDefault="00D34538" w:rsidP="002661D3">
            <w:r>
              <w:t>$</w:t>
            </w:r>
            <w:r w:rsidR="002661D3" w:rsidRPr="004A2DC2">
              <w:t>331.00</w:t>
            </w:r>
          </w:p>
          <w:p w14:paraId="157A1A1C" w14:textId="6F1B0109" w:rsidR="002661D3" w:rsidRPr="004A2DC2" w:rsidRDefault="002661D3" w:rsidP="002661D3"/>
        </w:tc>
        <w:tc>
          <w:tcPr>
            <w:tcW w:w="1418" w:type="dxa"/>
            <w:tcBorders>
              <w:left w:val="nil"/>
              <w:right w:val="nil"/>
            </w:tcBorders>
          </w:tcPr>
          <w:p w14:paraId="08486297" w14:textId="77777777" w:rsidR="002661D3" w:rsidRPr="004A2DC2" w:rsidRDefault="002661D3" w:rsidP="002661D3">
            <w:pPr>
              <w:jc w:val="both"/>
            </w:pPr>
          </w:p>
          <w:p w14:paraId="5BFAFA18" w14:textId="77777777" w:rsidR="002661D3" w:rsidRPr="004A2DC2" w:rsidRDefault="002661D3" w:rsidP="002661D3">
            <w:pPr>
              <w:jc w:val="both"/>
            </w:pPr>
          </w:p>
          <w:p w14:paraId="4659503F" w14:textId="77777777" w:rsidR="002661D3" w:rsidRPr="004A2DC2" w:rsidRDefault="002661D3" w:rsidP="002661D3">
            <w:pPr>
              <w:jc w:val="both"/>
            </w:pPr>
          </w:p>
          <w:p w14:paraId="6B685F72" w14:textId="77777777" w:rsidR="002661D3" w:rsidRPr="004A2DC2" w:rsidRDefault="002661D3" w:rsidP="002661D3">
            <w:pPr>
              <w:jc w:val="both"/>
            </w:pPr>
          </w:p>
          <w:p w14:paraId="5838D3A0" w14:textId="77777777" w:rsidR="00666786" w:rsidRPr="004A2DC2" w:rsidRDefault="00666786" w:rsidP="002661D3"/>
          <w:p w14:paraId="187C370A" w14:textId="77777777" w:rsidR="00666786" w:rsidRPr="004A2DC2" w:rsidRDefault="00666786" w:rsidP="002661D3"/>
          <w:p w14:paraId="00D9C643" w14:textId="77777777" w:rsidR="00666786" w:rsidRPr="004A2DC2" w:rsidRDefault="00666786" w:rsidP="002661D3"/>
          <w:p w14:paraId="0067AE6E" w14:textId="0EB391CF" w:rsidR="00666786" w:rsidRPr="004A2DC2" w:rsidRDefault="00666786" w:rsidP="002661D3">
            <w:r w:rsidRPr="004A2DC2">
              <w:t>Nil</w:t>
            </w:r>
          </w:p>
          <w:p w14:paraId="75DA8A86" w14:textId="77777777" w:rsidR="00666786" w:rsidRPr="004A2DC2" w:rsidRDefault="00666786" w:rsidP="002661D3"/>
          <w:p w14:paraId="1E227B19" w14:textId="23ADF8C0" w:rsidR="002661D3" w:rsidRPr="004A2DC2" w:rsidRDefault="00D34538" w:rsidP="002661D3">
            <w:r>
              <w:t>$</w:t>
            </w:r>
            <w:r w:rsidR="002661D3" w:rsidRPr="004A2DC2">
              <w:t>331.00</w:t>
            </w:r>
          </w:p>
          <w:p w14:paraId="45C0E13A" w14:textId="77A4BC61" w:rsidR="002661D3" w:rsidRPr="004A2DC2" w:rsidRDefault="002661D3" w:rsidP="002661D3"/>
        </w:tc>
      </w:tr>
      <w:tr w:rsidR="002661D3" w:rsidRPr="004A2DC2" w14:paraId="4438662D" w14:textId="77777777" w:rsidTr="00AD4B74">
        <w:trPr>
          <w:jc w:val="center"/>
        </w:trPr>
        <w:tc>
          <w:tcPr>
            <w:tcW w:w="1276" w:type="dxa"/>
            <w:tcBorders>
              <w:left w:val="nil"/>
              <w:right w:val="nil"/>
            </w:tcBorders>
          </w:tcPr>
          <w:p w14:paraId="2ECE8EA0" w14:textId="77777777" w:rsidR="002661D3" w:rsidRPr="004A2DC2" w:rsidRDefault="002661D3" w:rsidP="002661D3">
            <w:r w:rsidRPr="004A2DC2">
              <w:t>37B</w:t>
            </w:r>
          </w:p>
        </w:tc>
        <w:tc>
          <w:tcPr>
            <w:tcW w:w="4394" w:type="dxa"/>
            <w:tcBorders>
              <w:left w:val="nil"/>
              <w:right w:val="nil"/>
            </w:tcBorders>
          </w:tcPr>
          <w:p w14:paraId="4542635F" w14:textId="3CEEED00" w:rsidR="002661D3" w:rsidRPr="004A2DC2" w:rsidRDefault="002661D3" w:rsidP="002661D3">
            <w:pPr>
              <w:rPr>
                <w:b/>
                <w:i/>
              </w:rPr>
            </w:pPr>
            <w:r w:rsidRPr="004A2DC2">
              <w:t xml:space="preserve">Notification for a </w:t>
            </w:r>
            <w:r w:rsidRPr="004A2DC2">
              <w:rPr>
                <w:b/>
                <w:i/>
              </w:rPr>
              <w:t>technical amendment</w:t>
            </w:r>
          </w:p>
          <w:p w14:paraId="65B8FE1F" w14:textId="34D3906A" w:rsidR="00666786" w:rsidRPr="004A2DC2" w:rsidRDefault="00666786" w:rsidP="00666786">
            <w:pPr>
              <w:ind w:left="720"/>
            </w:pPr>
            <w:r w:rsidRPr="004A2DC2">
              <w:t>Where the notification is given as a result of a COVID-19 surrender of a gaming machine authorisation</w:t>
            </w:r>
          </w:p>
          <w:p w14:paraId="33580CDF" w14:textId="53F2A319" w:rsidR="00666786" w:rsidRPr="004A2DC2" w:rsidRDefault="00666786" w:rsidP="00666786">
            <w:pPr>
              <w:ind w:left="720"/>
            </w:pPr>
          </w:p>
          <w:p w14:paraId="363415F1" w14:textId="26B4CB4F" w:rsidR="00666786" w:rsidRPr="004A2DC2" w:rsidRDefault="00666786" w:rsidP="00666786">
            <w:pPr>
              <w:ind w:left="720"/>
            </w:pPr>
            <w:r w:rsidRPr="004A2DC2">
              <w:t>In all other cases</w:t>
            </w:r>
          </w:p>
          <w:p w14:paraId="3506ECD9" w14:textId="77777777" w:rsidR="00666786" w:rsidRPr="004A2DC2" w:rsidRDefault="00666786" w:rsidP="002661D3"/>
          <w:p w14:paraId="3949B46E" w14:textId="77777777" w:rsidR="002661D3" w:rsidRPr="004A2DC2" w:rsidRDefault="002661D3" w:rsidP="002661D3"/>
        </w:tc>
        <w:tc>
          <w:tcPr>
            <w:tcW w:w="1418" w:type="dxa"/>
            <w:tcBorders>
              <w:top w:val="single" w:sz="2" w:space="0" w:color="auto"/>
              <w:left w:val="nil"/>
              <w:bottom w:val="single" w:sz="2" w:space="0" w:color="auto"/>
              <w:right w:val="nil"/>
            </w:tcBorders>
          </w:tcPr>
          <w:p w14:paraId="144DC189" w14:textId="77777777" w:rsidR="00666786" w:rsidRPr="004A2DC2" w:rsidRDefault="00666786" w:rsidP="002661D3"/>
          <w:p w14:paraId="40339765" w14:textId="77777777" w:rsidR="00666786" w:rsidRPr="004A2DC2" w:rsidRDefault="00666786" w:rsidP="002661D3"/>
          <w:p w14:paraId="45E8BC86" w14:textId="77777777" w:rsidR="00666786" w:rsidRPr="004A2DC2" w:rsidRDefault="00666786" w:rsidP="002661D3"/>
          <w:p w14:paraId="52BF3FD3" w14:textId="05ADBDB4" w:rsidR="00666786" w:rsidRPr="004A2DC2" w:rsidRDefault="00666786" w:rsidP="002661D3">
            <w:r w:rsidRPr="004A2DC2">
              <w:t>N/A</w:t>
            </w:r>
          </w:p>
          <w:p w14:paraId="4188C281" w14:textId="77777777" w:rsidR="00666786" w:rsidRPr="004A2DC2" w:rsidRDefault="00666786" w:rsidP="002661D3"/>
          <w:p w14:paraId="6B4C2A19" w14:textId="210ABEDC" w:rsidR="002661D3" w:rsidRPr="004A2DC2" w:rsidRDefault="00D34538" w:rsidP="002661D3">
            <w:r>
              <w:t>$</w:t>
            </w:r>
            <w:r w:rsidR="002661D3" w:rsidRPr="004A2DC2">
              <w:t>38.00</w:t>
            </w:r>
          </w:p>
          <w:p w14:paraId="7F4529E0" w14:textId="32B8C7F6" w:rsidR="002661D3" w:rsidRPr="004A2DC2" w:rsidRDefault="002661D3" w:rsidP="002661D3">
            <w:r w:rsidRPr="004A2DC2">
              <w:t>per machine</w:t>
            </w:r>
          </w:p>
        </w:tc>
        <w:tc>
          <w:tcPr>
            <w:tcW w:w="1418" w:type="dxa"/>
            <w:tcBorders>
              <w:top w:val="single" w:sz="2" w:space="0" w:color="auto"/>
              <w:left w:val="nil"/>
              <w:bottom w:val="single" w:sz="2" w:space="0" w:color="auto"/>
              <w:right w:val="nil"/>
            </w:tcBorders>
          </w:tcPr>
          <w:p w14:paraId="1BE656BC" w14:textId="77777777" w:rsidR="00666786" w:rsidRPr="004A2DC2" w:rsidRDefault="00666786" w:rsidP="002661D3"/>
          <w:p w14:paraId="29020BC7" w14:textId="77777777" w:rsidR="00666786" w:rsidRPr="004A2DC2" w:rsidRDefault="00666786" w:rsidP="002661D3"/>
          <w:p w14:paraId="34BDB819" w14:textId="77777777" w:rsidR="00666786" w:rsidRPr="004A2DC2" w:rsidRDefault="00666786" w:rsidP="002661D3"/>
          <w:p w14:paraId="29191975" w14:textId="66264FF6" w:rsidR="00666786" w:rsidRPr="004A2DC2" w:rsidRDefault="00666786" w:rsidP="002661D3">
            <w:r w:rsidRPr="004A2DC2">
              <w:t>Nil</w:t>
            </w:r>
          </w:p>
          <w:p w14:paraId="6B1E3989" w14:textId="77777777" w:rsidR="00666786" w:rsidRPr="004A2DC2" w:rsidRDefault="00666786" w:rsidP="002661D3"/>
          <w:p w14:paraId="1B6472E9" w14:textId="3448C016" w:rsidR="002661D3" w:rsidRPr="004A2DC2" w:rsidRDefault="00D34538" w:rsidP="002661D3">
            <w:r>
              <w:t>$</w:t>
            </w:r>
            <w:r w:rsidR="002661D3" w:rsidRPr="004A2DC2">
              <w:t>38.00</w:t>
            </w:r>
          </w:p>
          <w:p w14:paraId="779903EC" w14:textId="77777777" w:rsidR="002661D3" w:rsidRPr="004A2DC2" w:rsidRDefault="002661D3" w:rsidP="002661D3">
            <w:r w:rsidRPr="004A2DC2">
              <w:t>per machine</w:t>
            </w:r>
          </w:p>
        </w:tc>
      </w:tr>
      <w:tr w:rsidR="002661D3" w:rsidRPr="004A2DC2" w14:paraId="6D830E72" w14:textId="77777777" w:rsidTr="00AD4B74">
        <w:trPr>
          <w:jc w:val="center"/>
        </w:trPr>
        <w:tc>
          <w:tcPr>
            <w:tcW w:w="1276" w:type="dxa"/>
            <w:tcBorders>
              <w:left w:val="nil"/>
              <w:right w:val="nil"/>
            </w:tcBorders>
          </w:tcPr>
          <w:p w14:paraId="34E75526" w14:textId="77777777" w:rsidR="002661D3" w:rsidRPr="004A2DC2" w:rsidRDefault="002661D3" w:rsidP="002661D3">
            <w:r w:rsidRPr="004A2DC2">
              <w:t>112</w:t>
            </w:r>
          </w:p>
        </w:tc>
        <w:tc>
          <w:tcPr>
            <w:tcW w:w="4394" w:type="dxa"/>
            <w:tcBorders>
              <w:left w:val="nil"/>
              <w:right w:val="nil"/>
            </w:tcBorders>
          </w:tcPr>
          <w:p w14:paraId="29BA7171" w14:textId="26180903" w:rsidR="002661D3" w:rsidRPr="004A2DC2" w:rsidRDefault="002661D3" w:rsidP="002661D3">
            <w:r w:rsidRPr="004A2DC2">
              <w:t>Application for approval to dispose of a gaming machine</w:t>
            </w:r>
          </w:p>
          <w:p w14:paraId="45361BA0" w14:textId="77777777" w:rsidR="00666786" w:rsidRPr="004A2DC2" w:rsidRDefault="00666786" w:rsidP="00666786">
            <w:pPr>
              <w:ind w:left="720"/>
            </w:pPr>
            <w:r w:rsidRPr="004A2DC2">
              <w:t>Where the application is made as a result of a COVID-19 surrender of a gaming machine authorisation</w:t>
            </w:r>
          </w:p>
          <w:p w14:paraId="47CEB061" w14:textId="77777777" w:rsidR="00666786" w:rsidRPr="004A2DC2" w:rsidRDefault="00666786" w:rsidP="00666786">
            <w:pPr>
              <w:ind w:left="720"/>
            </w:pPr>
          </w:p>
          <w:p w14:paraId="5F514F41" w14:textId="77777777" w:rsidR="00666786" w:rsidRPr="004A2DC2" w:rsidRDefault="00666786" w:rsidP="00666786">
            <w:pPr>
              <w:ind w:left="720"/>
            </w:pPr>
            <w:r w:rsidRPr="004A2DC2">
              <w:t>In all other cases</w:t>
            </w:r>
          </w:p>
          <w:p w14:paraId="031E8738" w14:textId="77777777" w:rsidR="00666786" w:rsidRPr="004A2DC2" w:rsidRDefault="00666786" w:rsidP="002661D3"/>
          <w:p w14:paraId="709EBF55" w14:textId="77777777" w:rsidR="002661D3" w:rsidRPr="004A2DC2" w:rsidRDefault="002661D3" w:rsidP="002661D3"/>
        </w:tc>
        <w:tc>
          <w:tcPr>
            <w:tcW w:w="1418" w:type="dxa"/>
            <w:tcBorders>
              <w:left w:val="nil"/>
              <w:right w:val="nil"/>
            </w:tcBorders>
          </w:tcPr>
          <w:p w14:paraId="249B4636" w14:textId="77777777" w:rsidR="00666786" w:rsidRPr="004A2DC2" w:rsidRDefault="00666786" w:rsidP="002661D3"/>
          <w:p w14:paraId="22861D53" w14:textId="77777777" w:rsidR="00666786" w:rsidRPr="004A2DC2" w:rsidRDefault="00666786" w:rsidP="002661D3"/>
          <w:p w14:paraId="71C0DC0D" w14:textId="77777777" w:rsidR="00666786" w:rsidRPr="004A2DC2" w:rsidRDefault="00666786" w:rsidP="002661D3"/>
          <w:p w14:paraId="7E183F34" w14:textId="77777777" w:rsidR="00666786" w:rsidRPr="004A2DC2" w:rsidRDefault="00666786" w:rsidP="002661D3"/>
          <w:p w14:paraId="701602D8" w14:textId="79CFA949" w:rsidR="00666786" w:rsidRPr="004A2DC2" w:rsidRDefault="00666786" w:rsidP="002661D3">
            <w:r w:rsidRPr="004A2DC2">
              <w:t>N/A</w:t>
            </w:r>
          </w:p>
          <w:p w14:paraId="7582854B" w14:textId="77777777" w:rsidR="00666786" w:rsidRPr="004A2DC2" w:rsidRDefault="00666786" w:rsidP="002661D3"/>
          <w:p w14:paraId="7689BCD0" w14:textId="54E33687" w:rsidR="002661D3" w:rsidRPr="004A2DC2" w:rsidRDefault="00D34538" w:rsidP="002661D3">
            <w:r>
              <w:t>$</w:t>
            </w:r>
            <w:r w:rsidR="002661D3" w:rsidRPr="004A2DC2">
              <w:t>38.00</w:t>
            </w:r>
          </w:p>
          <w:p w14:paraId="66C54FDF" w14:textId="2B93D6F2" w:rsidR="002661D3" w:rsidRPr="004A2DC2" w:rsidRDefault="002661D3" w:rsidP="002661D3">
            <w:r w:rsidRPr="004A2DC2">
              <w:t>per machine</w:t>
            </w:r>
          </w:p>
        </w:tc>
        <w:tc>
          <w:tcPr>
            <w:tcW w:w="1418" w:type="dxa"/>
            <w:tcBorders>
              <w:left w:val="nil"/>
              <w:right w:val="nil"/>
            </w:tcBorders>
          </w:tcPr>
          <w:p w14:paraId="3D34F28C" w14:textId="77777777" w:rsidR="00666786" w:rsidRPr="004A2DC2" w:rsidRDefault="00666786" w:rsidP="002661D3"/>
          <w:p w14:paraId="2CF2440C" w14:textId="77777777" w:rsidR="00666786" w:rsidRPr="004A2DC2" w:rsidRDefault="00666786" w:rsidP="002661D3"/>
          <w:p w14:paraId="7EB5655A" w14:textId="77777777" w:rsidR="00666786" w:rsidRPr="004A2DC2" w:rsidRDefault="00666786" w:rsidP="002661D3"/>
          <w:p w14:paraId="230BBB22" w14:textId="77777777" w:rsidR="00666786" w:rsidRPr="004A2DC2" w:rsidRDefault="00666786" w:rsidP="002661D3"/>
          <w:p w14:paraId="4B9C140D" w14:textId="47F905D0" w:rsidR="00666786" w:rsidRPr="004A2DC2" w:rsidRDefault="00666786" w:rsidP="002661D3">
            <w:r w:rsidRPr="004A2DC2">
              <w:t>Nil</w:t>
            </w:r>
          </w:p>
          <w:p w14:paraId="27A40445" w14:textId="77777777" w:rsidR="00666786" w:rsidRPr="004A2DC2" w:rsidRDefault="00666786" w:rsidP="002661D3"/>
          <w:p w14:paraId="3A961BE4" w14:textId="65FDCE60" w:rsidR="002661D3" w:rsidRPr="004A2DC2" w:rsidRDefault="00D34538" w:rsidP="002661D3">
            <w:r>
              <w:t>$</w:t>
            </w:r>
            <w:r w:rsidR="002661D3" w:rsidRPr="004A2DC2">
              <w:t>38.00</w:t>
            </w:r>
          </w:p>
          <w:p w14:paraId="2BB8D9AA" w14:textId="77777777" w:rsidR="002661D3" w:rsidRPr="004A2DC2" w:rsidRDefault="002661D3" w:rsidP="002661D3">
            <w:r w:rsidRPr="004A2DC2">
              <w:t>per machine</w:t>
            </w:r>
          </w:p>
        </w:tc>
      </w:tr>
      <w:tr w:rsidR="002661D3" w:rsidRPr="004A2DC2" w14:paraId="0652840F" w14:textId="77777777" w:rsidTr="00AD4B74">
        <w:trPr>
          <w:jc w:val="center"/>
        </w:trPr>
        <w:tc>
          <w:tcPr>
            <w:tcW w:w="1276" w:type="dxa"/>
            <w:tcBorders>
              <w:left w:val="nil"/>
              <w:right w:val="nil"/>
            </w:tcBorders>
          </w:tcPr>
          <w:p w14:paraId="158B5BD8" w14:textId="77777777" w:rsidR="002661D3" w:rsidRPr="004A2DC2" w:rsidRDefault="002661D3" w:rsidP="002661D3">
            <w:r w:rsidRPr="004A2DC2">
              <w:t>113A</w:t>
            </w:r>
          </w:p>
        </w:tc>
        <w:tc>
          <w:tcPr>
            <w:tcW w:w="4394" w:type="dxa"/>
            <w:tcBorders>
              <w:left w:val="nil"/>
              <w:right w:val="nil"/>
            </w:tcBorders>
          </w:tcPr>
          <w:p w14:paraId="1E4F1E2D" w14:textId="1D88E098" w:rsidR="002661D3" w:rsidRPr="004A2DC2" w:rsidRDefault="002661D3" w:rsidP="002661D3">
            <w:r w:rsidRPr="004A2DC2">
              <w:t>Notification of disposal of a gaming machine</w:t>
            </w:r>
          </w:p>
          <w:p w14:paraId="1D0C61A7" w14:textId="77777777" w:rsidR="00666786" w:rsidRPr="004A2DC2" w:rsidRDefault="00666786" w:rsidP="00666786">
            <w:pPr>
              <w:ind w:left="720"/>
            </w:pPr>
            <w:r w:rsidRPr="004A2DC2">
              <w:t>Where the notification is given as a result of a COVID-19 surrender of a gaming machine authorisation</w:t>
            </w:r>
          </w:p>
          <w:p w14:paraId="7F0AFF28" w14:textId="77777777" w:rsidR="00666786" w:rsidRPr="004A2DC2" w:rsidRDefault="00666786" w:rsidP="00666786">
            <w:pPr>
              <w:ind w:left="720"/>
            </w:pPr>
          </w:p>
          <w:p w14:paraId="63EBAA46" w14:textId="77777777" w:rsidR="00666786" w:rsidRPr="004A2DC2" w:rsidRDefault="00666786" w:rsidP="00666786">
            <w:pPr>
              <w:ind w:left="720"/>
            </w:pPr>
            <w:r w:rsidRPr="004A2DC2">
              <w:t>In all other cases</w:t>
            </w:r>
          </w:p>
          <w:p w14:paraId="271CF5BF" w14:textId="77777777" w:rsidR="00666786" w:rsidRPr="004A2DC2" w:rsidRDefault="00666786" w:rsidP="002661D3"/>
          <w:p w14:paraId="5C455A5F" w14:textId="77777777" w:rsidR="002661D3" w:rsidRPr="004A2DC2" w:rsidRDefault="002661D3" w:rsidP="002661D3"/>
        </w:tc>
        <w:tc>
          <w:tcPr>
            <w:tcW w:w="1418" w:type="dxa"/>
            <w:tcBorders>
              <w:left w:val="nil"/>
              <w:right w:val="nil"/>
            </w:tcBorders>
          </w:tcPr>
          <w:p w14:paraId="2E323574" w14:textId="77777777" w:rsidR="00666786" w:rsidRPr="004A2DC2" w:rsidRDefault="00666786" w:rsidP="002661D3"/>
          <w:p w14:paraId="4F8E681E" w14:textId="77777777" w:rsidR="00666786" w:rsidRPr="004A2DC2" w:rsidRDefault="00666786" w:rsidP="002661D3"/>
          <w:p w14:paraId="387C1D89" w14:textId="77777777" w:rsidR="00666786" w:rsidRPr="004A2DC2" w:rsidRDefault="00666786" w:rsidP="002661D3"/>
          <w:p w14:paraId="07278420" w14:textId="77777777" w:rsidR="00666786" w:rsidRPr="004A2DC2" w:rsidRDefault="00666786" w:rsidP="002661D3"/>
          <w:p w14:paraId="504A77E9" w14:textId="4587C694" w:rsidR="00666786" w:rsidRPr="004A2DC2" w:rsidRDefault="00666786" w:rsidP="002661D3">
            <w:r w:rsidRPr="004A2DC2">
              <w:t>N/A</w:t>
            </w:r>
          </w:p>
          <w:p w14:paraId="5EECD4D7" w14:textId="77777777" w:rsidR="00666786" w:rsidRPr="004A2DC2" w:rsidRDefault="00666786" w:rsidP="002661D3"/>
          <w:p w14:paraId="3C39028B" w14:textId="2BAFCA56" w:rsidR="002661D3" w:rsidRPr="004A2DC2" w:rsidRDefault="00D34538" w:rsidP="002661D3">
            <w:r>
              <w:t>$</w:t>
            </w:r>
            <w:r w:rsidR="002661D3" w:rsidRPr="004A2DC2">
              <w:t>38.00</w:t>
            </w:r>
          </w:p>
          <w:p w14:paraId="44E458D3" w14:textId="3FAA117E" w:rsidR="002661D3" w:rsidRPr="004A2DC2" w:rsidRDefault="002661D3" w:rsidP="002661D3">
            <w:r w:rsidRPr="004A2DC2">
              <w:t>per machine</w:t>
            </w:r>
          </w:p>
        </w:tc>
        <w:tc>
          <w:tcPr>
            <w:tcW w:w="1418" w:type="dxa"/>
            <w:tcBorders>
              <w:left w:val="nil"/>
              <w:right w:val="nil"/>
            </w:tcBorders>
          </w:tcPr>
          <w:p w14:paraId="7D27BD22" w14:textId="77777777" w:rsidR="00666786" w:rsidRPr="004A2DC2" w:rsidRDefault="00666786" w:rsidP="002661D3"/>
          <w:p w14:paraId="3DDEB7E3" w14:textId="77777777" w:rsidR="00666786" w:rsidRPr="004A2DC2" w:rsidRDefault="00666786" w:rsidP="002661D3"/>
          <w:p w14:paraId="76F27AB3" w14:textId="77777777" w:rsidR="00666786" w:rsidRPr="004A2DC2" w:rsidRDefault="00666786" w:rsidP="002661D3"/>
          <w:p w14:paraId="4E3C723C" w14:textId="77777777" w:rsidR="00666786" w:rsidRPr="004A2DC2" w:rsidRDefault="00666786" w:rsidP="002661D3"/>
          <w:p w14:paraId="4C7B31EE" w14:textId="6CF47AD5" w:rsidR="00666786" w:rsidRPr="004A2DC2" w:rsidRDefault="00666786" w:rsidP="002661D3">
            <w:r w:rsidRPr="004A2DC2">
              <w:t>Nil</w:t>
            </w:r>
          </w:p>
          <w:p w14:paraId="3C98DB45" w14:textId="77777777" w:rsidR="00666786" w:rsidRPr="004A2DC2" w:rsidRDefault="00666786" w:rsidP="002661D3"/>
          <w:p w14:paraId="073071B2" w14:textId="11F2114C" w:rsidR="002661D3" w:rsidRPr="004A2DC2" w:rsidRDefault="00D34538" w:rsidP="002661D3">
            <w:r>
              <w:t>$</w:t>
            </w:r>
            <w:r w:rsidR="002661D3" w:rsidRPr="004A2DC2">
              <w:t>38.00</w:t>
            </w:r>
          </w:p>
          <w:p w14:paraId="68866160" w14:textId="77777777" w:rsidR="002661D3" w:rsidRPr="004A2DC2" w:rsidRDefault="002661D3" w:rsidP="002661D3">
            <w:r w:rsidRPr="004A2DC2">
              <w:t>per machine</w:t>
            </w:r>
          </w:p>
        </w:tc>
      </w:tr>
      <w:tr w:rsidR="002661D3" w:rsidRPr="004A2DC2" w14:paraId="3608306F" w14:textId="77777777" w:rsidTr="00AD4B74">
        <w:trPr>
          <w:jc w:val="center"/>
        </w:trPr>
        <w:tc>
          <w:tcPr>
            <w:tcW w:w="1276" w:type="dxa"/>
            <w:tcBorders>
              <w:left w:val="nil"/>
              <w:right w:val="nil"/>
            </w:tcBorders>
          </w:tcPr>
          <w:p w14:paraId="26A0E14F" w14:textId="77777777" w:rsidR="002661D3" w:rsidRPr="004A2DC2" w:rsidRDefault="002661D3" w:rsidP="002661D3">
            <w:r w:rsidRPr="004A2DC2">
              <w:t>127O</w:t>
            </w:r>
          </w:p>
        </w:tc>
        <w:tc>
          <w:tcPr>
            <w:tcW w:w="4394" w:type="dxa"/>
            <w:tcBorders>
              <w:left w:val="nil"/>
              <w:right w:val="nil"/>
            </w:tcBorders>
          </w:tcPr>
          <w:p w14:paraId="04F04D79" w14:textId="2D884351" w:rsidR="002661D3" w:rsidRPr="004A2DC2" w:rsidRDefault="002661D3" w:rsidP="002661D3">
            <w:r w:rsidRPr="004A2DC2">
              <w:t>Application for storage permit to store one or more gaming machines</w:t>
            </w:r>
          </w:p>
          <w:p w14:paraId="7C2A2908" w14:textId="77777777" w:rsidR="00666786" w:rsidRPr="004A2DC2" w:rsidRDefault="00666786" w:rsidP="00666786">
            <w:pPr>
              <w:ind w:left="720"/>
            </w:pPr>
            <w:r w:rsidRPr="004A2DC2">
              <w:t>Where the notification is given as a result of a COVID-19 surrender of a gaming machine authorisation</w:t>
            </w:r>
          </w:p>
          <w:p w14:paraId="78750F90" w14:textId="77777777" w:rsidR="00666786" w:rsidRPr="004A2DC2" w:rsidRDefault="00666786" w:rsidP="00666786">
            <w:pPr>
              <w:ind w:left="720"/>
            </w:pPr>
          </w:p>
          <w:p w14:paraId="3DE30AAA" w14:textId="77777777" w:rsidR="00666786" w:rsidRPr="004A2DC2" w:rsidRDefault="00666786" w:rsidP="00666786">
            <w:pPr>
              <w:ind w:left="720"/>
            </w:pPr>
            <w:r w:rsidRPr="004A2DC2">
              <w:t>In all other cases</w:t>
            </w:r>
          </w:p>
          <w:p w14:paraId="11D8D029" w14:textId="77777777" w:rsidR="002661D3" w:rsidRPr="004A2DC2" w:rsidRDefault="002661D3" w:rsidP="002661D3"/>
        </w:tc>
        <w:tc>
          <w:tcPr>
            <w:tcW w:w="1418" w:type="dxa"/>
            <w:tcBorders>
              <w:left w:val="nil"/>
              <w:right w:val="nil"/>
            </w:tcBorders>
          </w:tcPr>
          <w:p w14:paraId="4B5B3EDF" w14:textId="77777777" w:rsidR="00666786" w:rsidRPr="004A2DC2" w:rsidRDefault="00666786" w:rsidP="002661D3"/>
          <w:p w14:paraId="238C12B6" w14:textId="77777777" w:rsidR="00666786" w:rsidRPr="004A2DC2" w:rsidRDefault="00666786" w:rsidP="002661D3"/>
          <w:p w14:paraId="2D01F4EB" w14:textId="77777777" w:rsidR="00666786" w:rsidRPr="004A2DC2" w:rsidRDefault="00666786" w:rsidP="002661D3"/>
          <w:p w14:paraId="71C36A07" w14:textId="77777777" w:rsidR="00666786" w:rsidRPr="004A2DC2" w:rsidRDefault="00666786" w:rsidP="002661D3"/>
          <w:p w14:paraId="316E9623" w14:textId="16B5E4E9" w:rsidR="00666786" w:rsidRPr="004A2DC2" w:rsidRDefault="00666786" w:rsidP="002661D3">
            <w:r w:rsidRPr="004A2DC2">
              <w:t>N/A</w:t>
            </w:r>
          </w:p>
          <w:p w14:paraId="7CBA2F91" w14:textId="77777777" w:rsidR="00666786" w:rsidRPr="004A2DC2" w:rsidRDefault="00666786" w:rsidP="002661D3"/>
          <w:p w14:paraId="45B66706" w14:textId="0E8E521A" w:rsidR="002661D3" w:rsidRPr="004A2DC2" w:rsidRDefault="00D34538" w:rsidP="002661D3">
            <w:r>
              <w:t>$</w:t>
            </w:r>
            <w:r w:rsidR="002661D3" w:rsidRPr="004A2DC2">
              <w:t>331.00</w:t>
            </w:r>
          </w:p>
        </w:tc>
        <w:tc>
          <w:tcPr>
            <w:tcW w:w="1418" w:type="dxa"/>
            <w:tcBorders>
              <w:left w:val="nil"/>
              <w:right w:val="nil"/>
            </w:tcBorders>
          </w:tcPr>
          <w:p w14:paraId="49FDFE04" w14:textId="77777777" w:rsidR="00666786" w:rsidRPr="004A2DC2" w:rsidRDefault="00666786" w:rsidP="002661D3"/>
          <w:p w14:paraId="0CE844F5" w14:textId="77777777" w:rsidR="00666786" w:rsidRPr="004A2DC2" w:rsidRDefault="00666786" w:rsidP="002661D3"/>
          <w:p w14:paraId="297FF072" w14:textId="77777777" w:rsidR="00666786" w:rsidRPr="004A2DC2" w:rsidRDefault="00666786" w:rsidP="002661D3"/>
          <w:p w14:paraId="7C707C2F" w14:textId="77777777" w:rsidR="00666786" w:rsidRPr="004A2DC2" w:rsidRDefault="00666786" w:rsidP="002661D3"/>
          <w:p w14:paraId="2DAE1E40" w14:textId="3BA5DEF7" w:rsidR="00666786" w:rsidRPr="004A2DC2" w:rsidRDefault="00666786" w:rsidP="002661D3">
            <w:r w:rsidRPr="004A2DC2">
              <w:t>Nil</w:t>
            </w:r>
          </w:p>
          <w:p w14:paraId="104C7364" w14:textId="77777777" w:rsidR="00666786" w:rsidRPr="004A2DC2" w:rsidRDefault="00666786" w:rsidP="002661D3"/>
          <w:p w14:paraId="019B1884" w14:textId="2669CD0E" w:rsidR="002661D3" w:rsidRPr="004A2DC2" w:rsidRDefault="008C069F" w:rsidP="002661D3">
            <w:r>
              <w:t>$</w:t>
            </w:r>
            <w:r w:rsidR="002661D3" w:rsidRPr="004A2DC2">
              <w:t>331.00</w:t>
            </w:r>
          </w:p>
        </w:tc>
      </w:tr>
      <w:tr w:rsidR="002661D3" w:rsidRPr="004A2DC2" w14:paraId="11BF2BA9" w14:textId="77777777" w:rsidTr="0019182B">
        <w:trPr>
          <w:cantSplit/>
          <w:jc w:val="center"/>
        </w:trPr>
        <w:tc>
          <w:tcPr>
            <w:tcW w:w="1276" w:type="dxa"/>
            <w:tcBorders>
              <w:left w:val="nil"/>
              <w:right w:val="nil"/>
            </w:tcBorders>
          </w:tcPr>
          <w:p w14:paraId="3D67FDEE" w14:textId="6493CC27" w:rsidR="002661D3" w:rsidRPr="004A2DC2" w:rsidRDefault="002661D3" w:rsidP="002661D3">
            <w:r w:rsidRPr="004A2DC2">
              <w:lastRenderedPageBreak/>
              <w:t>127X</w:t>
            </w:r>
          </w:p>
        </w:tc>
        <w:tc>
          <w:tcPr>
            <w:tcW w:w="4394" w:type="dxa"/>
            <w:tcBorders>
              <w:left w:val="nil"/>
              <w:right w:val="nil"/>
            </w:tcBorders>
          </w:tcPr>
          <w:p w14:paraId="59856222" w14:textId="63D38D2C" w:rsidR="002661D3" w:rsidRPr="004A2DC2" w:rsidRDefault="002661D3" w:rsidP="002661D3">
            <w:r w:rsidRPr="004A2DC2">
              <w:t>Notification to dispose of a stored gaming machine or remove a gaming machine from storage</w:t>
            </w:r>
          </w:p>
          <w:p w14:paraId="1B6B21D4" w14:textId="77777777" w:rsidR="00666786" w:rsidRPr="004A2DC2" w:rsidRDefault="00666786" w:rsidP="00666786">
            <w:pPr>
              <w:ind w:left="720"/>
            </w:pPr>
            <w:r w:rsidRPr="004A2DC2">
              <w:t>Where the notification is given as a result of a COVID-19 surrender of a gaming machine authorisation</w:t>
            </w:r>
          </w:p>
          <w:p w14:paraId="77FD908A" w14:textId="77777777" w:rsidR="00666786" w:rsidRPr="004A2DC2" w:rsidRDefault="00666786" w:rsidP="00666786">
            <w:pPr>
              <w:ind w:left="720"/>
            </w:pPr>
          </w:p>
          <w:p w14:paraId="559EE5C2" w14:textId="77777777" w:rsidR="00666786" w:rsidRPr="004A2DC2" w:rsidRDefault="00666786" w:rsidP="00666786">
            <w:pPr>
              <w:ind w:left="720"/>
            </w:pPr>
            <w:r w:rsidRPr="004A2DC2">
              <w:t>In all other cases</w:t>
            </w:r>
          </w:p>
          <w:p w14:paraId="6D12A7E9" w14:textId="77777777" w:rsidR="002661D3" w:rsidRPr="004A2DC2" w:rsidRDefault="002661D3" w:rsidP="002661D3"/>
        </w:tc>
        <w:tc>
          <w:tcPr>
            <w:tcW w:w="1418" w:type="dxa"/>
            <w:tcBorders>
              <w:left w:val="nil"/>
              <w:right w:val="nil"/>
            </w:tcBorders>
          </w:tcPr>
          <w:p w14:paraId="0A6EEC16" w14:textId="77777777" w:rsidR="00666786" w:rsidRPr="004A2DC2" w:rsidRDefault="00666786" w:rsidP="002661D3"/>
          <w:p w14:paraId="777DCEE3" w14:textId="77777777" w:rsidR="00666786" w:rsidRPr="004A2DC2" w:rsidRDefault="00666786" w:rsidP="002661D3"/>
          <w:p w14:paraId="579087D2" w14:textId="77777777" w:rsidR="00666786" w:rsidRPr="004A2DC2" w:rsidRDefault="00666786" w:rsidP="002661D3"/>
          <w:p w14:paraId="3BAD6A76" w14:textId="77777777" w:rsidR="00666786" w:rsidRPr="004A2DC2" w:rsidRDefault="00666786" w:rsidP="002661D3"/>
          <w:p w14:paraId="76C828B0" w14:textId="77777777" w:rsidR="00666786" w:rsidRPr="004A2DC2" w:rsidRDefault="00666786" w:rsidP="002661D3"/>
          <w:p w14:paraId="31B9D9F7" w14:textId="46E090D8" w:rsidR="00666786" w:rsidRPr="004A2DC2" w:rsidRDefault="00666786" w:rsidP="002661D3">
            <w:r w:rsidRPr="004A2DC2">
              <w:t>N/A</w:t>
            </w:r>
          </w:p>
          <w:p w14:paraId="0A455BAE" w14:textId="77777777" w:rsidR="00666786" w:rsidRPr="004A2DC2" w:rsidRDefault="00666786" w:rsidP="002661D3"/>
          <w:p w14:paraId="7FC0959E" w14:textId="43EC55BF" w:rsidR="002661D3" w:rsidRPr="004A2DC2" w:rsidRDefault="008C069F" w:rsidP="002661D3">
            <w:r>
              <w:t>$</w:t>
            </w:r>
            <w:r w:rsidR="002661D3" w:rsidRPr="004A2DC2">
              <w:t>110.00</w:t>
            </w:r>
          </w:p>
        </w:tc>
        <w:tc>
          <w:tcPr>
            <w:tcW w:w="1418" w:type="dxa"/>
            <w:tcBorders>
              <w:left w:val="nil"/>
              <w:right w:val="nil"/>
            </w:tcBorders>
          </w:tcPr>
          <w:p w14:paraId="136E19BE" w14:textId="77777777" w:rsidR="00666786" w:rsidRPr="004A2DC2" w:rsidRDefault="00666786" w:rsidP="002661D3"/>
          <w:p w14:paraId="479A70A1" w14:textId="77777777" w:rsidR="00666786" w:rsidRPr="004A2DC2" w:rsidRDefault="00666786" w:rsidP="002661D3"/>
          <w:p w14:paraId="3F1AFDC6" w14:textId="77777777" w:rsidR="00666786" w:rsidRPr="004A2DC2" w:rsidRDefault="00666786" w:rsidP="002661D3"/>
          <w:p w14:paraId="0268EEDE" w14:textId="77777777" w:rsidR="00666786" w:rsidRPr="004A2DC2" w:rsidRDefault="00666786" w:rsidP="002661D3"/>
          <w:p w14:paraId="3B34D8BB" w14:textId="77777777" w:rsidR="00666786" w:rsidRPr="004A2DC2" w:rsidRDefault="00666786" w:rsidP="002661D3"/>
          <w:p w14:paraId="32A5B202" w14:textId="2C088FCB" w:rsidR="00666786" w:rsidRPr="004A2DC2" w:rsidRDefault="00666786" w:rsidP="002661D3">
            <w:r w:rsidRPr="004A2DC2">
              <w:t>Nil</w:t>
            </w:r>
          </w:p>
          <w:p w14:paraId="46417CAE" w14:textId="77777777" w:rsidR="00666786" w:rsidRPr="004A2DC2" w:rsidRDefault="00666786" w:rsidP="002661D3"/>
          <w:p w14:paraId="1A38D7E5" w14:textId="5CA25B0C" w:rsidR="002661D3" w:rsidRPr="004A2DC2" w:rsidRDefault="008C069F" w:rsidP="002661D3">
            <w:r>
              <w:t>$</w:t>
            </w:r>
            <w:r w:rsidR="002661D3" w:rsidRPr="004A2DC2">
              <w:t>110.00</w:t>
            </w:r>
          </w:p>
        </w:tc>
      </w:tr>
      <w:tr w:rsidR="002661D3" w:rsidRPr="004A2DC2" w14:paraId="3ABF096E" w14:textId="77777777" w:rsidTr="00AD4B74">
        <w:trPr>
          <w:jc w:val="center"/>
        </w:trPr>
        <w:tc>
          <w:tcPr>
            <w:tcW w:w="1276" w:type="dxa"/>
            <w:tcBorders>
              <w:left w:val="nil"/>
              <w:right w:val="nil"/>
            </w:tcBorders>
          </w:tcPr>
          <w:p w14:paraId="7253565E" w14:textId="77777777" w:rsidR="002661D3" w:rsidRPr="004A2DC2" w:rsidRDefault="002661D3" w:rsidP="002661D3">
            <w:r w:rsidRPr="004A2DC2">
              <w:t>127ZE</w:t>
            </w:r>
          </w:p>
        </w:tc>
        <w:tc>
          <w:tcPr>
            <w:tcW w:w="4394" w:type="dxa"/>
            <w:tcBorders>
              <w:left w:val="nil"/>
              <w:right w:val="nil"/>
            </w:tcBorders>
          </w:tcPr>
          <w:p w14:paraId="0225436C" w14:textId="6FC49766" w:rsidR="002661D3" w:rsidRPr="004A2DC2" w:rsidRDefault="002661D3" w:rsidP="002661D3">
            <w:r w:rsidRPr="004A2DC2">
              <w:t>Inspection of gaming machines held under a storage permit</w:t>
            </w:r>
          </w:p>
          <w:p w14:paraId="31AD5051" w14:textId="77777777" w:rsidR="00666786" w:rsidRPr="004A2DC2" w:rsidRDefault="00666786" w:rsidP="00666786">
            <w:pPr>
              <w:ind w:left="720"/>
            </w:pPr>
            <w:r w:rsidRPr="004A2DC2">
              <w:t>Where the inspection occurs as a result of a COVID-19 surrender of a gaming machine authorisation</w:t>
            </w:r>
          </w:p>
          <w:p w14:paraId="60EF1162" w14:textId="77777777" w:rsidR="00666786" w:rsidRPr="004A2DC2" w:rsidRDefault="00666786" w:rsidP="00666786">
            <w:pPr>
              <w:ind w:left="720"/>
            </w:pPr>
          </w:p>
          <w:p w14:paraId="4E7AD443" w14:textId="77777777" w:rsidR="00666786" w:rsidRPr="004A2DC2" w:rsidRDefault="00666786" w:rsidP="00666786">
            <w:pPr>
              <w:ind w:left="720"/>
            </w:pPr>
            <w:r w:rsidRPr="004A2DC2">
              <w:t>In all other cases</w:t>
            </w:r>
          </w:p>
          <w:p w14:paraId="6A982FAB" w14:textId="77777777" w:rsidR="002661D3" w:rsidRPr="004A2DC2" w:rsidRDefault="002661D3" w:rsidP="002661D3"/>
        </w:tc>
        <w:tc>
          <w:tcPr>
            <w:tcW w:w="1418" w:type="dxa"/>
            <w:tcBorders>
              <w:left w:val="nil"/>
              <w:right w:val="nil"/>
            </w:tcBorders>
          </w:tcPr>
          <w:p w14:paraId="7E998CCF" w14:textId="77777777" w:rsidR="00666786" w:rsidRPr="004A2DC2" w:rsidRDefault="00666786" w:rsidP="002661D3"/>
          <w:p w14:paraId="390266C1" w14:textId="77777777" w:rsidR="00666786" w:rsidRPr="004A2DC2" w:rsidRDefault="00666786" w:rsidP="002661D3"/>
          <w:p w14:paraId="4FDD1D07" w14:textId="77777777" w:rsidR="00666786" w:rsidRPr="004A2DC2" w:rsidRDefault="00666786" w:rsidP="002661D3"/>
          <w:p w14:paraId="1411C2A2" w14:textId="77777777" w:rsidR="00666786" w:rsidRPr="004A2DC2" w:rsidRDefault="00666786" w:rsidP="002661D3"/>
          <w:p w14:paraId="105111E2" w14:textId="54399DA7" w:rsidR="00666786" w:rsidRPr="004A2DC2" w:rsidRDefault="00666786" w:rsidP="002661D3">
            <w:r w:rsidRPr="004A2DC2">
              <w:t>N/A</w:t>
            </w:r>
          </w:p>
          <w:p w14:paraId="3B235852" w14:textId="77777777" w:rsidR="00666786" w:rsidRPr="004A2DC2" w:rsidRDefault="00666786" w:rsidP="002661D3"/>
          <w:p w14:paraId="6B699E1E" w14:textId="1E36C336" w:rsidR="002661D3" w:rsidRPr="004A2DC2" w:rsidRDefault="008C069F" w:rsidP="002661D3">
            <w:r>
              <w:t>$</w:t>
            </w:r>
            <w:r w:rsidR="002661D3" w:rsidRPr="004A2DC2">
              <w:t>331.00</w:t>
            </w:r>
          </w:p>
        </w:tc>
        <w:tc>
          <w:tcPr>
            <w:tcW w:w="1418" w:type="dxa"/>
            <w:tcBorders>
              <w:left w:val="nil"/>
              <w:right w:val="nil"/>
            </w:tcBorders>
          </w:tcPr>
          <w:p w14:paraId="649B4E25" w14:textId="77777777" w:rsidR="00666786" w:rsidRPr="004A2DC2" w:rsidRDefault="00666786" w:rsidP="002661D3"/>
          <w:p w14:paraId="094F7106" w14:textId="77777777" w:rsidR="00666786" w:rsidRPr="004A2DC2" w:rsidRDefault="00666786" w:rsidP="002661D3"/>
          <w:p w14:paraId="386E2EA5" w14:textId="77777777" w:rsidR="00666786" w:rsidRPr="004A2DC2" w:rsidRDefault="00666786" w:rsidP="002661D3"/>
          <w:p w14:paraId="01CE09D8" w14:textId="77777777" w:rsidR="00666786" w:rsidRPr="004A2DC2" w:rsidRDefault="00666786" w:rsidP="002661D3"/>
          <w:p w14:paraId="699192CF" w14:textId="2C94ED17" w:rsidR="00666786" w:rsidRPr="004A2DC2" w:rsidRDefault="00666786" w:rsidP="002661D3">
            <w:r w:rsidRPr="004A2DC2">
              <w:t>Nil</w:t>
            </w:r>
          </w:p>
          <w:p w14:paraId="4C9A57D7" w14:textId="77777777" w:rsidR="00666786" w:rsidRPr="004A2DC2" w:rsidRDefault="00666786" w:rsidP="002661D3"/>
          <w:p w14:paraId="4DE3E46D" w14:textId="5B8BD351" w:rsidR="002661D3" w:rsidRPr="004A2DC2" w:rsidRDefault="008C069F" w:rsidP="002661D3">
            <w:r>
              <w:t>$</w:t>
            </w:r>
            <w:r w:rsidR="002661D3" w:rsidRPr="004A2DC2">
              <w:t>331.00</w:t>
            </w:r>
          </w:p>
        </w:tc>
      </w:tr>
    </w:tbl>
    <w:p w14:paraId="6E1B6594" w14:textId="77777777" w:rsidR="006F7D35" w:rsidRDefault="006F7D35" w:rsidP="006F7D35"/>
    <w:sectPr w:rsidR="006F7D35" w:rsidSect="004A2DC2">
      <w:headerReference w:type="even" r:id="rId14"/>
      <w:headerReference w:type="default" r:id="rId15"/>
      <w:footerReference w:type="default" r:id="rId16"/>
      <w:headerReference w:type="first" r:id="rId17"/>
      <w:pgSz w:w="11907" w:h="16840" w:code="9"/>
      <w:pgMar w:top="1197" w:right="1588" w:bottom="426" w:left="1588" w:header="720" w:footer="720" w:gutter="0"/>
      <w:paperSrc w:first="3"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E605E" w14:textId="77777777" w:rsidR="00A16780" w:rsidRDefault="00A16780">
      <w:r>
        <w:separator/>
      </w:r>
    </w:p>
  </w:endnote>
  <w:endnote w:type="continuationSeparator" w:id="0">
    <w:p w14:paraId="163B353D" w14:textId="77777777" w:rsidR="00A16780" w:rsidRDefault="00A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3A79B" w14:textId="01920E8D" w:rsidR="0051546C" w:rsidRPr="003547E4" w:rsidRDefault="0051546C" w:rsidP="003547E4">
    <w:pPr>
      <w:pStyle w:val="Footer"/>
      <w:jc w:val="center"/>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169785"/>
      <w:docPartObj>
        <w:docPartGallery w:val="Page Numbers (Bottom of Page)"/>
        <w:docPartUnique/>
      </w:docPartObj>
    </w:sdtPr>
    <w:sdtEndPr>
      <w:rPr>
        <w:noProof/>
        <w:sz w:val="20"/>
        <w:szCs w:val="20"/>
      </w:rPr>
    </w:sdtEndPr>
    <w:sdtContent>
      <w:p w14:paraId="34227012" w14:textId="4D9A1B61" w:rsidR="0045509E" w:rsidRDefault="0045509E">
        <w:pPr>
          <w:pStyle w:val="Footer"/>
          <w:jc w:val="right"/>
          <w:rPr>
            <w:noProof/>
            <w:sz w:val="20"/>
            <w:szCs w:val="20"/>
          </w:rPr>
        </w:pPr>
        <w:r w:rsidRPr="0045509E">
          <w:rPr>
            <w:sz w:val="20"/>
            <w:szCs w:val="20"/>
          </w:rPr>
          <w:fldChar w:fldCharType="begin"/>
        </w:r>
        <w:r w:rsidRPr="0045509E">
          <w:rPr>
            <w:sz w:val="20"/>
            <w:szCs w:val="20"/>
          </w:rPr>
          <w:instrText xml:space="preserve"> PAGE   \* MERGEFORMAT </w:instrText>
        </w:r>
        <w:r w:rsidRPr="0045509E">
          <w:rPr>
            <w:sz w:val="20"/>
            <w:szCs w:val="20"/>
          </w:rPr>
          <w:fldChar w:fldCharType="separate"/>
        </w:r>
        <w:r w:rsidRPr="0045509E">
          <w:rPr>
            <w:noProof/>
            <w:sz w:val="20"/>
            <w:szCs w:val="20"/>
          </w:rPr>
          <w:t>2</w:t>
        </w:r>
        <w:r w:rsidRPr="0045509E">
          <w:rPr>
            <w:noProof/>
            <w:sz w:val="20"/>
            <w:szCs w:val="20"/>
          </w:rPr>
          <w:fldChar w:fldCharType="end"/>
        </w:r>
      </w:p>
    </w:sdtContent>
  </w:sdt>
  <w:p w14:paraId="2C1944F6" w14:textId="60775A58" w:rsidR="00CB767F" w:rsidRPr="00CB767F" w:rsidRDefault="00CB767F" w:rsidP="00CB767F">
    <w:pPr>
      <w:pStyle w:val="Footer"/>
      <w:jc w:val="center"/>
      <w:rPr>
        <w:rFonts w:ascii="Arial" w:hAnsi="Arial" w:cs="Arial"/>
        <w:sz w:val="14"/>
        <w:szCs w:val="20"/>
      </w:rPr>
    </w:pPr>
    <w:r w:rsidRPr="00CB767F">
      <w:rPr>
        <w:rFonts w:ascii="Arial" w:hAnsi="Arial" w:cs="Arial"/>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1307" w14:textId="7ADEBA32" w:rsidR="00CB767F" w:rsidRPr="00CB767F" w:rsidRDefault="00CB767F" w:rsidP="00CB767F">
    <w:pPr>
      <w:pStyle w:val="Footer"/>
      <w:jc w:val="center"/>
      <w:rPr>
        <w:rFonts w:ascii="Arial" w:hAnsi="Arial" w:cs="Arial"/>
        <w:sz w:val="14"/>
      </w:rPr>
    </w:pPr>
    <w:r w:rsidRPr="00CB767F">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6BBA" w14:textId="24982D0D" w:rsidR="0045509E" w:rsidRPr="00CB767F" w:rsidRDefault="00CB767F" w:rsidP="00CB767F">
    <w:pPr>
      <w:pStyle w:val="Footer"/>
      <w:jc w:val="center"/>
      <w:rPr>
        <w:rFonts w:ascii="Arial" w:hAnsi="Arial" w:cs="Arial"/>
        <w:sz w:val="14"/>
        <w:szCs w:val="20"/>
      </w:rPr>
    </w:pPr>
    <w:r w:rsidRPr="00CB767F">
      <w:rPr>
        <w:rFonts w:ascii="Arial" w:hAnsi="Arial" w:cs="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40FF9" w14:textId="77777777" w:rsidR="00A16780" w:rsidRDefault="00A16780">
      <w:r>
        <w:separator/>
      </w:r>
    </w:p>
  </w:footnote>
  <w:footnote w:type="continuationSeparator" w:id="0">
    <w:p w14:paraId="45A91E35" w14:textId="77777777" w:rsidR="00A16780" w:rsidRDefault="00A1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6630" w14:textId="77777777" w:rsidR="0051546C" w:rsidRDefault="005154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4863167" w14:textId="77777777" w:rsidR="0051546C" w:rsidRDefault="0051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016A" w14:textId="77777777" w:rsidR="0051546C" w:rsidRPr="002F36E3" w:rsidRDefault="0051546C">
    <w:pPr>
      <w:pStyle w:val="Header"/>
      <w:jc w:val="right"/>
      <w:rPr>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58CC9" w14:textId="77777777" w:rsidR="00CB767F" w:rsidRDefault="00CB76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DDF5" w14:textId="77777777" w:rsidR="004A2DC2" w:rsidRDefault="004A2D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C1D63E" w14:textId="77777777" w:rsidR="004A2DC2" w:rsidRDefault="004A2DC2" w:rsidP="004A2DC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BE88" w14:textId="73C38455" w:rsidR="004A2DC2" w:rsidRPr="00D06640" w:rsidRDefault="004A2DC2" w:rsidP="004A2DC2">
    <w:pPr>
      <w:jc w:val="center"/>
      <w:rPr>
        <w:b/>
        <w:bCs/>
        <w:sz w:val="22"/>
        <w:szCs w:val="22"/>
      </w:rPr>
    </w:pPr>
    <w:r w:rsidRPr="00D06640">
      <w:rPr>
        <w:b/>
        <w:bCs/>
        <w:sz w:val="22"/>
        <w:szCs w:val="22"/>
      </w:rPr>
      <w:t xml:space="preserve">This is page </w:t>
    </w:r>
    <w:r w:rsidRPr="004A2DC2">
      <w:rPr>
        <w:b/>
        <w:bCs/>
        <w:sz w:val="22"/>
        <w:szCs w:val="22"/>
      </w:rPr>
      <w:fldChar w:fldCharType="begin"/>
    </w:r>
    <w:r w:rsidRPr="004A2DC2">
      <w:rPr>
        <w:b/>
        <w:bCs/>
        <w:sz w:val="22"/>
        <w:szCs w:val="22"/>
      </w:rPr>
      <w:instrText xml:space="preserve"> PAGE   \* MERGEFORMAT </w:instrText>
    </w:r>
    <w:r w:rsidRPr="004A2DC2">
      <w:rPr>
        <w:b/>
        <w:bCs/>
        <w:sz w:val="22"/>
        <w:szCs w:val="22"/>
      </w:rPr>
      <w:fldChar w:fldCharType="separate"/>
    </w:r>
    <w:r>
      <w:rPr>
        <w:b/>
        <w:bCs/>
        <w:sz w:val="22"/>
        <w:szCs w:val="22"/>
      </w:rPr>
      <w:t>1</w:t>
    </w:r>
    <w:r w:rsidRPr="004A2DC2">
      <w:rPr>
        <w:b/>
        <w:bCs/>
        <w:noProof/>
        <w:sz w:val="22"/>
        <w:szCs w:val="22"/>
      </w:rPr>
      <w:fldChar w:fldCharType="end"/>
    </w:r>
    <w:r w:rsidRPr="00D06640">
      <w:rPr>
        <w:b/>
        <w:bCs/>
        <w:sz w:val="22"/>
        <w:szCs w:val="22"/>
      </w:rPr>
      <w:t xml:space="preserve"> of </w:t>
    </w:r>
    <w:r w:rsidR="0045509E">
      <w:rPr>
        <w:b/>
        <w:bCs/>
        <w:sz w:val="22"/>
        <w:szCs w:val="22"/>
      </w:rPr>
      <w:t>2</w:t>
    </w:r>
    <w:r w:rsidRPr="00D06640">
      <w:rPr>
        <w:b/>
        <w:bCs/>
        <w:sz w:val="22"/>
        <w:szCs w:val="22"/>
      </w:rPr>
      <w:t xml:space="preserve"> pages of the Attachment to the Explanatory Statement to the</w:t>
    </w:r>
  </w:p>
  <w:p w14:paraId="117F3902" w14:textId="77777777" w:rsidR="004A2DC2" w:rsidRPr="00D06640" w:rsidRDefault="004A2DC2" w:rsidP="004A2DC2">
    <w:pPr>
      <w:jc w:val="center"/>
      <w:rPr>
        <w:b/>
        <w:bCs/>
        <w:i/>
        <w:sz w:val="22"/>
        <w:szCs w:val="22"/>
      </w:rPr>
    </w:pPr>
    <w:r w:rsidRPr="00D06640">
      <w:rPr>
        <w:b/>
        <w:i/>
        <w:iCs/>
        <w:sz w:val="22"/>
        <w:szCs w:val="22"/>
      </w:rPr>
      <w:t>Gaming Machine</w:t>
    </w:r>
    <w:r>
      <w:rPr>
        <w:b/>
        <w:bCs/>
        <w:i/>
        <w:sz w:val="22"/>
        <w:szCs w:val="22"/>
      </w:rPr>
      <w:t xml:space="preserve"> (Fees) </w:t>
    </w:r>
    <w:r w:rsidRPr="00950945">
      <w:rPr>
        <w:b/>
        <w:bCs/>
        <w:i/>
        <w:sz w:val="22"/>
        <w:szCs w:val="22"/>
      </w:rPr>
      <w:t xml:space="preserve">Determination </w:t>
    </w:r>
    <w:r>
      <w:rPr>
        <w:b/>
        <w:bCs/>
        <w:i/>
        <w:sz w:val="22"/>
        <w:szCs w:val="22"/>
      </w:rPr>
      <w:t>2020 (No 1)</w:t>
    </w:r>
  </w:p>
  <w:p w14:paraId="4F7E0A5E" w14:textId="77777777" w:rsidR="0051546C" w:rsidRDefault="005154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9E70" w14:textId="5572D10E" w:rsidR="0051546C" w:rsidRPr="00D06640" w:rsidRDefault="0051546C" w:rsidP="00874B9D">
    <w:pPr>
      <w:jc w:val="center"/>
      <w:rPr>
        <w:b/>
        <w:bCs/>
        <w:sz w:val="22"/>
        <w:szCs w:val="22"/>
      </w:rPr>
    </w:pPr>
    <w:r w:rsidRPr="00D06640">
      <w:rPr>
        <w:b/>
        <w:bCs/>
        <w:sz w:val="22"/>
        <w:szCs w:val="22"/>
      </w:rPr>
      <w:t xml:space="preserve">This is page </w:t>
    </w:r>
    <w:r w:rsidR="004A2DC2" w:rsidRPr="004A2DC2">
      <w:rPr>
        <w:b/>
        <w:bCs/>
        <w:sz w:val="22"/>
        <w:szCs w:val="22"/>
      </w:rPr>
      <w:fldChar w:fldCharType="begin"/>
    </w:r>
    <w:r w:rsidR="004A2DC2" w:rsidRPr="004A2DC2">
      <w:rPr>
        <w:b/>
        <w:bCs/>
        <w:sz w:val="22"/>
        <w:szCs w:val="22"/>
      </w:rPr>
      <w:instrText xml:space="preserve"> PAGE   \* MERGEFORMAT </w:instrText>
    </w:r>
    <w:r w:rsidR="004A2DC2" w:rsidRPr="004A2DC2">
      <w:rPr>
        <w:b/>
        <w:bCs/>
        <w:sz w:val="22"/>
        <w:szCs w:val="22"/>
      </w:rPr>
      <w:fldChar w:fldCharType="separate"/>
    </w:r>
    <w:r w:rsidR="004A2DC2" w:rsidRPr="004A2DC2">
      <w:rPr>
        <w:b/>
        <w:bCs/>
        <w:noProof/>
        <w:sz w:val="22"/>
        <w:szCs w:val="22"/>
      </w:rPr>
      <w:t>1</w:t>
    </w:r>
    <w:r w:rsidR="004A2DC2" w:rsidRPr="004A2DC2">
      <w:rPr>
        <w:b/>
        <w:bCs/>
        <w:noProof/>
        <w:sz w:val="22"/>
        <w:szCs w:val="22"/>
      </w:rPr>
      <w:fldChar w:fldCharType="end"/>
    </w:r>
    <w:r w:rsidRPr="00D06640">
      <w:rPr>
        <w:b/>
        <w:bCs/>
        <w:sz w:val="22"/>
        <w:szCs w:val="22"/>
      </w:rPr>
      <w:t xml:space="preserve"> of </w:t>
    </w:r>
    <w:r w:rsidR="0045509E">
      <w:rPr>
        <w:b/>
        <w:bCs/>
        <w:sz w:val="22"/>
        <w:szCs w:val="22"/>
      </w:rPr>
      <w:t>2</w:t>
    </w:r>
    <w:r w:rsidRPr="00D06640">
      <w:rPr>
        <w:b/>
        <w:bCs/>
        <w:sz w:val="22"/>
        <w:szCs w:val="22"/>
      </w:rPr>
      <w:t xml:space="preserve"> pages of the Attachment to the Explanatory Statement to the</w:t>
    </w:r>
  </w:p>
  <w:p w14:paraId="76B60DFE" w14:textId="5AFDCF20" w:rsidR="0051546C" w:rsidRPr="00D06640" w:rsidRDefault="0051546C" w:rsidP="00874B9D">
    <w:pPr>
      <w:jc w:val="center"/>
      <w:rPr>
        <w:b/>
        <w:bCs/>
        <w:i/>
        <w:sz w:val="22"/>
        <w:szCs w:val="22"/>
      </w:rPr>
    </w:pPr>
    <w:r w:rsidRPr="00D06640">
      <w:rPr>
        <w:b/>
        <w:i/>
        <w:iCs/>
        <w:sz w:val="22"/>
        <w:szCs w:val="22"/>
      </w:rPr>
      <w:t>Gaming Machine</w:t>
    </w:r>
    <w:r>
      <w:rPr>
        <w:b/>
        <w:bCs/>
        <w:i/>
        <w:sz w:val="22"/>
        <w:szCs w:val="22"/>
      </w:rPr>
      <w:t xml:space="preserve"> (Fees) </w:t>
    </w:r>
    <w:r w:rsidRPr="00950945">
      <w:rPr>
        <w:b/>
        <w:bCs/>
        <w:i/>
        <w:sz w:val="22"/>
        <w:szCs w:val="22"/>
      </w:rPr>
      <w:t xml:space="preserve">Determination </w:t>
    </w:r>
    <w:r w:rsidR="00AD4B74">
      <w:rPr>
        <w:b/>
        <w:bCs/>
        <w:i/>
        <w:sz w:val="22"/>
        <w:szCs w:val="22"/>
      </w:rPr>
      <w:t>20</w:t>
    </w:r>
    <w:r w:rsidR="00401F0F">
      <w:rPr>
        <w:b/>
        <w:bCs/>
        <w:i/>
        <w:sz w:val="22"/>
        <w:szCs w:val="22"/>
      </w:rPr>
      <w:t>20</w:t>
    </w:r>
    <w:r w:rsidR="00AD2980">
      <w:rPr>
        <w:b/>
        <w:bCs/>
        <w:i/>
        <w:sz w:val="22"/>
        <w:szCs w:val="22"/>
      </w:rPr>
      <w:t xml:space="preserve"> (No 1)</w:t>
    </w:r>
  </w:p>
  <w:p w14:paraId="4143CB46" w14:textId="77777777" w:rsidR="0051546C" w:rsidRPr="00D06640" w:rsidRDefault="0051546C" w:rsidP="005E1F6B">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8AB"/>
    <w:multiLevelType w:val="hybridMultilevel"/>
    <w:tmpl w:val="FCEA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7075A"/>
    <w:multiLevelType w:val="hybridMultilevel"/>
    <w:tmpl w:val="403CA8CE"/>
    <w:lvl w:ilvl="0" w:tplc="FAAC2F56">
      <w:start w:val="3"/>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88D0927"/>
    <w:multiLevelType w:val="hybridMultilevel"/>
    <w:tmpl w:val="3E663EB4"/>
    <w:lvl w:ilvl="0" w:tplc="0D04CFCC">
      <w:start w:val="1"/>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D1856"/>
    <w:multiLevelType w:val="hybridMultilevel"/>
    <w:tmpl w:val="9A206140"/>
    <w:lvl w:ilvl="0" w:tplc="55E81170">
      <w:start w:val="1"/>
      <w:numFmt w:val="bullet"/>
      <w:lvlText w:val=""/>
      <w:lvlJc w:val="left"/>
      <w:pPr>
        <w:tabs>
          <w:tab w:val="num" w:pos="927"/>
        </w:tabs>
        <w:ind w:left="851" w:hanging="284"/>
      </w:pPr>
      <w:rPr>
        <w:rFonts w:ascii="Symbol" w:hAnsi="Symbol"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22D19"/>
    <w:multiLevelType w:val="hybridMultilevel"/>
    <w:tmpl w:val="01903F68"/>
    <w:lvl w:ilvl="0" w:tplc="FC26E18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0B64E4"/>
    <w:multiLevelType w:val="multilevel"/>
    <w:tmpl w:val="921A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52D09"/>
    <w:multiLevelType w:val="hybridMultilevel"/>
    <w:tmpl w:val="83885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145732"/>
    <w:multiLevelType w:val="hybridMultilevel"/>
    <w:tmpl w:val="BE28BD58"/>
    <w:lvl w:ilvl="0" w:tplc="042686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597533DA"/>
    <w:multiLevelType w:val="hybridMultilevel"/>
    <w:tmpl w:val="FB9E77B0"/>
    <w:lvl w:ilvl="0" w:tplc="01E04D42">
      <w:start w:val="1"/>
      <w:numFmt w:val="decimal"/>
      <w:lvlText w:val="%1"/>
      <w:lvlJc w:val="left"/>
      <w:pPr>
        <w:tabs>
          <w:tab w:val="num" w:pos="1080"/>
        </w:tabs>
        <w:ind w:left="108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E193B5D"/>
    <w:multiLevelType w:val="hybridMultilevel"/>
    <w:tmpl w:val="A4EA5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E576B0B"/>
    <w:multiLevelType w:val="hybridMultilevel"/>
    <w:tmpl w:val="5282A6D6"/>
    <w:lvl w:ilvl="0" w:tplc="347A84E8">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A824099"/>
    <w:multiLevelType w:val="hybridMultilevel"/>
    <w:tmpl w:val="DF567CD8"/>
    <w:lvl w:ilvl="0" w:tplc="01E04D42">
      <w:start w:val="1"/>
      <w:numFmt w:val="decimal"/>
      <w:lvlText w:val="%1"/>
      <w:lvlJc w:val="left"/>
      <w:pPr>
        <w:tabs>
          <w:tab w:val="num" w:pos="1080"/>
        </w:tabs>
        <w:ind w:left="108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FC409C2"/>
    <w:multiLevelType w:val="hybridMultilevel"/>
    <w:tmpl w:val="EC4CACB4"/>
    <w:lvl w:ilvl="0" w:tplc="01E04D42">
      <w:start w:val="1"/>
      <w:numFmt w:val="decimal"/>
      <w:lvlText w:val="%1"/>
      <w:lvlJc w:val="left"/>
      <w:pPr>
        <w:tabs>
          <w:tab w:val="num" w:pos="1080"/>
        </w:tabs>
        <w:ind w:left="108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8"/>
  </w:num>
  <w:num w:numId="2">
    <w:abstractNumId w:val="11"/>
  </w:num>
  <w:num w:numId="3">
    <w:abstractNumId w:val="12"/>
  </w:num>
  <w:num w:numId="4">
    <w:abstractNumId w:val="10"/>
  </w:num>
  <w:num w:numId="5">
    <w:abstractNumId w:val="3"/>
  </w:num>
  <w:num w:numId="6">
    <w:abstractNumId w:val="7"/>
  </w:num>
  <w:num w:numId="7">
    <w:abstractNumId w:val="2"/>
  </w:num>
  <w:num w:numId="8">
    <w:abstractNumId w:val="0"/>
  </w:num>
  <w:num w:numId="9">
    <w:abstractNumId w:val="1"/>
  </w:num>
  <w:num w:numId="10">
    <w:abstractNumId w:val="9"/>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2B"/>
    <w:rsid w:val="00003AE4"/>
    <w:rsid w:val="00012A90"/>
    <w:rsid w:val="00015A9C"/>
    <w:rsid w:val="00020854"/>
    <w:rsid w:val="00021C84"/>
    <w:rsid w:val="0002572B"/>
    <w:rsid w:val="00027139"/>
    <w:rsid w:val="000328C8"/>
    <w:rsid w:val="00063AF2"/>
    <w:rsid w:val="00081E9E"/>
    <w:rsid w:val="0009067E"/>
    <w:rsid w:val="00090BF7"/>
    <w:rsid w:val="00095BA5"/>
    <w:rsid w:val="000B41F1"/>
    <w:rsid w:val="000D52F3"/>
    <w:rsid w:val="000E4CF2"/>
    <w:rsid w:val="000E6864"/>
    <w:rsid w:val="000F5748"/>
    <w:rsid w:val="000F7E31"/>
    <w:rsid w:val="00103089"/>
    <w:rsid w:val="00106260"/>
    <w:rsid w:val="00110FC0"/>
    <w:rsid w:val="001168E6"/>
    <w:rsid w:val="001267B3"/>
    <w:rsid w:val="00144984"/>
    <w:rsid w:val="001449C6"/>
    <w:rsid w:val="00174A59"/>
    <w:rsid w:val="0019182B"/>
    <w:rsid w:val="001955AE"/>
    <w:rsid w:val="0019751F"/>
    <w:rsid w:val="001A4183"/>
    <w:rsid w:val="001A5C1B"/>
    <w:rsid w:val="001A7856"/>
    <w:rsid w:val="001B251D"/>
    <w:rsid w:val="001B275B"/>
    <w:rsid w:val="001C704B"/>
    <w:rsid w:val="001D6A27"/>
    <w:rsid w:val="001D6F55"/>
    <w:rsid w:val="001E77F4"/>
    <w:rsid w:val="001F3822"/>
    <w:rsid w:val="0020111E"/>
    <w:rsid w:val="00206F6D"/>
    <w:rsid w:val="00212423"/>
    <w:rsid w:val="00231F3D"/>
    <w:rsid w:val="00236585"/>
    <w:rsid w:val="0023727D"/>
    <w:rsid w:val="00240E3F"/>
    <w:rsid w:val="00246E0C"/>
    <w:rsid w:val="00247E7A"/>
    <w:rsid w:val="00254164"/>
    <w:rsid w:val="002615E3"/>
    <w:rsid w:val="002620DE"/>
    <w:rsid w:val="00264F68"/>
    <w:rsid w:val="002661D3"/>
    <w:rsid w:val="00271938"/>
    <w:rsid w:val="00276E8D"/>
    <w:rsid w:val="002B2389"/>
    <w:rsid w:val="002B33D0"/>
    <w:rsid w:val="002B495F"/>
    <w:rsid w:val="002B566F"/>
    <w:rsid w:val="002B77C6"/>
    <w:rsid w:val="002D07EA"/>
    <w:rsid w:val="002D796F"/>
    <w:rsid w:val="002E463C"/>
    <w:rsid w:val="002F1F60"/>
    <w:rsid w:val="002F36E3"/>
    <w:rsid w:val="002F5E06"/>
    <w:rsid w:val="00301FE9"/>
    <w:rsid w:val="0032588A"/>
    <w:rsid w:val="003304E1"/>
    <w:rsid w:val="0034027A"/>
    <w:rsid w:val="00347A85"/>
    <w:rsid w:val="003547E4"/>
    <w:rsid w:val="0035756B"/>
    <w:rsid w:val="00357D95"/>
    <w:rsid w:val="00360EFB"/>
    <w:rsid w:val="00361A73"/>
    <w:rsid w:val="00365326"/>
    <w:rsid w:val="003778E2"/>
    <w:rsid w:val="0038117C"/>
    <w:rsid w:val="00391A74"/>
    <w:rsid w:val="003A5901"/>
    <w:rsid w:val="003B629D"/>
    <w:rsid w:val="003C1E9B"/>
    <w:rsid w:val="003D6C5F"/>
    <w:rsid w:val="003D7176"/>
    <w:rsid w:val="003D763E"/>
    <w:rsid w:val="003E4F88"/>
    <w:rsid w:val="003E64F5"/>
    <w:rsid w:val="003F4874"/>
    <w:rsid w:val="00401F0F"/>
    <w:rsid w:val="00403F00"/>
    <w:rsid w:val="0041060A"/>
    <w:rsid w:val="00415D57"/>
    <w:rsid w:val="00422531"/>
    <w:rsid w:val="004270D5"/>
    <w:rsid w:val="00440DE3"/>
    <w:rsid w:val="004432F8"/>
    <w:rsid w:val="0044674C"/>
    <w:rsid w:val="00451EC8"/>
    <w:rsid w:val="0045473C"/>
    <w:rsid w:val="0045509E"/>
    <w:rsid w:val="00470E22"/>
    <w:rsid w:val="00474423"/>
    <w:rsid w:val="00475A48"/>
    <w:rsid w:val="004A0410"/>
    <w:rsid w:val="004A2DC2"/>
    <w:rsid w:val="004A488D"/>
    <w:rsid w:val="004B454E"/>
    <w:rsid w:val="004C2192"/>
    <w:rsid w:val="004C4138"/>
    <w:rsid w:val="004D0EB1"/>
    <w:rsid w:val="004E76A4"/>
    <w:rsid w:val="004F217D"/>
    <w:rsid w:val="00502ECF"/>
    <w:rsid w:val="005110BE"/>
    <w:rsid w:val="0051546C"/>
    <w:rsid w:val="00520086"/>
    <w:rsid w:val="0052129F"/>
    <w:rsid w:val="00525744"/>
    <w:rsid w:val="0054400C"/>
    <w:rsid w:val="005467E0"/>
    <w:rsid w:val="00553699"/>
    <w:rsid w:val="005559EE"/>
    <w:rsid w:val="00556C73"/>
    <w:rsid w:val="00564C14"/>
    <w:rsid w:val="00567094"/>
    <w:rsid w:val="00567B01"/>
    <w:rsid w:val="005724D1"/>
    <w:rsid w:val="00572875"/>
    <w:rsid w:val="005775A9"/>
    <w:rsid w:val="0058044A"/>
    <w:rsid w:val="00587D42"/>
    <w:rsid w:val="005A45D5"/>
    <w:rsid w:val="005A4AA8"/>
    <w:rsid w:val="005A55BF"/>
    <w:rsid w:val="005B3BC0"/>
    <w:rsid w:val="005B4918"/>
    <w:rsid w:val="005C38D4"/>
    <w:rsid w:val="005C46FA"/>
    <w:rsid w:val="005D179F"/>
    <w:rsid w:val="005D7AC6"/>
    <w:rsid w:val="005E1F6B"/>
    <w:rsid w:val="005E203B"/>
    <w:rsid w:val="005E68C0"/>
    <w:rsid w:val="005F13D5"/>
    <w:rsid w:val="00605C44"/>
    <w:rsid w:val="00613A75"/>
    <w:rsid w:val="006200D4"/>
    <w:rsid w:val="00621085"/>
    <w:rsid w:val="00630E06"/>
    <w:rsid w:val="00646E43"/>
    <w:rsid w:val="006551EF"/>
    <w:rsid w:val="006619A0"/>
    <w:rsid w:val="00666786"/>
    <w:rsid w:val="006700DC"/>
    <w:rsid w:val="00681150"/>
    <w:rsid w:val="006866D9"/>
    <w:rsid w:val="0069477D"/>
    <w:rsid w:val="006A5EFA"/>
    <w:rsid w:val="006B21F4"/>
    <w:rsid w:val="006B3778"/>
    <w:rsid w:val="006B6270"/>
    <w:rsid w:val="006C28B5"/>
    <w:rsid w:val="006C2F7E"/>
    <w:rsid w:val="006D05D3"/>
    <w:rsid w:val="006D4B73"/>
    <w:rsid w:val="006D60BC"/>
    <w:rsid w:val="006E0F2A"/>
    <w:rsid w:val="006F0C8B"/>
    <w:rsid w:val="006F1E1D"/>
    <w:rsid w:val="006F4FC9"/>
    <w:rsid w:val="006F7D35"/>
    <w:rsid w:val="0070440E"/>
    <w:rsid w:val="00704FBF"/>
    <w:rsid w:val="00705368"/>
    <w:rsid w:val="00712EC1"/>
    <w:rsid w:val="00714603"/>
    <w:rsid w:val="007164DD"/>
    <w:rsid w:val="007231A3"/>
    <w:rsid w:val="00723DB7"/>
    <w:rsid w:val="007260C6"/>
    <w:rsid w:val="00735326"/>
    <w:rsid w:val="00735531"/>
    <w:rsid w:val="00736A6D"/>
    <w:rsid w:val="00744AF5"/>
    <w:rsid w:val="0074686E"/>
    <w:rsid w:val="00771172"/>
    <w:rsid w:val="00774D5F"/>
    <w:rsid w:val="00792857"/>
    <w:rsid w:val="00797638"/>
    <w:rsid w:val="007A421A"/>
    <w:rsid w:val="007B4393"/>
    <w:rsid w:val="007B6608"/>
    <w:rsid w:val="007C30BC"/>
    <w:rsid w:val="007D6963"/>
    <w:rsid w:val="007E2B0F"/>
    <w:rsid w:val="007E7D78"/>
    <w:rsid w:val="007F5A69"/>
    <w:rsid w:val="00801AF8"/>
    <w:rsid w:val="008026A5"/>
    <w:rsid w:val="0080382F"/>
    <w:rsid w:val="00804B90"/>
    <w:rsid w:val="008057A3"/>
    <w:rsid w:val="00806044"/>
    <w:rsid w:val="00807D21"/>
    <w:rsid w:val="00807F07"/>
    <w:rsid w:val="00845E35"/>
    <w:rsid w:val="00847E72"/>
    <w:rsid w:val="00854646"/>
    <w:rsid w:val="00854772"/>
    <w:rsid w:val="008547FF"/>
    <w:rsid w:val="00860C8A"/>
    <w:rsid w:val="00860D0F"/>
    <w:rsid w:val="00863A2A"/>
    <w:rsid w:val="00874B9D"/>
    <w:rsid w:val="0087628B"/>
    <w:rsid w:val="00877B2D"/>
    <w:rsid w:val="00885462"/>
    <w:rsid w:val="00891D32"/>
    <w:rsid w:val="008A0CEC"/>
    <w:rsid w:val="008A30A3"/>
    <w:rsid w:val="008A7368"/>
    <w:rsid w:val="008C069F"/>
    <w:rsid w:val="008C15D4"/>
    <w:rsid w:val="008D2C21"/>
    <w:rsid w:val="008E33D0"/>
    <w:rsid w:val="008E5208"/>
    <w:rsid w:val="009058EB"/>
    <w:rsid w:val="00916384"/>
    <w:rsid w:val="009168E2"/>
    <w:rsid w:val="009223D7"/>
    <w:rsid w:val="00925EB2"/>
    <w:rsid w:val="0092666E"/>
    <w:rsid w:val="00931307"/>
    <w:rsid w:val="00933A89"/>
    <w:rsid w:val="00933D69"/>
    <w:rsid w:val="0093723F"/>
    <w:rsid w:val="00940140"/>
    <w:rsid w:val="009433B8"/>
    <w:rsid w:val="009455FC"/>
    <w:rsid w:val="009465CB"/>
    <w:rsid w:val="00947F53"/>
    <w:rsid w:val="00950945"/>
    <w:rsid w:val="0095370D"/>
    <w:rsid w:val="009574B2"/>
    <w:rsid w:val="00960168"/>
    <w:rsid w:val="00962E3B"/>
    <w:rsid w:val="00963D57"/>
    <w:rsid w:val="00970226"/>
    <w:rsid w:val="00972878"/>
    <w:rsid w:val="009962B1"/>
    <w:rsid w:val="009A1599"/>
    <w:rsid w:val="009A5D41"/>
    <w:rsid w:val="009B39D2"/>
    <w:rsid w:val="009B40A5"/>
    <w:rsid w:val="009D53C4"/>
    <w:rsid w:val="009E4385"/>
    <w:rsid w:val="009E6CBE"/>
    <w:rsid w:val="00A03782"/>
    <w:rsid w:val="00A12DC7"/>
    <w:rsid w:val="00A138C6"/>
    <w:rsid w:val="00A145DD"/>
    <w:rsid w:val="00A160C5"/>
    <w:rsid w:val="00A16780"/>
    <w:rsid w:val="00A252B7"/>
    <w:rsid w:val="00A4468B"/>
    <w:rsid w:val="00A4723F"/>
    <w:rsid w:val="00A53AE6"/>
    <w:rsid w:val="00A548B2"/>
    <w:rsid w:val="00A92006"/>
    <w:rsid w:val="00A97A86"/>
    <w:rsid w:val="00AB3985"/>
    <w:rsid w:val="00AB6067"/>
    <w:rsid w:val="00AC5078"/>
    <w:rsid w:val="00AC58F1"/>
    <w:rsid w:val="00AC5FD0"/>
    <w:rsid w:val="00AD2980"/>
    <w:rsid w:val="00AD2E74"/>
    <w:rsid w:val="00AD4B74"/>
    <w:rsid w:val="00AE05E4"/>
    <w:rsid w:val="00AF0BB4"/>
    <w:rsid w:val="00AF5DD3"/>
    <w:rsid w:val="00B0329C"/>
    <w:rsid w:val="00B104F0"/>
    <w:rsid w:val="00B132D3"/>
    <w:rsid w:val="00B56243"/>
    <w:rsid w:val="00B7034A"/>
    <w:rsid w:val="00B76924"/>
    <w:rsid w:val="00B77A07"/>
    <w:rsid w:val="00B846DB"/>
    <w:rsid w:val="00B96EA2"/>
    <w:rsid w:val="00BA62CF"/>
    <w:rsid w:val="00BB0CF5"/>
    <w:rsid w:val="00BB38D9"/>
    <w:rsid w:val="00BB6001"/>
    <w:rsid w:val="00BB6CB9"/>
    <w:rsid w:val="00BC20B1"/>
    <w:rsid w:val="00BD692B"/>
    <w:rsid w:val="00BD77CA"/>
    <w:rsid w:val="00BE122B"/>
    <w:rsid w:val="00BE1ED4"/>
    <w:rsid w:val="00BE3C1E"/>
    <w:rsid w:val="00BE7337"/>
    <w:rsid w:val="00BF145F"/>
    <w:rsid w:val="00BF1857"/>
    <w:rsid w:val="00BF1867"/>
    <w:rsid w:val="00C021E8"/>
    <w:rsid w:val="00C27AA4"/>
    <w:rsid w:val="00C31580"/>
    <w:rsid w:val="00C31974"/>
    <w:rsid w:val="00C47792"/>
    <w:rsid w:val="00C7293C"/>
    <w:rsid w:val="00C851CE"/>
    <w:rsid w:val="00CA0574"/>
    <w:rsid w:val="00CA662D"/>
    <w:rsid w:val="00CB767F"/>
    <w:rsid w:val="00CD026F"/>
    <w:rsid w:val="00CE0DC6"/>
    <w:rsid w:val="00CE35BB"/>
    <w:rsid w:val="00CF0375"/>
    <w:rsid w:val="00CF08E1"/>
    <w:rsid w:val="00D06640"/>
    <w:rsid w:val="00D06FCD"/>
    <w:rsid w:val="00D10961"/>
    <w:rsid w:val="00D34538"/>
    <w:rsid w:val="00D34B00"/>
    <w:rsid w:val="00D444E6"/>
    <w:rsid w:val="00D5394B"/>
    <w:rsid w:val="00D569F1"/>
    <w:rsid w:val="00D57830"/>
    <w:rsid w:val="00D657F4"/>
    <w:rsid w:val="00D7005F"/>
    <w:rsid w:val="00D70FEA"/>
    <w:rsid w:val="00D723A9"/>
    <w:rsid w:val="00D72B50"/>
    <w:rsid w:val="00D74E89"/>
    <w:rsid w:val="00D75B60"/>
    <w:rsid w:val="00D76E20"/>
    <w:rsid w:val="00D86025"/>
    <w:rsid w:val="00D908F1"/>
    <w:rsid w:val="00D91333"/>
    <w:rsid w:val="00DA03FA"/>
    <w:rsid w:val="00DA6026"/>
    <w:rsid w:val="00DA73CC"/>
    <w:rsid w:val="00DB2E56"/>
    <w:rsid w:val="00DD704B"/>
    <w:rsid w:val="00DE1AB8"/>
    <w:rsid w:val="00DE4337"/>
    <w:rsid w:val="00DE591C"/>
    <w:rsid w:val="00DE6DB2"/>
    <w:rsid w:val="00DF21E5"/>
    <w:rsid w:val="00DF2607"/>
    <w:rsid w:val="00DF2F46"/>
    <w:rsid w:val="00E064DD"/>
    <w:rsid w:val="00E11A01"/>
    <w:rsid w:val="00E31AF1"/>
    <w:rsid w:val="00E51479"/>
    <w:rsid w:val="00E643A8"/>
    <w:rsid w:val="00E70128"/>
    <w:rsid w:val="00E74CF9"/>
    <w:rsid w:val="00E76E62"/>
    <w:rsid w:val="00E85B84"/>
    <w:rsid w:val="00E91F7A"/>
    <w:rsid w:val="00EA04D3"/>
    <w:rsid w:val="00EB2527"/>
    <w:rsid w:val="00EB5F55"/>
    <w:rsid w:val="00EC34CD"/>
    <w:rsid w:val="00ED629D"/>
    <w:rsid w:val="00EF152D"/>
    <w:rsid w:val="00EF698D"/>
    <w:rsid w:val="00F06709"/>
    <w:rsid w:val="00F1342D"/>
    <w:rsid w:val="00F161EC"/>
    <w:rsid w:val="00F30920"/>
    <w:rsid w:val="00F353B7"/>
    <w:rsid w:val="00F40BFD"/>
    <w:rsid w:val="00F46E31"/>
    <w:rsid w:val="00F47FF6"/>
    <w:rsid w:val="00F515B4"/>
    <w:rsid w:val="00F54F39"/>
    <w:rsid w:val="00F604EE"/>
    <w:rsid w:val="00F61E27"/>
    <w:rsid w:val="00F7011A"/>
    <w:rsid w:val="00F7433A"/>
    <w:rsid w:val="00F75517"/>
    <w:rsid w:val="00F81AB8"/>
    <w:rsid w:val="00F869A6"/>
    <w:rsid w:val="00F86CA2"/>
    <w:rsid w:val="00F90C96"/>
    <w:rsid w:val="00F94A69"/>
    <w:rsid w:val="00FA35AE"/>
    <w:rsid w:val="00FA4CF4"/>
    <w:rsid w:val="00FB11EF"/>
    <w:rsid w:val="00FB4447"/>
    <w:rsid w:val="00FB61C4"/>
    <w:rsid w:val="00FD19AA"/>
    <w:rsid w:val="00FD25F4"/>
    <w:rsid w:val="00FD77B2"/>
    <w:rsid w:val="00FE14C3"/>
    <w:rsid w:val="00FF15E7"/>
    <w:rsid w:val="00FF3F77"/>
    <w:rsid w:val="00FF7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2D5C625C"/>
  <w14:defaultImageDpi w14:val="0"/>
  <w15:docId w15:val="{58E07EF0-4E27-4F83-B5FD-064B16BA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semiHidden="1" w:uiPriority="99" w:unhideWhenUsed="1"/>
    <w:lsdException w:name="footer" w:semiHidden="1" w:uiPriority="99" w:unhideWhenUsed="1"/>
    <w:lsdException w:name="caption" w:semiHidden="1" w:unhideWhenUsed="1" w:qFormat="1"/>
    <w:lsdException w:name="footnote reference" w:semiHidden="1" w:uiPriority="99" w:unhideWhenUsed="1"/>
    <w:lsdException w:name="macro" w:semiHidden="1" w:unhideWhenUsed="1"/>
    <w:lsdException w:name="List Bullet" w:semiHidden="1" w:unhideWhenUsed="1"/>
    <w:lsdException w:name="Titl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270"/>
    <w:rPr>
      <w:sz w:val="24"/>
      <w:szCs w:val="24"/>
      <w:lang w:eastAsia="en-US"/>
    </w:rPr>
  </w:style>
  <w:style w:type="paragraph" w:styleId="Heading1">
    <w:name w:val="heading 1"/>
    <w:basedOn w:val="Normal"/>
    <w:next w:val="Normal"/>
    <w:link w:val="Heading1Char"/>
    <w:uiPriority w:val="9"/>
    <w:qFormat/>
    <w:rsid w:val="006B6270"/>
    <w:pPr>
      <w:keepNext/>
      <w:spacing w:before="60" w:after="60"/>
      <w:ind w:left="720" w:hanging="720"/>
      <w:outlineLvl w:val="0"/>
    </w:pPr>
    <w:rPr>
      <w:rFonts w:ascii="Arial" w:hAnsi="Arial" w:cs="Arial"/>
      <w:b/>
      <w:bCs/>
    </w:rPr>
  </w:style>
  <w:style w:type="paragraph" w:styleId="Heading2">
    <w:name w:val="heading 2"/>
    <w:basedOn w:val="Normal"/>
    <w:next w:val="Normal"/>
    <w:link w:val="Heading2Char"/>
    <w:uiPriority w:val="9"/>
    <w:qFormat/>
    <w:rsid w:val="006B6270"/>
    <w:pPr>
      <w:keepNext/>
      <w:jc w:val="center"/>
      <w:outlineLvl w:val="1"/>
    </w:pPr>
    <w:rPr>
      <w:b/>
      <w:bCs/>
    </w:rPr>
  </w:style>
  <w:style w:type="paragraph" w:styleId="Heading3">
    <w:name w:val="heading 3"/>
    <w:basedOn w:val="Normal"/>
    <w:next w:val="Normal"/>
    <w:link w:val="Heading3Char"/>
    <w:uiPriority w:val="9"/>
    <w:qFormat/>
    <w:rsid w:val="006B6270"/>
    <w:pPr>
      <w:keepNext/>
      <w:outlineLvl w:val="2"/>
    </w:pPr>
    <w:rPr>
      <w:rFonts w:ascii="Arial" w:hAnsi="Arial" w:cs="Arial"/>
      <w:b/>
      <w:bCs/>
      <w:sz w:val="28"/>
      <w:szCs w:val="28"/>
    </w:rPr>
  </w:style>
  <w:style w:type="paragraph" w:styleId="Heading4">
    <w:name w:val="heading 4"/>
    <w:basedOn w:val="Normal"/>
    <w:next w:val="Normal"/>
    <w:link w:val="Heading4Char"/>
    <w:uiPriority w:val="9"/>
    <w:qFormat/>
    <w:rsid w:val="006B6270"/>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6270"/>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locked/>
    <w:rsid w:val="006B6270"/>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6B6270"/>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sid w:val="006B6270"/>
    <w:rPr>
      <w:rFonts w:ascii="Calibri" w:hAnsi="Calibri" w:cs="Times New Roman"/>
      <w:b/>
      <w:bCs/>
      <w:sz w:val="28"/>
      <w:szCs w:val="28"/>
      <w:lang w:val="x-none" w:eastAsia="en-US"/>
    </w:rPr>
  </w:style>
  <w:style w:type="paragraph" w:customStyle="1" w:styleId="Billname">
    <w:name w:val="Billname"/>
    <w:basedOn w:val="Normal"/>
    <w:rsid w:val="006B6270"/>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rsid w:val="006B6270"/>
    <w:pPr>
      <w:pBdr>
        <w:bottom w:val="single" w:sz="12" w:space="1" w:color="auto"/>
      </w:pBdr>
      <w:jc w:val="both"/>
    </w:pPr>
  </w:style>
  <w:style w:type="paragraph" w:customStyle="1" w:styleId="madeunder">
    <w:name w:val="made under"/>
    <w:basedOn w:val="Normal"/>
    <w:rsid w:val="006B6270"/>
    <w:pPr>
      <w:spacing w:before="180" w:after="60"/>
      <w:jc w:val="both"/>
    </w:pPr>
  </w:style>
  <w:style w:type="paragraph" w:customStyle="1" w:styleId="CoverActName">
    <w:name w:val="CoverActName"/>
    <w:basedOn w:val="Normal"/>
    <w:rsid w:val="006B6270"/>
    <w:pPr>
      <w:tabs>
        <w:tab w:val="left" w:pos="2600"/>
      </w:tabs>
      <w:spacing w:before="200" w:after="60"/>
      <w:jc w:val="both"/>
    </w:pPr>
    <w:rPr>
      <w:rFonts w:ascii="Arial" w:hAnsi="Arial" w:cs="Arial"/>
      <w:b/>
      <w:bCs/>
    </w:rPr>
  </w:style>
  <w:style w:type="paragraph" w:styleId="BodyTextIndent">
    <w:name w:val="Body Text Indent"/>
    <w:basedOn w:val="Normal"/>
    <w:link w:val="BodyTextIndentChar"/>
    <w:uiPriority w:val="99"/>
    <w:rsid w:val="006B6270"/>
    <w:pPr>
      <w:ind w:left="567"/>
    </w:pPr>
    <w:rPr>
      <w:rFonts w:ascii="CG Times (WN)" w:hAnsi="CG Times (WN)"/>
      <w:lang w:val="en-GB"/>
    </w:rPr>
  </w:style>
  <w:style w:type="character" w:customStyle="1" w:styleId="BodyTextIndentChar">
    <w:name w:val="Body Text Indent Char"/>
    <w:basedOn w:val="DefaultParagraphFont"/>
    <w:link w:val="BodyTextIndent"/>
    <w:uiPriority w:val="99"/>
    <w:semiHidden/>
    <w:locked/>
    <w:rsid w:val="006B6270"/>
    <w:rPr>
      <w:rFonts w:cs="Times New Roman"/>
      <w:sz w:val="24"/>
      <w:szCs w:val="24"/>
      <w:lang w:val="x-none" w:eastAsia="en-US"/>
    </w:rPr>
  </w:style>
  <w:style w:type="paragraph" w:customStyle="1" w:styleId="Amain">
    <w:name w:val="A main"/>
    <w:basedOn w:val="Normal"/>
    <w:rsid w:val="006B6270"/>
    <w:pPr>
      <w:tabs>
        <w:tab w:val="right" w:pos="500"/>
        <w:tab w:val="left" w:pos="700"/>
      </w:tabs>
      <w:spacing w:before="80" w:after="60"/>
      <w:ind w:left="700" w:hanging="700"/>
      <w:jc w:val="both"/>
      <w:outlineLvl w:val="5"/>
    </w:pPr>
  </w:style>
  <w:style w:type="paragraph" w:styleId="Header">
    <w:name w:val="header"/>
    <w:basedOn w:val="Normal"/>
    <w:link w:val="HeaderChar"/>
    <w:uiPriority w:val="99"/>
    <w:rsid w:val="006B6270"/>
    <w:pPr>
      <w:tabs>
        <w:tab w:val="center" w:pos="4153"/>
        <w:tab w:val="right" w:pos="8306"/>
      </w:tabs>
    </w:pPr>
  </w:style>
  <w:style w:type="character" w:customStyle="1" w:styleId="HeaderChar">
    <w:name w:val="Header Char"/>
    <w:basedOn w:val="DefaultParagraphFont"/>
    <w:link w:val="Header"/>
    <w:uiPriority w:val="99"/>
    <w:locked/>
    <w:rsid w:val="006B6270"/>
    <w:rPr>
      <w:rFonts w:cs="Times New Roman"/>
      <w:sz w:val="24"/>
      <w:szCs w:val="24"/>
      <w:lang w:val="x-none" w:eastAsia="en-US"/>
    </w:rPr>
  </w:style>
  <w:style w:type="paragraph" w:styleId="Footer">
    <w:name w:val="footer"/>
    <w:basedOn w:val="Normal"/>
    <w:link w:val="FooterChar"/>
    <w:uiPriority w:val="99"/>
    <w:rsid w:val="006B6270"/>
    <w:pPr>
      <w:tabs>
        <w:tab w:val="center" w:pos="4153"/>
        <w:tab w:val="right" w:pos="8306"/>
      </w:tabs>
    </w:pPr>
  </w:style>
  <w:style w:type="character" w:customStyle="1" w:styleId="FooterChar">
    <w:name w:val="Footer Char"/>
    <w:basedOn w:val="DefaultParagraphFont"/>
    <w:link w:val="Footer"/>
    <w:uiPriority w:val="99"/>
    <w:locked/>
    <w:rsid w:val="006B6270"/>
    <w:rPr>
      <w:rFonts w:cs="Times New Roman"/>
      <w:sz w:val="24"/>
      <w:szCs w:val="24"/>
      <w:lang w:val="x-none" w:eastAsia="en-US"/>
    </w:rPr>
  </w:style>
  <w:style w:type="character" w:styleId="PageNumber">
    <w:name w:val="page number"/>
    <w:basedOn w:val="DefaultParagraphFont"/>
    <w:uiPriority w:val="99"/>
    <w:rsid w:val="006B6270"/>
    <w:rPr>
      <w:rFonts w:cs="Times New Roman"/>
    </w:rPr>
  </w:style>
  <w:style w:type="paragraph" w:styleId="BalloonText">
    <w:name w:val="Balloon Text"/>
    <w:basedOn w:val="Normal"/>
    <w:link w:val="BalloonTextChar"/>
    <w:uiPriority w:val="99"/>
    <w:semiHidden/>
    <w:rsid w:val="00DB2E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6270"/>
    <w:rPr>
      <w:rFonts w:ascii="Tahoma" w:hAnsi="Tahoma" w:cs="Tahoma"/>
      <w:sz w:val="16"/>
      <w:szCs w:val="16"/>
      <w:lang w:val="x-none" w:eastAsia="en-US"/>
    </w:rPr>
  </w:style>
  <w:style w:type="paragraph" w:styleId="FootnoteText">
    <w:name w:val="footnote text"/>
    <w:basedOn w:val="Normal"/>
    <w:link w:val="FootnoteTextChar"/>
    <w:uiPriority w:val="99"/>
    <w:rsid w:val="003D6C5F"/>
    <w:rPr>
      <w:sz w:val="20"/>
      <w:szCs w:val="20"/>
    </w:rPr>
  </w:style>
  <w:style w:type="character" w:customStyle="1" w:styleId="FootnoteTextChar">
    <w:name w:val="Footnote Text Char"/>
    <w:basedOn w:val="DefaultParagraphFont"/>
    <w:link w:val="FootnoteText"/>
    <w:uiPriority w:val="99"/>
    <w:locked/>
    <w:rsid w:val="003D6C5F"/>
    <w:rPr>
      <w:rFonts w:cs="Times New Roman"/>
      <w:lang w:val="x-none" w:eastAsia="en-US"/>
    </w:rPr>
  </w:style>
  <w:style w:type="character" w:styleId="FootnoteReference">
    <w:name w:val="footnote reference"/>
    <w:basedOn w:val="DefaultParagraphFont"/>
    <w:uiPriority w:val="99"/>
    <w:rsid w:val="003D6C5F"/>
    <w:rPr>
      <w:rFonts w:cs="Times New Roman"/>
      <w:vertAlign w:val="superscript"/>
    </w:rPr>
  </w:style>
  <w:style w:type="paragraph" w:styleId="ListParagraph">
    <w:name w:val="List Paragraph"/>
    <w:basedOn w:val="Normal"/>
    <w:uiPriority w:val="34"/>
    <w:qFormat/>
    <w:rsid w:val="00FE14C3"/>
    <w:pPr>
      <w:ind w:left="720"/>
    </w:pPr>
  </w:style>
  <w:style w:type="paragraph" w:customStyle="1" w:styleId="LongTitle">
    <w:name w:val="LongTitle"/>
    <w:basedOn w:val="Normal"/>
    <w:uiPriority w:val="99"/>
    <w:rsid w:val="00947F53"/>
    <w:pPr>
      <w:spacing w:before="240" w:after="60"/>
      <w:jc w:val="both"/>
    </w:pPr>
    <w:rPr>
      <w:rFonts w:eastAsiaTheme="minorEastAsia"/>
    </w:rPr>
  </w:style>
  <w:style w:type="character" w:styleId="CommentReference">
    <w:name w:val="annotation reference"/>
    <w:basedOn w:val="DefaultParagraphFont"/>
    <w:rsid w:val="009A5D41"/>
    <w:rPr>
      <w:sz w:val="16"/>
      <w:szCs w:val="16"/>
    </w:rPr>
  </w:style>
  <w:style w:type="paragraph" w:styleId="CommentText">
    <w:name w:val="annotation text"/>
    <w:basedOn w:val="Normal"/>
    <w:link w:val="CommentTextChar"/>
    <w:rsid w:val="009A5D41"/>
    <w:rPr>
      <w:sz w:val="20"/>
      <w:szCs w:val="20"/>
    </w:rPr>
  </w:style>
  <w:style w:type="character" w:customStyle="1" w:styleId="CommentTextChar">
    <w:name w:val="Comment Text Char"/>
    <w:basedOn w:val="DefaultParagraphFont"/>
    <w:link w:val="CommentText"/>
    <w:rsid w:val="009A5D41"/>
    <w:rPr>
      <w:lang w:eastAsia="en-US"/>
    </w:rPr>
  </w:style>
  <w:style w:type="paragraph" w:styleId="CommentSubject">
    <w:name w:val="annotation subject"/>
    <w:basedOn w:val="CommentText"/>
    <w:next w:val="CommentText"/>
    <w:link w:val="CommentSubjectChar"/>
    <w:rsid w:val="009A5D41"/>
    <w:rPr>
      <w:b/>
      <w:bCs/>
    </w:rPr>
  </w:style>
  <w:style w:type="character" w:customStyle="1" w:styleId="CommentSubjectChar">
    <w:name w:val="Comment Subject Char"/>
    <w:basedOn w:val="CommentTextChar"/>
    <w:link w:val="CommentSubject"/>
    <w:rsid w:val="009A5D41"/>
    <w:rPr>
      <w:b/>
      <w:bCs/>
      <w:lang w:eastAsia="en-US"/>
    </w:rPr>
  </w:style>
  <w:style w:type="table" w:styleId="TableGrid">
    <w:name w:val="Table Grid"/>
    <w:basedOn w:val="TableNormal"/>
    <w:rsid w:val="00AD2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47792"/>
    <w:rPr>
      <w:color w:val="0000FF" w:themeColor="hyperlink"/>
      <w:u w:val="single"/>
    </w:rPr>
  </w:style>
  <w:style w:type="character" w:styleId="UnresolvedMention">
    <w:name w:val="Unresolved Mention"/>
    <w:basedOn w:val="DefaultParagraphFont"/>
    <w:uiPriority w:val="99"/>
    <w:semiHidden/>
    <w:unhideWhenUsed/>
    <w:rsid w:val="00C47792"/>
    <w:rPr>
      <w:color w:val="605E5C"/>
      <w:shd w:val="clear" w:color="auto" w:fill="E1DFDD"/>
    </w:rPr>
  </w:style>
  <w:style w:type="paragraph" w:styleId="NormalWeb">
    <w:name w:val="Normal (Web)"/>
    <w:basedOn w:val="Normal"/>
    <w:uiPriority w:val="99"/>
    <w:unhideWhenUsed/>
    <w:rsid w:val="00C47792"/>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107170">
      <w:bodyDiv w:val="1"/>
      <w:marLeft w:val="0"/>
      <w:marRight w:val="0"/>
      <w:marTop w:val="0"/>
      <w:marBottom w:val="0"/>
      <w:divBdr>
        <w:top w:val="none" w:sz="0" w:space="0" w:color="auto"/>
        <w:left w:val="none" w:sz="0" w:space="0" w:color="auto"/>
        <w:bottom w:val="none" w:sz="0" w:space="0" w:color="auto"/>
        <w:right w:val="none" w:sz="0" w:space="0" w:color="auto"/>
      </w:divBdr>
    </w:div>
    <w:div w:id="963342580">
      <w:bodyDiv w:val="1"/>
      <w:marLeft w:val="0"/>
      <w:marRight w:val="0"/>
      <w:marTop w:val="0"/>
      <w:marBottom w:val="0"/>
      <w:divBdr>
        <w:top w:val="none" w:sz="0" w:space="0" w:color="auto"/>
        <w:left w:val="none" w:sz="0" w:space="0" w:color="auto"/>
        <w:bottom w:val="none" w:sz="0" w:space="0" w:color="auto"/>
        <w:right w:val="none" w:sz="0" w:space="0" w:color="auto"/>
      </w:divBdr>
    </w:div>
    <w:div w:id="1006861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vid19.act.gov.au/economic-support/economic-survival-package/supporting-local-businesses-and-the-economy" TargetMode="Externa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637</Words>
  <Characters>3519</Characters>
  <Application>Microsoft Office Word</Application>
  <DocSecurity>0</DocSecurity>
  <Lines>262</Lines>
  <Paragraphs>89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Moxon, KarenL</cp:lastModifiedBy>
  <cp:revision>4</cp:revision>
  <cp:lastPrinted>2017-05-18T06:31:00Z</cp:lastPrinted>
  <dcterms:created xsi:type="dcterms:W3CDTF">2020-05-27T23:11:00Z</dcterms:created>
  <dcterms:modified xsi:type="dcterms:W3CDTF">2020-05-27T23:11:00Z</dcterms:modified>
</cp:coreProperties>
</file>