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E9B3" w14:textId="77777777" w:rsidR="00CE35BB" w:rsidRDefault="00CE35BB">
      <w:pPr>
        <w:pStyle w:val="Header"/>
        <w:tabs>
          <w:tab w:val="clear" w:pos="4153"/>
          <w:tab w:val="clear" w:pos="8306"/>
        </w:tabs>
      </w:pPr>
      <w:bookmarkStart w:id="0" w:name="_GoBack"/>
      <w:bookmarkEnd w:id="0"/>
    </w:p>
    <w:p w14:paraId="01CD4EA6" w14:textId="77777777" w:rsidR="00CE35BB" w:rsidRDefault="00CE35BB"/>
    <w:p w14:paraId="7B2F8060" w14:textId="77777777" w:rsidR="00440BD3" w:rsidRPr="00F36316" w:rsidRDefault="00440BD3" w:rsidP="00440BD3">
      <w:pPr>
        <w:rPr>
          <w:rFonts w:ascii="Arial" w:hAnsi="Arial" w:cs="Arial"/>
          <w:szCs w:val="20"/>
        </w:rPr>
      </w:pPr>
      <w:bookmarkStart w:id="1" w:name="_Toc44738651"/>
      <w:r w:rsidRPr="00F36316">
        <w:rPr>
          <w:rFonts w:ascii="Arial" w:hAnsi="Arial" w:cs="Arial"/>
          <w:szCs w:val="20"/>
        </w:rPr>
        <w:t xml:space="preserve">Australian Capital Territory </w:t>
      </w:r>
    </w:p>
    <w:p w14:paraId="685CE433" w14:textId="77777777" w:rsidR="00440BD3" w:rsidRDefault="00440BD3" w:rsidP="00440BD3">
      <w:pPr>
        <w:pStyle w:val="Billname"/>
        <w:spacing w:before="500"/>
      </w:pPr>
      <w:r>
        <w:t xml:space="preserve">Gaming Machine </w:t>
      </w:r>
      <w:r w:rsidRPr="00C114AA">
        <w:t>(</w:t>
      </w:r>
      <w:r>
        <w:t>Emergency Community Purpose Contribution</w:t>
      </w:r>
      <w:r w:rsidRPr="002415DD">
        <w:t>—</w:t>
      </w:r>
      <w:r>
        <w:t>Club Employees)</w:t>
      </w:r>
      <w:r w:rsidRPr="00C114AA">
        <w:t xml:space="preserve"> </w:t>
      </w:r>
      <w:r>
        <w:t>Declaration 2020</w:t>
      </w:r>
    </w:p>
    <w:p w14:paraId="2060D31E" w14:textId="040B995D" w:rsidR="00440BD3" w:rsidRDefault="00440BD3" w:rsidP="00440BD3">
      <w:pPr>
        <w:spacing w:before="240" w:after="60"/>
      </w:pPr>
      <w:r>
        <w:rPr>
          <w:rFonts w:ascii="Arial" w:hAnsi="Arial" w:cs="Arial"/>
          <w:b/>
          <w:bCs/>
        </w:rPr>
        <w:t>Disallowable</w:t>
      </w:r>
      <w:r w:rsidRPr="00F36316">
        <w:rPr>
          <w:rFonts w:ascii="Arial" w:hAnsi="Arial" w:cs="Arial"/>
          <w:b/>
          <w:bCs/>
        </w:rPr>
        <w:t xml:space="preserve"> </w:t>
      </w:r>
      <w:r>
        <w:rPr>
          <w:rFonts w:ascii="Arial" w:hAnsi="Arial" w:cs="Arial"/>
          <w:b/>
          <w:bCs/>
        </w:rPr>
        <w:t>I</w:t>
      </w:r>
      <w:r w:rsidRPr="00F36316">
        <w:rPr>
          <w:rFonts w:ascii="Arial" w:hAnsi="Arial" w:cs="Arial"/>
          <w:b/>
          <w:bCs/>
        </w:rPr>
        <w:t xml:space="preserve">nstrument </w:t>
      </w:r>
      <w:r>
        <w:rPr>
          <w:rFonts w:ascii="Arial" w:hAnsi="Arial" w:cs="Arial"/>
          <w:b/>
          <w:bCs/>
        </w:rPr>
        <w:t>D</w:t>
      </w:r>
      <w:r w:rsidRPr="00F36316">
        <w:rPr>
          <w:rFonts w:ascii="Arial" w:hAnsi="Arial" w:cs="Arial"/>
          <w:b/>
          <w:bCs/>
        </w:rPr>
        <w:t>I20</w:t>
      </w:r>
      <w:r>
        <w:rPr>
          <w:rFonts w:ascii="Arial" w:hAnsi="Arial" w:cs="Arial"/>
          <w:b/>
          <w:bCs/>
        </w:rPr>
        <w:t>20</w:t>
      </w:r>
      <w:r w:rsidRPr="00440BD3">
        <w:rPr>
          <w:b/>
          <w:bCs/>
        </w:rPr>
        <w:t>—</w:t>
      </w:r>
      <w:r w:rsidR="009B23A9" w:rsidRPr="009B23A9">
        <w:rPr>
          <w:rFonts w:ascii="Arial" w:hAnsi="Arial" w:cs="Arial"/>
          <w:b/>
          <w:bCs/>
        </w:rPr>
        <w:t>139</w:t>
      </w:r>
    </w:p>
    <w:p w14:paraId="207A8FAE" w14:textId="0482937D" w:rsidR="00440BD3" w:rsidRPr="001373FB" w:rsidRDefault="00440BD3" w:rsidP="00440BD3">
      <w:pPr>
        <w:spacing w:before="240" w:after="60"/>
      </w:pPr>
      <w:r w:rsidRPr="001373FB">
        <w:t xml:space="preserve">made under the  </w:t>
      </w:r>
    </w:p>
    <w:p w14:paraId="18E6D1D1" w14:textId="77777777" w:rsidR="00440BD3" w:rsidRDefault="00440BD3" w:rsidP="00440BD3">
      <w:pPr>
        <w:pStyle w:val="CoverActName"/>
        <w:spacing w:after="0"/>
        <w:rPr>
          <w:sz w:val="20"/>
          <w:szCs w:val="20"/>
        </w:rPr>
      </w:pPr>
      <w:r>
        <w:rPr>
          <w:iCs/>
          <w:sz w:val="20"/>
          <w:szCs w:val="20"/>
        </w:rPr>
        <w:t>Gaming Machine Act 2004</w:t>
      </w:r>
      <w:r w:rsidRPr="00291A9A">
        <w:rPr>
          <w:sz w:val="20"/>
          <w:szCs w:val="20"/>
        </w:rPr>
        <w:t>, s</w:t>
      </w:r>
      <w:r>
        <w:rPr>
          <w:sz w:val="20"/>
          <w:szCs w:val="20"/>
        </w:rPr>
        <w:t>166A</w:t>
      </w:r>
      <w:r w:rsidRPr="00291A9A">
        <w:rPr>
          <w:sz w:val="20"/>
          <w:szCs w:val="20"/>
        </w:rPr>
        <w:t xml:space="preserve"> (</w:t>
      </w:r>
      <w:r>
        <w:rPr>
          <w:sz w:val="20"/>
          <w:szCs w:val="20"/>
        </w:rPr>
        <w:t>Emergency community purpose contribution declaration</w:t>
      </w:r>
      <w:r w:rsidRPr="00291A9A">
        <w:rPr>
          <w:sz w:val="20"/>
          <w:szCs w:val="20"/>
        </w:rPr>
        <w:t>)</w:t>
      </w:r>
    </w:p>
    <w:p w14:paraId="304BA135" w14:textId="05CD3D55" w:rsidR="00CE35BB" w:rsidRDefault="00CE35BB" w:rsidP="006B21F4">
      <w:pPr>
        <w:jc w:val="both"/>
      </w:pPr>
    </w:p>
    <w:p w14:paraId="60743403" w14:textId="77777777" w:rsidR="00CE35BB" w:rsidRDefault="00CE35BB" w:rsidP="006B21F4">
      <w:pPr>
        <w:pStyle w:val="Heading3"/>
        <w:jc w:val="both"/>
      </w:pPr>
      <w:r>
        <w:t>EXPLANATORY STATEMENT</w:t>
      </w:r>
    </w:p>
    <w:p w14:paraId="64FC350C" w14:textId="77777777" w:rsidR="00CE35BB" w:rsidRDefault="00CE35BB" w:rsidP="006B21F4">
      <w:pPr>
        <w:jc w:val="both"/>
      </w:pPr>
    </w:p>
    <w:p w14:paraId="3A8C0505" w14:textId="77777777" w:rsidR="00CE35BB" w:rsidRDefault="00CE35BB" w:rsidP="006B21F4">
      <w:pPr>
        <w:pStyle w:val="N-line3"/>
        <w:pBdr>
          <w:top w:val="single" w:sz="12" w:space="1" w:color="auto"/>
          <w:bottom w:val="none" w:sz="0" w:space="0" w:color="auto"/>
        </w:pBdr>
      </w:pPr>
    </w:p>
    <w:p w14:paraId="71FFE0C4" w14:textId="10AB2F64" w:rsidR="00BC11BE" w:rsidRPr="00107940" w:rsidRDefault="00BC11BE" w:rsidP="00246E0C">
      <w:pPr>
        <w:jc w:val="both"/>
        <w:rPr>
          <w:b/>
          <w:bCs/>
          <w:u w:val="single"/>
        </w:rPr>
      </w:pPr>
      <w:r w:rsidRPr="00107940">
        <w:rPr>
          <w:b/>
          <w:bCs/>
          <w:u w:val="single"/>
        </w:rPr>
        <w:t>Background</w:t>
      </w:r>
    </w:p>
    <w:p w14:paraId="1C5FE734" w14:textId="77777777" w:rsidR="00BC11BE" w:rsidRDefault="00BC11BE" w:rsidP="00246E0C">
      <w:pPr>
        <w:jc w:val="both"/>
      </w:pPr>
    </w:p>
    <w:p w14:paraId="09F82EAC" w14:textId="0135E4BF" w:rsidR="00A113E9" w:rsidRDefault="00440BD3" w:rsidP="00246E0C">
      <w:pPr>
        <w:jc w:val="both"/>
      </w:pPr>
      <w:r>
        <w:t xml:space="preserve">Part 12 of the </w:t>
      </w:r>
      <w:r w:rsidR="00246E0C">
        <w:rPr>
          <w:i/>
          <w:iCs/>
        </w:rPr>
        <w:t xml:space="preserve">Gaming Machine Act 2004 </w:t>
      </w:r>
      <w:r w:rsidR="00246E0C">
        <w:t>(the Act)</w:t>
      </w:r>
      <w:r w:rsidR="00246E0C">
        <w:rPr>
          <w:i/>
          <w:iCs/>
        </w:rPr>
        <w:t xml:space="preserve"> </w:t>
      </w:r>
      <w:r>
        <w:t>provides for community contributions.</w:t>
      </w:r>
      <w:r w:rsidR="00A113E9">
        <w:t xml:space="preserve"> A licensee that is a club (a ‘club’) is required to make community purpose contributions of at least eight per cent of </w:t>
      </w:r>
      <w:r w:rsidR="005B5B42">
        <w:t>the</w:t>
      </w:r>
      <w:r w:rsidR="00A113E9">
        <w:t xml:space="preserve"> net gaming machine revenue </w:t>
      </w:r>
      <w:r w:rsidR="00F5756B">
        <w:t xml:space="preserve">that </w:t>
      </w:r>
      <w:r w:rsidR="005B5B42">
        <w:t>the club receives in</w:t>
      </w:r>
      <w:r w:rsidR="00A113E9">
        <w:t xml:space="preserve"> a reporting year.</w:t>
      </w:r>
    </w:p>
    <w:p w14:paraId="1A521F45" w14:textId="5B864D17" w:rsidR="00440BD3" w:rsidRDefault="00440BD3" w:rsidP="00246E0C">
      <w:pPr>
        <w:jc w:val="both"/>
      </w:pPr>
    </w:p>
    <w:p w14:paraId="5BB2B736" w14:textId="7C963129" w:rsidR="00975385" w:rsidRDefault="00440BD3" w:rsidP="00246E0C">
      <w:pPr>
        <w:jc w:val="both"/>
      </w:pPr>
      <w:r>
        <w:t xml:space="preserve">Section 166A of the Act provides that the Minister may </w:t>
      </w:r>
      <w:r w:rsidR="00975385">
        <w:t xml:space="preserve">make an </w:t>
      </w:r>
      <w:r w:rsidR="00975385" w:rsidRPr="00975385">
        <w:rPr>
          <w:i/>
          <w:iCs/>
        </w:rPr>
        <w:t>emergency community purpose contribution declaration</w:t>
      </w:r>
      <w:r w:rsidR="00975385">
        <w:t>.</w:t>
      </w:r>
    </w:p>
    <w:p w14:paraId="28E8DB18" w14:textId="66753357" w:rsidR="00975385" w:rsidRDefault="00975385" w:rsidP="00246E0C">
      <w:pPr>
        <w:jc w:val="both"/>
      </w:pPr>
    </w:p>
    <w:p w14:paraId="62F15CE7" w14:textId="3C5B553B" w:rsidR="001013D7" w:rsidRDefault="001013D7" w:rsidP="001013D7">
      <w:pPr>
        <w:jc w:val="both"/>
      </w:pPr>
      <w:r>
        <w:t>Under an emergency community purpose contribution declaration, the Minister may declare that a contribution by a club is a community purpose contribution, despite anything else in the Act.</w:t>
      </w:r>
    </w:p>
    <w:p w14:paraId="0F732DA1" w14:textId="77777777" w:rsidR="001013D7" w:rsidRDefault="001013D7" w:rsidP="001013D7">
      <w:pPr>
        <w:jc w:val="both"/>
      </w:pPr>
    </w:p>
    <w:p w14:paraId="3DFB9F88" w14:textId="0FF3CADE" w:rsidR="004E3121" w:rsidRPr="001013D7" w:rsidRDefault="001013D7" w:rsidP="00246E0C">
      <w:pPr>
        <w:jc w:val="both"/>
      </w:pPr>
      <w:r w:rsidRPr="001013D7">
        <w:t xml:space="preserve">In accordance with section 104 of the </w:t>
      </w:r>
      <w:r w:rsidRPr="001013D7">
        <w:rPr>
          <w:i/>
          <w:iCs/>
        </w:rPr>
        <w:t>Legislation Act 2001</w:t>
      </w:r>
      <w:r w:rsidRPr="001013D7">
        <w:t xml:space="preserve">, </w:t>
      </w:r>
      <w:r>
        <w:t>a</w:t>
      </w:r>
      <w:r w:rsidRPr="001013D7">
        <w:t xml:space="preserve"> reference to </w:t>
      </w:r>
      <w:r>
        <w:t>an Act</w:t>
      </w:r>
      <w:r w:rsidRPr="001013D7">
        <w:t xml:space="preserve"> includes a reference to statutory instruments made or in force under the Act, including any regulation. Part 9 of the </w:t>
      </w:r>
      <w:r w:rsidRPr="001013D7">
        <w:rPr>
          <w:i/>
          <w:iCs/>
        </w:rPr>
        <w:t>Gaming Machine Regulation 2004</w:t>
      </w:r>
      <w:r>
        <w:t xml:space="preserve"> </w:t>
      </w:r>
      <w:r w:rsidRPr="001013D7">
        <w:t xml:space="preserve">includes provisions relating to community purpose contributions. As a result, </w:t>
      </w:r>
      <w:r w:rsidR="0031101A">
        <w:t xml:space="preserve">the making of </w:t>
      </w:r>
      <w:r w:rsidR="00F5756B">
        <w:t>a</w:t>
      </w:r>
      <w:r w:rsidR="0031101A">
        <w:t xml:space="preserve"> declaration</w:t>
      </w:r>
      <w:r w:rsidR="00F5756B">
        <w:t xml:space="preserve"> under section 166A of the Act</w:t>
      </w:r>
      <w:r w:rsidRPr="001013D7">
        <w:t xml:space="preserve"> </w:t>
      </w:r>
      <w:r w:rsidR="0031101A">
        <w:t>has</w:t>
      </w:r>
      <w:r w:rsidRPr="001013D7">
        <w:t xml:space="preserve"> the effect that</w:t>
      </w:r>
      <w:r w:rsidR="0031101A">
        <w:t xml:space="preserve"> the</w:t>
      </w:r>
      <w:r w:rsidRPr="001013D7">
        <w:t xml:space="preserve"> declared contribution is an emergency community purpose contribution</w:t>
      </w:r>
      <w:r>
        <w:t>,</w:t>
      </w:r>
      <w:r w:rsidRPr="001013D7">
        <w:t xml:space="preserve"> even where the Gaming Machine Act or Regulation provides otherwise.</w:t>
      </w:r>
    </w:p>
    <w:p w14:paraId="32E6609F" w14:textId="4FF87DFE" w:rsidR="001013D7" w:rsidRPr="001013D7" w:rsidRDefault="001013D7" w:rsidP="00246E0C">
      <w:pPr>
        <w:jc w:val="both"/>
      </w:pPr>
    </w:p>
    <w:p w14:paraId="60944652" w14:textId="60ECE97A" w:rsidR="001013D7" w:rsidRDefault="001013D7" w:rsidP="0031101A">
      <w:pPr>
        <w:spacing w:after="120"/>
        <w:jc w:val="both"/>
      </w:pPr>
      <w:r>
        <w:t>A declaration may only be made if a COVID-19 emergency is in force or was in force at any time in the previous 12 months.</w:t>
      </w:r>
      <w:r w:rsidR="0031101A">
        <w:t xml:space="preserve"> </w:t>
      </w:r>
      <w:r>
        <w:t>Under section 164 of the Act, a COVID-19 emergency means:</w:t>
      </w:r>
    </w:p>
    <w:p w14:paraId="335AAA21" w14:textId="77777777" w:rsidR="001013D7" w:rsidRPr="0031101A" w:rsidRDefault="001013D7" w:rsidP="0031101A">
      <w:pPr>
        <w:spacing w:after="120"/>
        <w:jc w:val="both"/>
      </w:pPr>
      <w:r w:rsidRPr="0031101A">
        <w:t xml:space="preserve">(a) a state of emergency declared under the </w:t>
      </w:r>
      <w:r w:rsidRPr="0031101A">
        <w:rPr>
          <w:i/>
          <w:iCs/>
        </w:rPr>
        <w:t>Emergencies Act 2004</w:t>
      </w:r>
      <w:r w:rsidRPr="0031101A">
        <w:t xml:space="preserve">, section 156 because of the coronavirus disease 2019 (COVID-19); or </w:t>
      </w:r>
    </w:p>
    <w:p w14:paraId="383D94DF" w14:textId="77777777" w:rsidR="001013D7" w:rsidRDefault="001013D7" w:rsidP="001013D7">
      <w:pPr>
        <w:jc w:val="both"/>
      </w:pPr>
      <w:r w:rsidRPr="0031101A">
        <w:t xml:space="preserve">(b) an emergency declared under the </w:t>
      </w:r>
      <w:r w:rsidRPr="0031101A">
        <w:rPr>
          <w:i/>
          <w:iCs/>
        </w:rPr>
        <w:t>Public Health Act 1997</w:t>
      </w:r>
      <w:r w:rsidRPr="0031101A">
        <w:t>, section 119 (including any extension or further extension) because of the coronavirus disease 2019 (COVID-19).</w:t>
      </w:r>
    </w:p>
    <w:p w14:paraId="2D850388" w14:textId="77777777" w:rsidR="001013D7" w:rsidRDefault="001013D7" w:rsidP="001013D7">
      <w:pPr>
        <w:jc w:val="both"/>
      </w:pPr>
    </w:p>
    <w:p w14:paraId="76C9889A" w14:textId="3E8F13F0" w:rsidR="0021273C" w:rsidRPr="0031101A" w:rsidRDefault="0021273C" w:rsidP="00793E86">
      <w:pPr>
        <w:keepLines/>
        <w:jc w:val="both"/>
      </w:pPr>
      <w:r>
        <w:lastRenderedPageBreak/>
        <w:t>The definition of community purpose in section 166 of the Act has been amended to include ‘providing relief or assistance to the community in relation to a COVID-19 emergency.’</w:t>
      </w:r>
      <w:r w:rsidR="00761557">
        <w:t xml:space="preserve"> Under </w:t>
      </w:r>
      <w:r w:rsidR="00761557" w:rsidRPr="00761557">
        <w:t>section 165 of the Act</w:t>
      </w:r>
      <w:r w:rsidR="00761557">
        <w:t xml:space="preserve">, the </w:t>
      </w:r>
      <w:r w:rsidR="00761557" w:rsidRPr="00F5756B">
        <w:rPr>
          <w:i/>
          <w:iCs/>
        </w:rPr>
        <w:t>community</w:t>
      </w:r>
      <w:r w:rsidR="00761557">
        <w:t xml:space="preserve"> includes</w:t>
      </w:r>
      <w:r w:rsidR="00761557" w:rsidRPr="00761557">
        <w:t xml:space="preserve"> people living in the ACT or surrounding region</w:t>
      </w:r>
      <w:r w:rsidR="00761557">
        <w:t>.</w:t>
      </w:r>
    </w:p>
    <w:p w14:paraId="677C9CCB" w14:textId="77777777" w:rsidR="001013D7" w:rsidRDefault="001013D7" w:rsidP="00246E0C">
      <w:pPr>
        <w:jc w:val="both"/>
        <w:rPr>
          <w:rFonts w:asciiTheme="minorHAnsi" w:hAnsiTheme="minorHAnsi" w:cstheme="minorHAnsi"/>
        </w:rPr>
      </w:pPr>
    </w:p>
    <w:p w14:paraId="484CEE71" w14:textId="7A57BBAF" w:rsidR="001013D7" w:rsidRPr="0031101A" w:rsidRDefault="0031101A" w:rsidP="001013D7">
      <w:pPr>
        <w:rPr>
          <w:bCs/>
        </w:rPr>
      </w:pPr>
      <w:r w:rsidRPr="0031101A">
        <w:t xml:space="preserve">A </w:t>
      </w:r>
      <w:r w:rsidR="001013D7" w:rsidRPr="0031101A">
        <w:t xml:space="preserve">declaration may apply to anything that happens at any time during the reporting year in which the declaration is made. </w:t>
      </w:r>
      <w:r w:rsidR="001013D7" w:rsidRPr="0031101A">
        <w:rPr>
          <w:bCs/>
        </w:rPr>
        <w:t>A reporting year for community contributions purposes is defined in section 164 of the Act. Clubs do not all report on a standard (July</w:t>
      </w:r>
      <w:r w:rsidR="001013D7" w:rsidRPr="0031101A">
        <w:rPr>
          <w:bCs/>
        </w:rPr>
        <w:noBreakHyphen/>
        <w:t>June) financial year.</w:t>
      </w:r>
    </w:p>
    <w:p w14:paraId="4BCD38A4" w14:textId="77777777" w:rsidR="0021273C" w:rsidRDefault="0021273C" w:rsidP="00BC11BE">
      <w:pPr>
        <w:rPr>
          <w:bCs/>
        </w:rPr>
      </w:pPr>
    </w:p>
    <w:p w14:paraId="2C303702" w14:textId="7B1E71CF" w:rsidR="0021273C" w:rsidRPr="0021273C" w:rsidRDefault="00BC11BE" w:rsidP="0021273C">
      <w:pPr>
        <w:jc w:val="both"/>
      </w:pPr>
      <w:r w:rsidRPr="0031101A">
        <w:rPr>
          <w:bCs/>
        </w:rPr>
        <w:t>An emergency community purpose contribution declaration has effect for the period stated in the declaration and may be subject to any conditions declared by the Minister.</w:t>
      </w:r>
    </w:p>
    <w:p w14:paraId="7BFEAA5A" w14:textId="1163EC6C" w:rsidR="00975385" w:rsidRDefault="00975385" w:rsidP="00246E0C">
      <w:pPr>
        <w:jc w:val="both"/>
      </w:pPr>
    </w:p>
    <w:p w14:paraId="4EAC2253" w14:textId="4BCBDEA6" w:rsidR="00E15E24" w:rsidRDefault="001013D7" w:rsidP="00246E0C">
      <w:pPr>
        <w:jc w:val="both"/>
      </w:pPr>
      <w:r>
        <w:t xml:space="preserve">Under section 172(2A) of the Act, clubs must </w:t>
      </w:r>
      <w:r w:rsidR="00BC11BE">
        <w:t xml:space="preserve">include in their annual </w:t>
      </w:r>
      <w:r>
        <w:t xml:space="preserve">report the percentage of net gaming machine revenue that was </w:t>
      </w:r>
      <w:r w:rsidR="002B0870">
        <w:t>contributed</w:t>
      </w:r>
      <w:r>
        <w:t xml:space="preserve"> for the purpose of providing relief or assistance to the community in relation to a COVID-19 emergency. This includes any emergency community purpose contributions.</w:t>
      </w:r>
      <w:r w:rsidR="00BC11BE">
        <w:t xml:space="preserve"> This requirement applies to annual reports for reporting years that end after 23 March 2020</w:t>
      </w:r>
      <w:r w:rsidR="00C919B1">
        <w:t>.</w:t>
      </w:r>
      <w:r w:rsidR="00E15E24">
        <w:t xml:space="preserve"> </w:t>
      </w:r>
    </w:p>
    <w:p w14:paraId="6D5C2EBA" w14:textId="77777777" w:rsidR="00E15E24" w:rsidRDefault="00E15E24" w:rsidP="00246E0C">
      <w:pPr>
        <w:jc w:val="both"/>
      </w:pPr>
    </w:p>
    <w:p w14:paraId="41719C8A" w14:textId="6E2A090D" w:rsidR="001013D7" w:rsidRDefault="00E15E24" w:rsidP="00246E0C">
      <w:pPr>
        <w:jc w:val="both"/>
      </w:pPr>
      <w:r>
        <w:t>Where a club with gross gaming machine revenue of less than $200,000 per annum does not prepare an annual report, community purpose contribution information must be set out in a written statement attached to the club’s certified income and expenditure statement (section 172(3) of the Act). For clubs with gross gaming revenue of $200,000 per annum or more, this information must be set out in an audited community purpose contribution statement included in a club’s annual report (section 74A of the Regulation).</w:t>
      </w:r>
    </w:p>
    <w:p w14:paraId="140688F2" w14:textId="77777777" w:rsidR="001013D7" w:rsidRDefault="001013D7" w:rsidP="00246E0C">
      <w:pPr>
        <w:jc w:val="both"/>
      </w:pPr>
    </w:p>
    <w:p w14:paraId="29D96E65" w14:textId="3B70D16A" w:rsidR="004E3121" w:rsidRPr="00F94C50" w:rsidRDefault="00BC11BE" w:rsidP="004E3121">
      <w:r>
        <w:t>A</w:t>
      </w:r>
      <w:r w:rsidR="004E3121">
        <w:t xml:space="preserve"> declaration </w:t>
      </w:r>
      <w:r>
        <w:t xml:space="preserve">under section 166A is </w:t>
      </w:r>
      <w:r w:rsidR="004E3121" w:rsidRPr="00206673">
        <w:t>a disallowable instrument</w:t>
      </w:r>
      <w:r>
        <w:t xml:space="preserve"> and must be tabled in the Legislative Assembly.</w:t>
      </w:r>
    </w:p>
    <w:p w14:paraId="4985B91F" w14:textId="78CBFB78" w:rsidR="00BB476C" w:rsidRDefault="00BB476C" w:rsidP="00246E0C">
      <w:pPr>
        <w:jc w:val="both"/>
      </w:pPr>
    </w:p>
    <w:p w14:paraId="74E139F6" w14:textId="08763467" w:rsidR="0021273C" w:rsidRPr="00107940" w:rsidRDefault="00F5756B" w:rsidP="00246E0C">
      <w:pPr>
        <w:jc w:val="both"/>
        <w:rPr>
          <w:b/>
          <w:bCs/>
          <w:u w:val="single"/>
        </w:rPr>
      </w:pPr>
      <w:r>
        <w:rPr>
          <w:b/>
          <w:bCs/>
          <w:u w:val="single"/>
        </w:rPr>
        <w:t>T</w:t>
      </w:r>
      <w:r w:rsidR="0021273C" w:rsidRPr="00107940">
        <w:rPr>
          <w:b/>
          <w:bCs/>
          <w:u w:val="single"/>
        </w:rPr>
        <w:t>his Declaration</w:t>
      </w:r>
    </w:p>
    <w:p w14:paraId="72300871" w14:textId="21013E7E" w:rsidR="0021273C" w:rsidRDefault="0021273C" w:rsidP="00246E0C">
      <w:pPr>
        <w:jc w:val="both"/>
      </w:pPr>
    </w:p>
    <w:p w14:paraId="0609E9BC" w14:textId="05BB387C" w:rsidR="00C919B1" w:rsidRDefault="00793E86" w:rsidP="00C919B1">
      <w:pPr>
        <w:jc w:val="both"/>
      </w:pPr>
      <w:r>
        <w:t>A COVID-19 emergency is currently in force, since t</w:t>
      </w:r>
      <w:r w:rsidR="00C919B1" w:rsidRPr="0031101A">
        <w:t xml:space="preserve">he </w:t>
      </w:r>
      <w:r w:rsidR="00C919B1" w:rsidRPr="0031101A">
        <w:rPr>
          <w:i/>
          <w:iCs/>
        </w:rPr>
        <w:t>Public Health (Emergency) Declaration 2020 (No 1)</w:t>
      </w:r>
      <w:r w:rsidR="00C919B1" w:rsidRPr="0031101A">
        <w:t>, NI2020-153, is currently in force.</w:t>
      </w:r>
    </w:p>
    <w:p w14:paraId="45589136" w14:textId="77777777" w:rsidR="00C919B1" w:rsidRDefault="00C919B1" w:rsidP="00C919B1">
      <w:pPr>
        <w:jc w:val="both"/>
      </w:pPr>
    </w:p>
    <w:p w14:paraId="1C66365A" w14:textId="4398F96D" w:rsidR="00C919B1" w:rsidRDefault="008048F6" w:rsidP="00246E0C">
      <w:pPr>
        <w:jc w:val="both"/>
      </w:pPr>
      <w:r>
        <w:t>T</w:t>
      </w:r>
      <w:r w:rsidR="00C919B1">
        <w:t xml:space="preserve">he </w:t>
      </w:r>
      <w:r w:rsidR="00C919B1" w:rsidRPr="00C919B1">
        <w:rPr>
          <w:i/>
          <w:iCs/>
        </w:rPr>
        <w:t>Public Health (Closure of Non-Essential Business or Undertaking) Emergency Direction 2020</w:t>
      </w:r>
      <w:r>
        <w:t>, NI2020-169,</w:t>
      </w:r>
      <w:r w:rsidR="00C919B1">
        <w:t xml:space="preserve"> provided for the closure of clubs </w:t>
      </w:r>
      <w:r>
        <w:t xml:space="preserve">at 11.59pm on 23 March 2020 </w:t>
      </w:r>
      <w:r w:rsidR="00C919B1">
        <w:t>as a result of the COVID-19 emergency.</w:t>
      </w:r>
      <w:r>
        <w:t xml:space="preserve"> </w:t>
      </w:r>
      <w:r w:rsidR="00761557">
        <w:t>That</w:t>
      </w:r>
      <w:r>
        <w:t xml:space="preserve"> Direction and subsequent closure Directions made under section 120 of the </w:t>
      </w:r>
      <w:r w:rsidRPr="008048F6">
        <w:rPr>
          <w:i/>
          <w:iCs/>
        </w:rPr>
        <w:t>Public Health Act 1997</w:t>
      </w:r>
      <w:r w:rsidR="00761557">
        <w:t xml:space="preserve"> have affected</w:t>
      </w:r>
      <w:r w:rsidR="00AF260E">
        <w:t xml:space="preserve"> and continue to affect</w:t>
      </w:r>
      <w:r w:rsidR="00761557">
        <w:t xml:space="preserve"> club operations, with consequent impacts on club staff.</w:t>
      </w:r>
    </w:p>
    <w:p w14:paraId="6561C24C" w14:textId="77777777" w:rsidR="00C919B1" w:rsidRDefault="00C919B1" w:rsidP="00246E0C">
      <w:pPr>
        <w:jc w:val="both"/>
      </w:pPr>
    </w:p>
    <w:p w14:paraId="47C71D6C" w14:textId="1228876E" w:rsidR="0021273C" w:rsidRDefault="00C919B1" w:rsidP="00246E0C">
      <w:pPr>
        <w:jc w:val="both"/>
      </w:pPr>
      <w:r>
        <w:t>This</w:t>
      </w:r>
      <w:r w:rsidR="0021273C">
        <w:t xml:space="preserve"> </w:t>
      </w:r>
      <w:r w:rsidR="0021273C" w:rsidRPr="0021273C">
        <w:rPr>
          <w:i/>
          <w:iCs/>
        </w:rPr>
        <w:t>Gaming Machine (Emergency Community Purpose Contribution—Club Employees) Declaration 2020</w:t>
      </w:r>
      <w:r w:rsidR="0021273C">
        <w:t xml:space="preserve"> provides for </w:t>
      </w:r>
      <w:r>
        <w:t>certain</w:t>
      </w:r>
      <w:r w:rsidR="00EE587C">
        <w:t xml:space="preserve"> payments to club staff</w:t>
      </w:r>
      <w:r w:rsidR="0021273C">
        <w:t xml:space="preserve"> to be community purpose contributions for the purpose of providing relief or assistance to the community in relation to a COVID-19 emergency</w:t>
      </w:r>
      <w:r w:rsidR="00EE587C">
        <w:t>.</w:t>
      </w:r>
    </w:p>
    <w:p w14:paraId="0E211FF9" w14:textId="27D45133" w:rsidR="00EE587C" w:rsidRDefault="00EE587C" w:rsidP="00246E0C">
      <w:pPr>
        <w:jc w:val="both"/>
      </w:pPr>
    </w:p>
    <w:p w14:paraId="5498CF49" w14:textId="0D4191FA" w:rsidR="00107940" w:rsidRDefault="00107940" w:rsidP="00AB1A2A">
      <w:pPr>
        <w:spacing w:after="120"/>
        <w:jc w:val="both"/>
        <w:rPr>
          <w:u w:val="single"/>
        </w:rPr>
      </w:pPr>
      <w:r w:rsidRPr="00107940">
        <w:rPr>
          <w:u w:val="single"/>
        </w:rPr>
        <w:t>Club Staff</w:t>
      </w:r>
    </w:p>
    <w:p w14:paraId="32475A28" w14:textId="6BFFF3C0" w:rsidR="00EE587C" w:rsidRDefault="00EE587C" w:rsidP="00246E0C">
      <w:pPr>
        <w:jc w:val="both"/>
      </w:pPr>
      <w:r>
        <w:t xml:space="preserve">The </w:t>
      </w:r>
      <w:r w:rsidR="00144027">
        <w:t>contributions</w:t>
      </w:r>
      <w:r>
        <w:t xml:space="preserve"> must be made to club employees</w:t>
      </w:r>
      <w:r w:rsidR="00A037CA">
        <w:t xml:space="preserve"> or</w:t>
      </w:r>
      <w:r>
        <w:t xml:space="preserve"> emergency-affected club employees</w:t>
      </w:r>
      <w:r w:rsidR="00107940">
        <w:t>. These terms are defined</w:t>
      </w:r>
      <w:r w:rsidR="00144027">
        <w:t xml:space="preserve"> as follows </w:t>
      </w:r>
      <w:r w:rsidR="00107940">
        <w:t>for the purposes of the declaration</w:t>
      </w:r>
      <w:r w:rsidR="00144027">
        <w:t>:</w:t>
      </w:r>
    </w:p>
    <w:p w14:paraId="414F1599" w14:textId="11FC7251" w:rsidR="00107940" w:rsidRDefault="00107940" w:rsidP="00246E0C">
      <w:pPr>
        <w:jc w:val="both"/>
      </w:pPr>
    </w:p>
    <w:p w14:paraId="7CC244A0" w14:textId="00C36CFB" w:rsidR="00107940" w:rsidRDefault="00EE587C" w:rsidP="00144027">
      <w:pPr>
        <w:pStyle w:val="ListParagraph"/>
        <w:numPr>
          <w:ilvl w:val="0"/>
          <w:numId w:val="13"/>
        </w:numPr>
        <w:jc w:val="both"/>
      </w:pPr>
      <w:r>
        <w:t xml:space="preserve">A </w:t>
      </w:r>
      <w:r w:rsidRPr="00144027">
        <w:rPr>
          <w:i/>
          <w:iCs/>
        </w:rPr>
        <w:t>club employee</w:t>
      </w:r>
      <w:r>
        <w:t xml:space="preserve"> is a person employed by a club</w:t>
      </w:r>
      <w:r w:rsidR="00AB1A2A">
        <w:t>,</w:t>
      </w:r>
      <w:r>
        <w:t xml:space="preserve"> </w:t>
      </w:r>
      <w:r w:rsidR="00107940">
        <w:t xml:space="preserve">other than an influential person for the </w:t>
      </w:r>
      <w:r w:rsidR="00107940" w:rsidRPr="00107940">
        <w:t xml:space="preserve">licensee. ‘Influential person’ in defined in section 8 of the Act, and includes </w:t>
      </w:r>
      <w:r w:rsidR="00107940" w:rsidRPr="00107940">
        <w:lastRenderedPageBreak/>
        <w:t>executive officers and influential owners, and a person who can exercise as much influence as those persons. Under the Dictionary of the Act, an executive officer means any person who is concerned with, or takes part in, the corporation’s management, however they are described and whether or not the person is a director of the corporation.</w:t>
      </w:r>
    </w:p>
    <w:p w14:paraId="64387B6D" w14:textId="65E3EA4F" w:rsidR="00AB1A2A" w:rsidRDefault="00AB1A2A" w:rsidP="00107940">
      <w:pPr>
        <w:jc w:val="both"/>
      </w:pPr>
    </w:p>
    <w:p w14:paraId="73A0C4E5" w14:textId="69CCDB33" w:rsidR="00AB1A2A" w:rsidRDefault="00AB1A2A" w:rsidP="00144027">
      <w:pPr>
        <w:ind w:left="709"/>
        <w:jc w:val="both"/>
      </w:pPr>
      <w:r>
        <w:t>Club employees include staff who continued to be employed for their ordinary hours of work for all or part of the time that clubs were closed (for example, maintenance staff), and those employed for their ordinary hours of work once clubs reopen, noting that this declaration does not expire until 23 March 2021.</w:t>
      </w:r>
    </w:p>
    <w:p w14:paraId="3B0CB35D" w14:textId="7149B8DF" w:rsidR="00107940" w:rsidRDefault="00107940" w:rsidP="00107940">
      <w:pPr>
        <w:jc w:val="both"/>
      </w:pPr>
    </w:p>
    <w:p w14:paraId="344624CB" w14:textId="28616DCF" w:rsidR="00107940" w:rsidRDefault="00107940" w:rsidP="00144027">
      <w:pPr>
        <w:pStyle w:val="ListParagraph"/>
        <w:numPr>
          <w:ilvl w:val="0"/>
          <w:numId w:val="13"/>
        </w:numPr>
        <w:jc w:val="both"/>
      </w:pPr>
      <w:r>
        <w:t xml:space="preserve">An </w:t>
      </w:r>
      <w:r w:rsidRPr="00144027">
        <w:rPr>
          <w:i/>
          <w:iCs/>
        </w:rPr>
        <w:t>emergency-affected club employee</w:t>
      </w:r>
      <w:r>
        <w:t xml:space="preserve"> is a person</w:t>
      </w:r>
      <w:r w:rsidR="00AB1A2A">
        <w:t>, other than influential person for the licensee,</w:t>
      </w:r>
      <w:r>
        <w:t xml:space="preserve"> who was employed by a club</w:t>
      </w:r>
      <w:r w:rsidR="00AB1A2A">
        <w:t xml:space="preserve"> on 23 March 2020 and who has been stood down or has had their hours of work reduced (including being reduced to 0 hours) as a result of a COVID-19 emergency.</w:t>
      </w:r>
    </w:p>
    <w:p w14:paraId="3CBE6E4C" w14:textId="709A3A1D" w:rsidR="00AB1A2A" w:rsidRDefault="00AB1A2A" w:rsidP="00107940">
      <w:pPr>
        <w:jc w:val="both"/>
      </w:pPr>
    </w:p>
    <w:p w14:paraId="49AF0FC0" w14:textId="7541D34C" w:rsidR="00EE587C" w:rsidRDefault="00AF260E" w:rsidP="00AB1A2A">
      <w:pPr>
        <w:keepNext/>
        <w:spacing w:after="120"/>
        <w:jc w:val="both"/>
        <w:rPr>
          <w:u w:val="single"/>
        </w:rPr>
      </w:pPr>
      <w:r>
        <w:rPr>
          <w:u w:val="single"/>
        </w:rPr>
        <w:t>Contributions</w:t>
      </w:r>
    </w:p>
    <w:p w14:paraId="0599D219" w14:textId="60BD2E01" w:rsidR="00C919B1" w:rsidRDefault="00C919B1" w:rsidP="00C919B1">
      <w:pPr>
        <w:jc w:val="both"/>
      </w:pPr>
      <w:r>
        <w:t xml:space="preserve">The </w:t>
      </w:r>
      <w:r w:rsidR="00AF260E">
        <w:t>following</w:t>
      </w:r>
      <w:r>
        <w:t xml:space="preserve"> </w:t>
      </w:r>
      <w:r w:rsidR="00AF260E">
        <w:t xml:space="preserve">payments </w:t>
      </w:r>
      <w:r>
        <w:t>are declared to be community purpose contributions:</w:t>
      </w:r>
    </w:p>
    <w:p w14:paraId="5B21BF2D" w14:textId="77777777" w:rsidR="00C919B1" w:rsidRPr="00C919B1" w:rsidRDefault="00C919B1" w:rsidP="00C919B1">
      <w:pPr>
        <w:jc w:val="both"/>
      </w:pPr>
    </w:p>
    <w:p w14:paraId="4043BFF5" w14:textId="5FED6DC5" w:rsidR="0021273C" w:rsidRDefault="00144027" w:rsidP="00EE587C">
      <w:pPr>
        <w:pStyle w:val="ListParagraph"/>
        <w:numPr>
          <w:ilvl w:val="0"/>
          <w:numId w:val="12"/>
        </w:numPr>
        <w:spacing w:after="120"/>
        <w:ind w:left="714" w:hanging="357"/>
        <w:jc w:val="both"/>
      </w:pPr>
      <w:r>
        <w:t>W</w:t>
      </w:r>
      <w:r w:rsidR="0021273C">
        <w:t>ages or salary</w:t>
      </w:r>
      <w:r w:rsidR="002F7B07">
        <w:t xml:space="preserve"> (including any relevant allowances)</w:t>
      </w:r>
      <w:r w:rsidR="0021273C">
        <w:t xml:space="preserve"> paid to a club employee</w:t>
      </w:r>
      <w:r w:rsidR="00F5756B">
        <w:t>,</w:t>
      </w:r>
      <w:r w:rsidR="00EE587C">
        <w:t xml:space="preserve"> provided the amount is equal to, or more than, the amount </w:t>
      </w:r>
      <w:r w:rsidR="00B009C3">
        <w:t xml:space="preserve">(including any relevant allowances) </w:t>
      </w:r>
      <w:r w:rsidR="00EE587C">
        <w:t xml:space="preserve">that would be payable under the </w:t>
      </w:r>
      <w:r w:rsidR="00EE587C" w:rsidRPr="00EE587C">
        <w:rPr>
          <w:i/>
          <w:iCs/>
        </w:rPr>
        <w:t>Registered and Licensed Clubs Award 2010</w:t>
      </w:r>
      <w:r>
        <w:rPr>
          <w:i/>
          <w:iCs/>
        </w:rPr>
        <w:t>.</w:t>
      </w:r>
    </w:p>
    <w:p w14:paraId="7899E1B6" w14:textId="2C763090" w:rsidR="0021273C" w:rsidRDefault="00144027" w:rsidP="00EE587C">
      <w:pPr>
        <w:pStyle w:val="ListParagraph"/>
        <w:numPr>
          <w:ilvl w:val="0"/>
          <w:numId w:val="12"/>
        </w:numPr>
        <w:spacing w:after="120"/>
        <w:ind w:left="714" w:hanging="357"/>
        <w:jc w:val="both"/>
      </w:pPr>
      <w:r>
        <w:t>A</w:t>
      </w:r>
      <w:r w:rsidR="0021273C">
        <w:t xml:space="preserve"> payment made to an emergency-affected club employee</w:t>
      </w:r>
      <w:r w:rsidR="00F5756B">
        <w:t xml:space="preserve">, </w:t>
      </w:r>
      <w:r w:rsidR="00EE587C">
        <w:t xml:space="preserve">provided the amount is equal to, or more than, the </w:t>
      </w:r>
      <w:r w:rsidR="001F575C">
        <w:t xml:space="preserve">hourly </w:t>
      </w:r>
      <w:r w:rsidR="00EE587C">
        <w:t xml:space="preserve">amount </w:t>
      </w:r>
      <w:r w:rsidR="00B009C3">
        <w:t xml:space="preserve">(including any relevant allowances) </w:t>
      </w:r>
      <w:r w:rsidR="00EE587C">
        <w:t xml:space="preserve">that would be payable under the </w:t>
      </w:r>
      <w:r w:rsidR="00EE587C" w:rsidRPr="00EE587C">
        <w:rPr>
          <w:i/>
          <w:iCs/>
        </w:rPr>
        <w:t>Registered and Licensed Clubs Award 2010</w:t>
      </w:r>
      <w:r>
        <w:rPr>
          <w:i/>
          <w:iCs/>
        </w:rPr>
        <w:t>.</w:t>
      </w:r>
    </w:p>
    <w:p w14:paraId="37EB0D26" w14:textId="77777777" w:rsidR="00A037CA" w:rsidRPr="00A037CA" w:rsidRDefault="00A037CA" w:rsidP="00A037CA">
      <w:pPr>
        <w:jc w:val="both"/>
      </w:pPr>
    </w:p>
    <w:p w14:paraId="11AFB477" w14:textId="6BEA835F" w:rsidR="00AB1A2A" w:rsidRPr="00AB1A2A" w:rsidRDefault="00AB1A2A" w:rsidP="00AB1A2A">
      <w:pPr>
        <w:keepNext/>
        <w:spacing w:after="120"/>
        <w:jc w:val="both"/>
        <w:rPr>
          <w:u w:val="single"/>
        </w:rPr>
      </w:pPr>
      <w:r w:rsidRPr="00AB1A2A">
        <w:rPr>
          <w:u w:val="single"/>
        </w:rPr>
        <w:t xml:space="preserve">Other </w:t>
      </w:r>
      <w:r w:rsidR="00F5756B">
        <w:rPr>
          <w:u w:val="single"/>
        </w:rPr>
        <w:t>Requirements</w:t>
      </w:r>
      <w:r w:rsidRPr="00AB1A2A">
        <w:rPr>
          <w:u w:val="single"/>
        </w:rPr>
        <w:t xml:space="preserve"> of th</w:t>
      </w:r>
      <w:r w:rsidR="00F5756B">
        <w:rPr>
          <w:u w:val="single"/>
        </w:rPr>
        <w:t>is</w:t>
      </w:r>
      <w:r w:rsidRPr="00AB1A2A">
        <w:rPr>
          <w:u w:val="single"/>
        </w:rPr>
        <w:t xml:space="preserve"> Declaration</w:t>
      </w:r>
    </w:p>
    <w:p w14:paraId="47DE391E" w14:textId="587BAF81" w:rsidR="00C919B1" w:rsidRDefault="00C919B1" w:rsidP="00246E0C">
      <w:pPr>
        <w:jc w:val="both"/>
      </w:pPr>
      <w:r>
        <w:t xml:space="preserve">Only contributions that are made after 23 March 2020 </w:t>
      </w:r>
      <w:r w:rsidR="00761557">
        <w:t xml:space="preserve">and </w:t>
      </w:r>
      <w:r w:rsidR="00761557" w:rsidRPr="00144027">
        <w:t>before</w:t>
      </w:r>
      <w:r w:rsidR="00761557">
        <w:t xml:space="preserve"> 2</w:t>
      </w:r>
      <w:r w:rsidR="00144027">
        <w:t>4</w:t>
      </w:r>
      <w:r w:rsidR="00761557">
        <w:t xml:space="preserve"> March 2021 </w:t>
      </w:r>
      <w:r>
        <w:t>are community purpose contributions under this declaration.</w:t>
      </w:r>
    </w:p>
    <w:p w14:paraId="0DCAD255" w14:textId="38F3C991" w:rsidR="00761557" w:rsidRDefault="00761557" w:rsidP="00246E0C">
      <w:pPr>
        <w:jc w:val="both"/>
      </w:pPr>
    </w:p>
    <w:p w14:paraId="099D0788" w14:textId="1B5B424D" w:rsidR="00AB1A2A" w:rsidRDefault="00EE587C" w:rsidP="00246E0C">
      <w:pPr>
        <w:jc w:val="both"/>
      </w:pPr>
      <w:r w:rsidRPr="000B7E48">
        <w:t xml:space="preserve">The </w:t>
      </w:r>
      <w:r w:rsidR="0025333B" w:rsidRPr="000B7E48">
        <w:t xml:space="preserve">club </w:t>
      </w:r>
      <w:r w:rsidRPr="000B7E48">
        <w:t xml:space="preserve">must reduce the amount of a community purpose contribution claimed by the amount of any other assistance or relief received from the Commonwealth or the Territory, however described, to support </w:t>
      </w:r>
      <w:r w:rsidR="0025333B" w:rsidRPr="000B7E48">
        <w:t xml:space="preserve">the </w:t>
      </w:r>
      <w:r w:rsidRPr="000B7E48">
        <w:t>club employee</w:t>
      </w:r>
      <w:r w:rsidR="00A037CA" w:rsidRPr="000B7E48">
        <w:t xml:space="preserve"> or</w:t>
      </w:r>
      <w:r w:rsidRPr="000B7E48">
        <w:t xml:space="preserve"> </w:t>
      </w:r>
      <w:r w:rsidR="0025333B" w:rsidRPr="000B7E48">
        <w:t xml:space="preserve">the </w:t>
      </w:r>
      <w:r w:rsidRPr="000B7E48">
        <w:t>emergency-affected club employee.</w:t>
      </w:r>
      <w:r w:rsidR="00AB1A2A" w:rsidRPr="000B7E48">
        <w:t xml:space="preserve"> This includes any JobKeeper payments and funding received from the Diversification and Sustainability Support Fund</w:t>
      </w:r>
      <w:r w:rsidR="00F602D2" w:rsidRPr="000B7E48">
        <w:t xml:space="preserve"> (DSSF)</w:t>
      </w:r>
      <w:r w:rsidR="00AB1A2A" w:rsidRPr="000B7E48">
        <w:t>.</w:t>
      </w:r>
    </w:p>
    <w:p w14:paraId="4666D532" w14:textId="1414A650" w:rsidR="0025333B" w:rsidRDefault="0025333B" w:rsidP="00246E0C">
      <w:pPr>
        <w:jc w:val="both"/>
      </w:pPr>
    </w:p>
    <w:p w14:paraId="6D129E09" w14:textId="54C898E6" w:rsidR="002233C5" w:rsidRDefault="002233C5" w:rsidP="00246E0C">
      <w:pPr>
        <w:jc w:val="both"/>
      </w:pPr>
      <w:r>
        <w:t xml:space="preserve">Example </w:t>
      </w:r>
      <w:r w:rsidR="002F7B07">
        <w:t>1</w:t>
      </w:r>
      <w:r>
        <w:t>: A club has paid $</w:t>
      </w:r>
      <w:r w:rsidR="002F7B07">
        <w:t>45</w:t>
      </w:r>
      <w:r>
        <w:t>,000</w:t>
      </w:r>
      <w:r w:rsidR="002F7B07">
        <w:t xml:space="preserve"> in wages </w:t>
      </w:r>
      <w:r>
        <w:t>to a club maintenance employee, who worked throughout the COVID-19 closure period</w:t>
      </w:r>
      <w:r w:rsidR="002F7B07">
        <w:t xml:space="preserve"> and during the months afterwards</w:t>
      </w:r>
      <w:r>
        <w:t xml:space="preserve"> to maintain club facilities. The club claimed $19,500 in JobKeeper payments from the Commonwealth </w:t>
      </w:r>
      <w:r w:rsidR="002F7B07">
        <w:t>for this full-time employee. The club allocated $2,000 in DSSF funding received from the Territory towards the employee’s wages. The club can claim $23,500 as a community purpose contribution.</w:t>
      </w:r>
    </w:p>
    <w:p w14:paraId="690DA614" w14:textId="4BA948D2" w:rsidR="002F7B07" w:rsidRDefault="002F7B07" w:rsidP="00246E0C">
      <w:pPr>
        <w:jc w:val="both"/>
      </w:pPr>
    </w:p>
    <w:p w14:paraId="2B6E52DF" w14:textId="1CB4E2CC" w:rsidR="002F7B07" w:rsidRDefault="002F7B07" w:rsidP="002F7B07">
      <w:pPr>
        <w:jc w:val="both"/>
      </w:pPr>
      <w:r>
        <w:t>Example 2: A club has paid $10,000 in wages to an emergency-affected club employee. The club was not able to claim the JobKeeper payment for this short-term casual employee. The club allocated $8,000 of DSSF funding received from the Territory towards the employee’s wages. The club can claim $2,000 as a community purpose contribution.</w:t>
      </w:r>
    </w:p>
    <w:p w14:paraId="426E125F" w14:textId="77777777" w:rsidR="002F7B07" w:rsidRDefault="002F7B07" w:rsidP="002F7B07">
      <w:pPr>
        <w:jc w:val="both"/>
      </w:pPr>
    </w:p>
    <w:p w14:paraId="385B8E49" w14:textId="77777777" w:rsidR="002F7B07" w:rsidRDefault="002F7B07" w:rsidP="00246E0C">
      <w:pPr>
        <w:jc w:val="both"/>
      </w:pPr>
    </w:p>
    <w:p w14:paraId="27480E9B" w14:textId="12651000" w:rsidR="00EE587C" w:rsidRDefault="00EE587C" w:rsidP="00246E0C">
      <w:pPr>
        <w:jc w:val="both"/>
      </w:pPr>
    </w:p>
    <w:p w14:paraId="4A23929C" w14:textId="674CD9CC" w:rsidR="00EE587C" w:rsidRDefault="00EE587C" w:rsidP="00246E0C">
      <w:pPr>
        <w:jc w:val="both"/>
      </w:pPr>
      <w:r>
        <w:t xml:space="preserve">The </w:t>
      </w:r>
      <w:r w:rsidR="0025333B">
        <w:t xml:space="preserve">club </w:t>
      </w:r>
      <w:r>
        <w:t>must keep records of any amount paid to a club employee</w:t>
      </w:r>
      <w:r w:rsidR="00A037CA">
        <w:t xml:space="preserve"> or</w:t>
      </w:r>
      <w:r>
        <w:t xml:space="preserve"> emergency</w:t>
      </w:r>
      <w:r w:rsidR="00CF0ECD">
        <w:noBreakHyphen/>
      </w:r>
      <w:r>
        <w:t>affected club employee that is claimed as a community purpose contribution.</w:t>
      </w:r>
    </w:p>
    <w:p w14:paraId="789BDFB8" w14:textId="0EE29D78" w:rsidR="00A037CA" w:rsidRDefault="00A037CA" w:rsidP="00246E0C">
      <w:pPr>
        <w:jc w:val="both"/>
      </w:pPr>
    </w:p>
    <w:p w14:paraId="26BFAF61" w14:textId="381BC417" w:rsidR="00A037CA" w:rsidRPr="00A037CA" w:rsidRDefault="00A037CA" w:rsidP="00A037CA">
      <w:pPr>
        <w:keepNext/>
        <w:spacing w:after="120"/>
        <w:jc w:val="both"/>
        <w:rPr>
          <w:u w:val="single"/>
        </w:rPr>
      </w:pPr>
      <w:r w:rsidRPr="00A037CA">
        <w:rPr>
          <w:u w:val="single"/>
        </w:rPr>
        <w:t xml:space="preserve">Disapplication of </w:t>
      </w:r>
      <w:r w:rsidRPr="00A037CA">
        <w:rPr>
          <w:i/>
          <w:iCs/>
          <w:u w:val="single"/>
        </w:rPr>
        <w:t>Legislation Act 2001</w:t>
      </w:r>
      <w:r w:rsidRPr="00A037CA">
        <w:rPr>
          <w:u w:val="single"/>
        </w:rPr>
        <w:t>, s</w:t>
      </w:r>
      <w:r w:rsidR="00280CE2">
        <w:rPr>
          <w:u w:val="single"/>
        </w:rPr>
        <w:t>ection</w:t>
      </w:r>
      <w:r w:rsidRPr="00A037CA">
        <w:rPr>
          <w:u w:val="single"/>
        </w:rPr>
        <w:t xml:space="preserve"> 47 (6)</w:t>
      </w:r>
    </w:p>
    <w:p w14:paraId="1C89A647" w14:textId="0E7D6E6A" w:rsidR="00107940" w:rsidRDefault="00A037CA" w:rsidP="0025333B">
      <w:pPr>
        <w:jc w:val="both"/>
      </w:pPr>
      <w:r>
        <w:t xml:space="preserve">Section 47 of the </w:t>
      </w:r>
      <w:r w:rsidRPr="00234EF0">
        <w:rPr>
          <w:i/>
          <w:iCs/>
        </w:rPr>
        <w:t>Legislation Act 2001</w:t>
      </w:r>
      <w:r>
        <w:t xml:space="preserve"> </w:t>
      </w:r>
      <w:r w:rsidR="00B46063">
        <w:t xml:space="preserve">(the Legislation Act) </w:t>
      </w:r>
      <w:r>
        <w:t xml:space="preserve">provides that a statutory instrument may </w:t>
      </w:r>
      <w:r w:rsidR="00234EF0">
        <w:t>make provision about a matter by applying a law or an instrument of the ACT or another jurisdiction, including the Commonwealth.</w:t>
      </w:r>
    </w:p>
    <w:p w14:paraId="6DD7B58B" w14:textId="77E6CFDD" w:rsidR="00234EF0" w:rsidRDefault="00234EF0" w:rsidP="0025333B">
      <w:pPr>
        <w:jc w:val="both"/>
      </w:pPr>
    </w:p>
    <w:p w14:paraId="21DB66AB" w14:textId="75989426" w:rsidR="00280CE2" w:rsidRPr="00280CE2" w:rsidRDefault="00234EF0" w:rsidP="0025333B">
      <w:pPr>
        <w:jc w:val="both"/>
      </w:pPr>
      <w:r w:rsidRPr="00280CE2">
        <w:t xml:space="preserve">The </w:t>
      </w:r>
      <w:r w:rsidRPr="00280CE2">
        <w:rPr>
          <w:i/>
          <w:iCs/>
        </w:rPr>
        <w:t>Registered and Licensed Clubs Award 2010</w:t>
      </w:r>
      <w:r w:rsidRPr="00280CE2">
        <w:t xml:space="preserve"> (the Award)</w:t>
      </w:r>
      <w:r w:rsidR="00280CE2" w:rsidRPr="00280CE2">
        <w:t xml:space="preserve"> is incorporated into this instrument. The Legislation Act, s</w:t>
      </w:r>
      <w:r w:rsidR="00280CE2">
        <w:t>ection</w:t>
      </w:r>
      <w:r w:rsidR="00280CE2" w:rsidRPr="00280CE2">
        <w:t xml:space="preserve"> 47 (6) provides that an incorporated document, and any amendment or replacement of such a document, are taken to be notifiable instruments. A notifiable instrument must be notified on the legislation register under the Legislation Act. However, the Legislation Act, s</w:t>
      </w:r>
      <w:r w:rsidR="00280CE2">
        <w:t>ection</w:t>
      </w:r>
      <w:r w:rsidR="00280CE2" w:rsidRPr="00280CE2">
        <w:t xml:space="preserve"> 47 (6) may be displaced by the authorising law (the Act) or the incorporating instrument (this instrument) (see</w:t>
      </w:r>
      <w:r w:rsidR="00280CE2">
        <w:t> </w:t>
      </w:r>
      <w:r w:rsidR="00280CE2" w:rsidRPr="00280CE2">
        <w:t>s</w:t>
      </w:r>
      <w:r w:rsidR="00280CE2">
        <w:t>ection </w:t>
      </w:r>
      <w:r w:rsidR="00280CE2" w:rsidRPr="00280CE2">
        <w:t>47</w:t>
      </w:r>
      <w:r w:rsidR="00280CE2">
        <w:t> </w:t>
      </w:r>
      <w:r w:rsidR="00280CE2" w:rsidRPr="00280CE2">
        <w:t>(7)). The Legislation Act, s</w:t>
      </w:r>
      <w:r w:rsidR="005C03A7">
        <w:t>ection</w:t>
      </w:r>
      <w:r w:rsidR="00280CE2" w:rsidRPr="00280CE2">
        <w:t xml:space="preserve"> 47 (6) is displaced here for the reasons outlined below.</w:t>
      </w:r>
    </w:p>
    <w:p w14:paraId="569906B6" w14:textId="77777777" w:rsidR="00280CE2" w:rsidRDefault="00280CE2" w:rsidP="0025333B">
      <w:pPr>
        <w:jc w:val="both"/>
      </w:pPr>
    </w:p>
    <w:p w14:paraId="5E10948C" w14:textId="77777777" w:rsidR="005C03A7" w:rsidRDefault="00280CE2" w:rsidP="0025333B">
      <w:pPr>
        <w:keepLines/>
        <w:jc w:val="both"/>
      </w:pPr>
      <w:r>
        <w:t xml:space="preserve">The Award </w:t>
      </w:r>
      <w:r w:rsidR="00234EF0">
        <w:t xml:space="preserve">is a modern award under the </w:t>
      </w:r>
      <w:r w:rsidR="00234EF0">
        <w:rPr>
          <w:i/>
          <w:iCs/>
        </w:rPr>
        <w:t>Fair Work Act 2009</w:t>
      </w:r>
      <w:r w:rsidR="00234EF0">
        <w:t xml:space="preserve"> (Cwlth). Under that Act, section 168 (Varied modern award must be published), the Fair Work Commission must publish on its website, or by any other means it considers appropriate, the </w:t>
      </w:r>
      <w:r>
        <w:t>A</w:t>
      </w:r>
      <w:r w:rsidR="00234EF0">
        <w:t>ward as varied</w:t>
      </w:r>
      <w:r w:rsidR="00234EF0" w:rsidRPr="00234EF0">
        <w:t xml:space="preserve"> </w:t>
      </w:r>
      <w:r w:rsidR="00234EF0">
        <w:t xml:space="preserve">as soon as practicable. </w:t>
      </w:r>
    </w:p>
    <w:p w14:paraId="0252943C" w14:textId="77777777" w:rsidR="005C03A7" w:rsidRDefault="005C03A7" w:rsidP="00234EF0"/>
    <w:p w14:paraId="4C1EC032" w14:textId="5BF2902C" w:rsidR="00234EF0" w:rsidRDefault="005C03A7" w:rsidP="00234EF0">
      <w:r>
        <w:t>As noted in the instrument, t</w:t>
      </w:r>
      <w:r w:rsidR="00234EF0" w:rsidRPr="00234EF0">
        <w:t>he Award is available at:</w:t>
      </w:r>
      <w:r w:rsidR="00234EF0">
        <w:t xml:space="preserve"> </w:t>
      </w:r>
      <w:hyperlink r:id="rId8" w:history="1">
        <w:r w:rsidR="008C5D5B" w:rsidRPr="00DD6622">
          <w:rPr>
            <w:rStyle w:val="Hyperlink"/>
          </w:rPr>
          <w:t>https://www.fwc.gov.au/documents/documents/modern_awards/award/ma000058/default.htm</w:t>
        </w:r>
      </w:hyperlink>
      <w:r w:rsidR="00234EF0">
        <w:t>.</w:t>
      </w:r>
    </w:p>
    <w:bookmarkEnd w:id="1"/>
    <w:p w14:paraId="34313583" w14:textId="3C7B4BE8" w:rsidR="00A12C85" w:rsidRDefault="00A12C85" w:rsidP="00234EF0"/>
    <w:sectPr w:rsidR="00A12C85" w:rsidSect="00793E86">
      <w:headerReference w:type="even" r:id="rId9"/>
      <w:headerReference w:type="default" r:id="rId10"/>
      <w:footerReference w:type="even" r:id="rId11"/>
      <w:footerReference w:type="default" r:id="rId12"/>
      <w:headerReference w:type="first" r:id="rId13"/>
      <w:footerReference w:type="first" r:id="rId14"/>
      <w:pgSz w:w="11907" w:h="16840" w:code="9"/>
      <w:pgMar w:top="1197" w:right="1588" w:bottom="1276" w:left="1588" w:header="720" w:footer="720" w:gutter="0"/>
      <w:paperSrc w:first="3"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A2D2" w14:textId="77777777" w:rsidR="00F550F2" w:rsidRDefault="00F550F2">
      <w:r>
        <w:separator/>
      </w:r>
    </w:p>
  </w:endnote>
  <w:endnote w:type="continuationSeparator" w:id="0">
    <w:p w14:paraId="65782C68" w14:textId="77777777" w:rsidR="00F550F2" w:rsidRDefault="00F5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0088" w14:textId="77777777" w:rsidR="00BC22F5" w:rsidRDefault="00BC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53200"/>
      <w:docPartObj>
        <w:docPartGallery w:val="Page Numbers (Bottom of Page)"/>
        <w:docPartUnique/>
      </w:docPartObj>
    </w:sdtPr>
    <w:sdtEndPr>
      <w:rPr>
        <w:noProof/>
        <w:sz w:val="20"/>
        <w:szCs w:val="20"/>
      </w:rPr>
    </w:sdtEndPr>
    <w:sdtContent>
      <w:p w14:paraId="5D4CC0FD" w14:textId="5E6A8C2E" w:rsidR="00793E86" w:rsidRDefault="00793E86">
        <w:pPr>
          <w:pStyle w:val="Footer"/>
          <w:jc w:val="right"/>
          <w:rPr>
            <w:noProof/>
            <w:sz w:val="20"/>
            <w:szCs w:val="20"/>
          </w:rPr>
        </w:pPr>
        <w:r w:rsidRPr="00793E86">
          <w:rPr>
            <w:sz w:val="20"/>
            <w:szCs w:val="20"/>
          </w:rPr>
          <w:fldChar w:fldCharType="begin"/>
        </w:r>
        <w:r w:rsidRPr="00793E86">
          <w:rPr>
            <w:sz w:val="20"/>
            <w:szCs w:val="20"/>
          </w:rPr>
          <w:instrText xml:space="preserve"> PAGE   \* MERGEFORMAT </w:instrText>
        </w:r>
        <w:r w:rsidRPr="00793E86">
          <w:rPr>
            <w:sz w:val="20"/>
            <w:szCs w:val="20"/>
          </w:rPr>
          <w:fldChar w:fldCharType="separate"/>
        </w:r>
        <w:r w:rsidRPr="00793E86">
          <w:rPr>
            <w:noProof/>
            <w:sz w:val="20"/>
            <w:szCs w:val="20"/>
          </w:rPr>
          <w:t>2</w:t>
        </w:r>
        <w:r w:rsidRPr="00793E86">
          <w:rPr>
            <w:noProof/>
            <w:sz w:val="20"/>
            <w:szCs w:val="20"/>
          </w:rPr>
          <w:fldChar w:fldCharType="end"/>
        </w:r>
      </w:p>
    </w:sdtContent>
  </w:sdt>
  <w:p w14:paraId="3890B6E0" w14:textId="22C47403" w:rsidR="00BC22F5" w:rsidRPr="00BC22F5" w:rsidRDefault="00BC22F5" w:rsidP="00BC22F5">
    <w:pPr>
      <w:pStyle w:val="Footer"/>
      <w:jc w:val="center"/>
      <w:rPr>
        <w:rFonts w:ascii="Arial" w:hAnsi="Arial" w:cs="Arial"/>
        <w:sz w:val="14"/>
        <w:szCs w:val="20"/>
      </w:rPr>
    </w:pPr>
    <w:r w:rsidRPr="00BC22F5">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1B0A" w14:textId="33E11EE2" w:rsidR="00BC22F5" w:rsidRPr="00BC22F5" w:rsidRDefault="00BC22F5" w:rsidP="00BC22F5">
    <w:pPr>
      <w:pStyle w:val="Footer"/>
      <w:jc w:val="center"/>
      <w:rPr>
        <w:rFonts w:ascii="Arial" w:hAnsi="Arial" w:cs="Arial"/>
        <w:sz w:val="14"/>
      </w:rPr>
    </w:pPr>
    <w:r w:rsidRPr="00BC22F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BB5D" w14:textId="77777777" w:rsidR="00F550F2" w:rsidRDefault="00F550F2">
      <w:r>
        <w:separator/>
      </w:r>
    </w:p>
  </w:footnote>
  <w:footnote w:type="continuationSeparator" w:id="0">
    <w:p w14:paraId="789B6DC5" w14:textId="77777777" w:rsidR="00F550F2" w:rsidRDefault="00F5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1DFF" w14:textId="77777777" w:rsidR="00BC22F5" w:rsidRDefault="00BC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A2A2" w14:textId="77777777" w:rsidR="00BC22F5" w:rsidRDefault="00BC2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47DC" w14:textId="77777777" w:rsidR="00BC22F5" w:rsidRDefault="00BC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8AB"/>
    <w:multiLevelType w:val="hybridMultilevel"/>
    <w:tmpl w:val="FCEA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7075A"/>
    <w:multiLevelType w:val="hybridMultilevel"/>
    <w:tmpl w:val="403CA8CE"/>
    <w:lvl w:ilvl="0" w:tplc="FAAC2F56">
      <w:start w:val="3"/>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8D0927"/>
    <w:multiLevelType w:val="hybridMultilevel"/>
    <w:tmpl w:val="3E663EB4"/>
    <w:lvl w:ilvl="0" w:tplc="0D04CFCC">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E5993"/>
    <w:multiLevelType w:val="hybridMultilevel"/>
    <w:tmpl w:val="75B28CEA"/>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145732"/>
    <w:multiLevelType w:val="hybridMultilevel"/>
    <w:tmpl w:val="BE28BD58"/>
    <w:lvl w:ilvl="0" w:tplc="042686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E193B5D"/>
    <w:multiLevelType w:val="hybridMultilevel"/>
    <w:tmpl w:val="A4EA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D2C09AE"/>
    <w:multiLevelType w:val="hybridMultilevel"/>
    <w:tmpl w:val="BA2CCF88"/>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FC217CE"/>
    <w:multiLevelType w:val="multilevel"/>
    <w:tmpl w:val="B900C3FA"/>
    <w:lvl w:ilvl="0">
      <w:start w:val="7"/>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6"/>
  </w:num>
  <w:num w:numId="2">
    <w:abstractNumId w:val="9"/>
  </w:num>
  <w:num w:numId="3">
    <w:abstractNumId w:val="11"/>
  </w:num>
  <w:num w:numId="4">
    <w:abstractNumId w:val="8"/>
  </w:num>
  <w:num w:numId="5">
    <w:abstractNumId w:val="3"/>
  </w:num>
  <w:num w:numId="6">
    <w:abstractNumId w:val="5"/>
  </w:num>
  <w:num w:numId="7">
    <w:abstractNumId w:val="2"/>
  </w:num>
  <w:num w:numId="8">
    <w:abstractNumId w:val="0"/>
  </w:num>
  <w:num w:numId="9">
    <w:abstractNumId w:val="1"/>
  </w:num>
  <w:num w:numId="10">
    <w:abstractNumId w:val="7"/>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2B"/>
    <w:rsid w:val="00003AE4"/>
    <w:rsid w:val="00012A90"/>
    <w:rsid w:val="00015A9C"/>
    <w:rsid w:val="00020854"/>
    <w:rsid w:val="000219F4"/>
    <w:rsid w:val="00021C84"/>
    <w:rsid w:val="0002572B"/>
    <w:rsid w:val="00027139"/>
    <w:rsid w:val="000328C8"/>
    <w:rsid w:val="00063AF2"/>
    <w:rsid w:val="0009067E"/>
    <w:rsid w:val="00090BF7"/>
    <w:rsid w:val="00092BB6"/>
    <w:rsid w:val="00095BA5"/>
    <w:rsid w:val="000A396A"/>
    <w:rsid w:val="000B41F1"/>
    <w:rsid w:val="000B7E48"/>
    <w:rsid w:val="000D52F3"/>
    <w:rsid w:val="000D533F"/>
    <w:rsid w:val="000E4CF2"/>
    <w:rsid w:val="000E6864"/>
    <w:rsid w:val="000F7E31"/>
    <w:rsid w:val="001013D7"/>
    <w:rsid w:val="00103089"/>
    <w:rsid w:val="00106260"/>
    <w:rsid w:val="00106306"/>
    <w:rsid w:val="00107940"/>
    <w:rsid w:val="00110FC0"/>
    <w:rsid w:val="001168E6"/>
    <w:rsid w:val="001267B3"/>
    <w:rsid w:val="00144027"/>
    <w:rsid w:val="00144984"/>
    <w:rsid w:val="001449C6"/>
    <w:rsid w:val="00152CFD"/>
    <w:rsid w:val="00174A59"/>
    <w:rsid w:val="001955AE"/>
    <w:rsid w:val="0019751F"/>
    <w:rsid w:val="001A4183"/>
    <w:rsid w:val="001A5C1B"/>
    <w:rsid w:val="001A7856"/>
    <w:rsid w:val="001B251D"/>
    <w:rsid w:val="001B275B"/>
    <w:rsid w:val="001C704B"/>
    <w:rsid w:val="001D6A27"/>
    <w:rsid w:val="001D6F55"/>
    <w:rsid w:val="001E77F4"/>
    <w:rsid w:val="001F3822"/>
    <w:rsid w:val="001F575C"/>
    <w:rsid w:val="0020111E"/>
    <w:rsid w:val="00206F6D"/>
    <w:rsid w:val="00212423"/>
    <w:rsid w:val="0021273C"/>
    <w:rsid w:val="002233C5"/>
    <w:rsid w:val="00226E00"/>
    <w:rsid w:val="00234EF0"/>
    <w:rsid w:val="00235FAF"/>
    <w:rsid w:val="00236585"/>
    <w:rsid w:val="0023727D"/>
    <w:rsid w:val="00240E3F"/>
    <w:rsid w:val="00246E0C"/>
    <w:rsid w:val="0025333B"/>
    <w:rsid w:val="00254164"/>
    <w:rsid w:val="002615E3"/>
    <w:rsid w:val="002620DE"/>
    <w:rsid w:val="00264F68"/>
    <w:rsid w:val="00271938"/>
    <w:rsid w:val="00276E8D"/>
    <w:rsid w:val="00280CE2"/>
    <w:rsid w:val="002B0870"/>
    <w:rsid w:val="002B2389"/>
    <w:rsid w:val="002B33D0"/>
    <w:rsid w:val="002B495F"/>
    <w:rsid w:val="002B566F"/>
    <w:rsid w:val="002B77C6"/>
    <w:rsid w:val="002C7375"/>
    <w:rsid w:val="002D07EA"/>
    <w:rsid w:val="002D796F"/>
    <w:rsid w:val="002E07D3"/>
    <w:rsid w:val="002E463C"/>
    <w:rsid w:val="002F1F60"/>
    <w:rsid w:val="002F36E3"/>
    <w:rsid w:val="002F5E06"/>
    <w:rsid w:val="002F7B07"/>
    <w:rsid w:val="00301FE9"/>
    <w:rsid w:val="0031101A"/>
    <w:rsid w:val="0032588A"/>
    <w:rsid w:val="0034027A"/>
    <w:rsid w:val="00347A85"/>
    <w:rsid w:val="003547E4"/>
    <w:rsid w:val="0035756B"/>
    <w:rsid w:val="00357D95"/>
    <w:rsid w:val="00360EFB"/>
    <w:rsid w:val="00361A73"/>
    <w:rsid w:val="00365326"/>
    <w:rsid w:val="003778E2"/>
    <w:rsid w:val="0038117C"/>
    <w:rsid w:val="00391A74"/>
    <w:rsid w:val="003A5901"/>
    <w:rsid w:val="003B629D"/>
    <w:rsid w:val="003C1E9B"/>
    <w:rsid w:val="003D6C5F"/>
    <w:rsid w:val="003D7176"/>
    <w:rsid w:val="003D763E"/>
    <w:rsid w:val="003E4F88"/>
    <w:rsid w:val="003E64F5"/>
    <w:rsid w:val="003F4874"/>
    <w:rsid w:val="00403F00"/>
    <w:rsid w:val="0041060A"/>
    <w:rsid w:val="00415D57"/>
    <w:rsid w:val="004270D5"/>
    <w:rsid w:val="00440BD3"/>
    <w:rsid w:val="00440DE3"/>
    <w:rsid w:val="004432F8"/>
    <w:rsid w:val="00444673"/>
    <w:rsid w:val="0044674C"/>
    <w:rsid w:val="00451EC8"/>
    <w:rsid w:val="0045473C"/>
    <w:rsid w:val="00470E22"/>
    <w:rsid w:val="00474423"/>
    <w:rsid w:val="00475A48"/>
    <w:rsid w:val="004A0410"/>
    <w:rsid w:val="004A488D"/>
    <w:rsid w:val="004B454E"/>
    <w:rsid w:val="004C2192"/>
    <w:rsid w:val="004C4138"/>
    <w:rsid w:val="004D0EB1"/>
    <w:rsid w:val="004E3121"/>
    <w:rsid w:val="004E76A4"/>
    <w:rsid w:val="004F217D"/>
    <w:rsid w:val="00502ECF"/>
    <w:rsid w:val="005110BE"/>
    <w:rsid w:val="005117C2"/>
    <w:rsid w:val="0051546C"/>
    <w:rsid w:val="00520086"/>
    <w:rsid w:val="0052129F"/>
    <w:rsid w:val="00525744"/>
    <w:rsid w:val="0054400C"/>
    <w:rsid w:val="005467E0"/>
    <w:rsid w:val="00553699"/>
    <w:rsid w:val="0055534D"/>
    <w:rsid w:val="005559EE"/>
    <w:rsid w:val="00556C73"/>
    <w:rsid w:val="00564C14"/>
    <w:rsid w:val="00567094"/>
    <w:rsid w:val="00567B01"/>
    <w:rsid w:val="005724D1"/>
    <w:rsid w:val="00572875"/>
    <w:rsid w:val="005775A9"/>
    <w:rsid w:val="0058044A"/>
    <w:rsid w:val="00587D42"/>
    <w:rsid w:val="005A45D5"/>
    <w:rsid w:val="005A4AA8"/>
    <w:rsid w:val="005A55BF"/>
    <w:rsid w:val="005B3BC0"/>
    <w:rsid w:val="005B4918"/>
    <w:rsid w:val="005B5B42"/>
    <w:rsid w:val="005C03A7"/>
    <w:rsid w:val="005C38D4"/>
    <w:rsid w:val="005C46FA"/>
    <w:rsid w:val="005D179F"/>
    <w:rsid w:val="005D7AC6"/>
    <w:rsid w:val="005E1F6B"/>
    <w:rsid w:val="005E203B"/>
    <w:rsid w:val="005E68C0"/>
    <w:rsid w:val="005F13D5"/>
    <w:rsid w:val="00605C44"/>
    <w:rsid w:val="00613A75"/>
    <w:rsid w:val="006200D4"/>
    <w:rsid w:val="00621085"/>
    <w:rsid w:val="00630E06"/>
    <w:rsid w:val="00646E43"/>
    <w:rsid w:val="006551EF"/>
    <w:rsid w:val="006619A0"/>
    <w:rsid w:val="006700DC"/>
    <w:rsid w:val="00681150"/>
    <w:rsid w:val="006841D0"/>
    <w:rsid w:val="006866D9"/>
    <w:rsid w:val="0069477D"/>
    <w:rsid w:val="006A5EFA"/>
    <w:rsid w:val="006B21F4"/>
    <w:rsid w:val="006B3778"/>
    <w:rsid w:val="006B6270"/>
    <w:rsid w:val="006C28B5"/>
    <w:rsid w:val="006C2F7E"/>
    <w:rsid w:val="006C5A7A"/>
    <w:rsid w:val="006D05D3"/>
    <w:rsid w:val="006D11D5"/>
    <w:rsid w:val="006E0F2A"/>
    <w:rsid w:val="006F0C8B"/>
    <w:rsid w:val="006F1E1D"/>
    <w:rsid w:val="006F4FC9"/>
    <w:rsid w:val="006F7D35"/>
    <w:rsid w:val="0070440E"/>
    <w:rsid w:val="00704FBF"/>
    <w:rsid w:val="00705368"/>
    <w:rsid w:val="00712EC1"/>
    <w:rsid w:val="00714603"/>
    <w:rsid w:val="007164DD"/>
    <w:rsid w:val="007231A3"/>
    <w:rsid w:val="00723DB7"/>
    <w:rsid w:val="007260C6"/>
    <w:rsid w:val="00735326"/>
    <w:rsid w:val="00735531"/>
    <w:rsid w:val="00744AF5"/>
    <w:rsid w:val="00746834"/>
    <w:rsid w:val="0074686E"/>
    <w:rsid w:val="00761557"/>
    <w:rsid w:val="00771172"/>
    <w:rsid w:val="00774D5F"/>
    <w:rsid w:val="00792857"/>
    <w:rsid w:val="00793E86"/>
    <w:rsid w:val="00797638"/>
    <w:rsid w:val="007A0623"/>
    <w:rsid w:val="007A421A"/>
    <w:rsid w:val="007B4393"/>
    <w:rsid w:val="007B6608"/>
    <w:rsid w:val="007B6D6B"/>
    <w:rsid w:val="007C30BC"/>
    <w:rsid w:val="007D6963"/>
    <w:rsid w:val="007E2B0F"/>
    <w:rsid w:val="007E7D78"/>
    <w:rsid w:val="007F5A69"/>
    <w:rsid w:val="00801AF8"/>
    <w:rsid w:val="0080382F"/>
    <w:rsid w:val="008048F6"/>
    <w:rsid w:val="00804B90"/>
    <w:rsid w:val="008057A3"/>
    <w:rsid w:val="00807D21"/>
    <w:rsid w:val="00845E35"/>
    <w:rsid w:val="00847E72"/>
    <w:rsid w:val="00854646"/>
    <w:rsid w:val="00854772"/>
    <w:rsid w:val="008547FF"/>
    <w:rsid w:val="00860C8A"/>
    <w:rsid w:val="00860D0F"/>
    <w:rsid w:val="00863A2A"/>
    <w:rsid w:val="00874B9D"/>
    <w:rsid w:val="0087628B"/>
    <w:rsid w:val="00877B2D"/>
    <w:rsid w:val="00885462"/>
    <w:rsid w:val="00891D32"/>
    <w:rsid w:val="008A0CEC"/>
    <w:rsid w:val="008A30A3"/>
    <w:rsid w:val="008A335E"/>
    <w:rsid w:val="008A7368"/>
    <w:rsid w:val="008C15D4"/>
    <w:rsid w:val="008C5D5B"/>
    <w:rsid w:val="008D2C21"/>
    <w:rsid w:val="008E33D0"/>
    <w:rsid w:val="008E5208"/>
    <w:rsid w:val="009058EB"/>
    <w:rsid w:val="00916384"/>
    <w:rsid w:val="009168E2"/>
    <w:rsid w:val="009223D7"/>
    <w:rsid w:val="00925EB2"/>
    <w:rsid w:val="0092666E"/>
    <w:rsid w:val="00931307"/>
    <w:rsid w:val="00933A89"/>
    <w:rsid w:val="00933D69"/>
    <w:rsid w:val="0093723F"/>
    <w:rsid w:val="00940140"/>
    <w:rsid w:val="009433B8"/>
    <w:rsid w:val="009455FC"/>
    <w:rsid w:val="00947F53"/>
    <w:rsid w:val="00950945"/>
    <w:rsid w:val="0095370D"/>
    <w:rsid w:val="009574B2"/>
    <w:rsid w:val="00962E3B"/>
    <w:rsid w:val="00963D57"/>
    <w:rsid w:val="00970226"/>
    <w:rsid w:val="00972878"/>
    <w:rsid w:val="00974DB1"/>
    <w:rsid w:val="00975385"/>
    <w:rsid w:val="009962B1"/>
    <w:rsid w:val="009A1599"/>
    <w:rsid w:val="009B23A9"/>
    <w:rsid w:val="009B39D2"/>
    <w:rsid w:val="009B40A5"/>
    <w:rsid w:val="009D53C4"/>
    <w:rsid w:val="009E4385"/>
    <w:rsid w:val="00A037CA"/>
    <w:rsid w:val="00A113E9"/>
    <w:rsid w:val="00A12C85"/>
    <w:rsid w:val="00A138C6"/>
    <w:rsid w:val="00A145DD"/>
    <w:rsid w:val="00A160C5"/>
    <w:rsid w:val="00A252B7"/>
    <w:rsid w:val="00A4468B"/>
    <w:rsid w:val="00A4723F"/>
    <w:rsid w:val="00A53AE6"/>
    <w:rsid w:val="00A548B2"/>
    <w:rsid w:val="00A753C3"/>
    <w:rsid w:val="00A82C81"/>
    <w:rsid w:val="00A92006"/>
    <w:rsid w:val="00A97A86"/>
    <w:rsid w:val="00AB1A2A"/>
    <w:rsid w:val="00AB3985"/>
    <w:rsid w:val="00AB6067"/>
    <w:rsid w:val="00AC5078"/>
    <w:rsid w:val="00AC58F1"/>
    <w:rsid w:val="00AC5FD0"/>
    <w:rsid w:val="00AD2E74"/>
    <w:rsid w:val="00AD4B74"/>
    <w:rsid w:val="00AE05E4"/>
    <w:rsid w:val="00AF0BB4"/>
    <w:rsid w:val="00AF260E"/>
    <w:rsid w:val="00AF5DD3"/>
    <w:rsid w:val="00B009C3"/>
    <w:rsid w:val="00B0329C"/>
    <w:rsid w:val="00B104F0"/>
    <w:rsid w:val="00B132D3"/>
    <w:rsid w:val="00B46063"/>
    <w:rsid w:val="00B61FC0"/>
    <w:rsid w:val="00B7034A"/>
    <w:rsid w:val="00B77A07"/>
    <w:rsid w:val="00B846DB"/>
    <w:rsid w:val="00B96EA2"/>
    <w:rsid w:val="00BA62CF"/>
    <w:rsid w:val="00BB0CF5"/>
    <w:rsid w:val="00BB16CA"/>
    <w:rsid w:val="00BB38D9"/>
    <w:rsid w:val="00BB476C"/>
    <w:rsid w:val="00BB6001"/>
    <w:rsid w:val="00BB6CB9"/>
    <w:rsid w:val="00BC11BE"/>
    <w:rsid w:val="00BC20B1"/>
    <w:rsid w:val="00BC22F5"/>
    <w:rsid w:val="00BD692B"/>
    <w:rsid w:val="00BD77CA"/>
    <w:rsid w:val="00BE122B"/>
    <w:rsid w:val="00BE1ED4"/>
    <w:rsid w:val="00BE3C1E"/>
    <w:rsid w:val="00BE602F"/>
    <w:rsid w:val="00BE7337"/>
    <w:rsid w:val="00BF145F"/>
    <w:rsid w:val="00BF1857"/>
    <w:rsid w:val="00BF1867"/>
    <w:rsid w:val="00C27AA4"/>
    <w:rsid w:val="00C31580"/>
    <w:rsid w:val="00C31974"/>
    <w:rsid w:val="00C7293C"/>
    <w:rsid w:val="00C851CE"/>
    <w:rsid w:val="00C919B1"/>
    <w:rsid w:val="00CA0574"/>
    <w:rsid w:val="00CA662D"/>
    <w:rsid w:val="00CB6E09"/>
    <w:rsid w:val="00CE0DC6"/>
    <w:rsid w:val="00CE35BB"/>
    <w:rsid w:val="00CF0375"/>
    <w:rsid w:val="00CF08E1"/>
    <w:rsid w:val="00CF0ECD"/>
    <w:rsid w:val="00D06640"/>
    <w:rsid w:val="00D06FCD"/>
    <w:rsid w:val="00D10961"/>
    <w:rsid w:val="00D34B00"/>
    <w:rsid w:val="00D444E6"/>
    <w:rsid w:val="00D5394B"/>
    <w:rsid w:val="00D569F1"/>
    <w:rsid w:val="00D57830"/>
    <w:rsid w:val="00D657F4"/>
    <w:rsid w:val="00D7005F"/>
    <w:rsid w:val="00D70FEA"/>
    <w:rsid w:val="00D723A9"/>
    <w:rsid w:val="00D72B50"/>
    <w:rsid w:val="00D74E89"/>
    <w:rsid w:val="00D75B60"/>
    <w:rsid w:val="00D76E20"/>
    <w:rsid w:val="00D86025"/>
    <w:rsid w:val="00D908F1"/>
    <w:rsid w:val="00D91333"/>
    <w:rsid w:val="00DA03FA"/>
    <w:rsid w:val="00DA6026"/>
    <w:rsid w:val="00DA73CC"/>
    <w:rsid w:val="00DB2E56"/>
    <w:rsid w:val="00DB4750"/>
    <w:rsid w:val="00DD704B"/>
    <w:rsid w:val="00DE1AB8"/>
    <w:rsid w:val="00DE4337"/>
    <w:rsid w:val="00DE591C"/>
    <w:rsid w:val="00DE6DB2"/>
    <w:rsid w:val="00DF21E5"/>
    <w:rsid w:val="00DF2607"/>
    <w:rsid w:val="00DF2F46"/>
    <w:rsid w:val="00E064DD"/>
    <w:rsid w:val="00E11A01"/>
    <w:rsid w:val="00E15E24"/>
    <w:rsid w:val="00E31AF1"/>
    <w:rsid w:val="00E51479"/>
    <w:rsid w:val="00E643A8"/>
    <w:rsid w:val="00E70128"/>
    <w:rsid w:val="00E74CF9"/>
    <w:rsid w:val="00E76E62"/>
    <w:rsid w:val="00E85B84"/>
    <w:rsid w:val="00E91F7A"/>
    <w:rsid w:val="00EA04D3"/>
    <w:rsid w:val="00EB2527"/>
    <w:rsid w:val="00EB5F55"/>
    <w:rsid w:val="00EC34CD"/>
    <w:rsid w:val="00ED629D"/>
    <w:rsid w:val="00EE587C"/>
    <w:rsid w:val="00EF152D"/>
    <w:rsid w:val="00EF698D"/>
    <w:rsid w:val="00F06709"/>
    <w:rsid w:val="00F1342D"/>
    <w:rsid w:val="00F161EC"/>
    <w:rsid w:val="00F30920"/>
    <w:rsid w:val="00F3133E"/>
    <w:rsid w:val="00F353B7"/>
    <w:rsid w:val="00F40BFD"/>
    <w:rsid w:val="00F46E31"/>
    <w:rsid w:val="00F47FF6"/>
    <w:rsid w:val="00F515B4"/>
    <w:rsid w:val="00F54F39"/>
    <w:rsid w:val="00F550F2"/>
    <w:rsid w:val="00F5756B"/>
    <w:rsid w:val="00F602D2"/>
    <w:rsid w:val="00F604EE"/>
    <w:rsid w:val="00F61E27"/>
    <w:rsid w:val="00F7011A"/>
    <w:rsid w:val="00F75517"/>
    <w:rsid w:val="00F869A6"/>
    <w:rsid w:val="00F86CA2"/>
    <w:rsid w:val="00F90C96"/>
    <w:rsid w:val="00F94A69"/>
    <w:rsid w:val="00FA35AE"/>
    <w:rsid w:val="00FA4CF4"/>
    <w:rsid w:val="00FB11EF"/>
    <w:rsid w:val="00FB4447"/>
    <w:rsid w:val="00FB61C4"/>
    <w:rsid w:val="00FB759F"/>
    <w:rsid w:val="00FD19AA"/>
    <w:rsid w:val="00FD25F4"/>
    <w:rsid w:val="00FD77B2"/>
    <w:rsid w:val="00FE14C3"/>
    <w:rsid w:val="00FF15E7"/>
    <w:rsid w:val="00FF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9C7EC"/>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270"/>
    <w:rPr>
      <w:sz w:val="24"/>
      <w:szCs w:val="24"/>
      <w:lang w:eastAsia="en-US"/>
    </w:rPr>
  </w:style>
  <w:style w:type="paragraph" w:styleId="Heading1">
    <w:name w:val="heading 1"/>
    <w:basedOn w:val="Normal"/>
    <w:next w:val="Normal"/>
    <w:link w:val="Heading1Char"/>
    <w:uiPriority w:val="9"/>
    <w:qFormat/>
    <w:rsid w:val="006B6270"/>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B6270"/>
    <w:pPr>
      <w:keepNext/>
      <w:jc w:val="center"/>
      <w:outlineLvl w:val="1"/>
    </w:pPr>
    <w:rPr>
      <w:b/>
      <w:bCs/>
    </w:rPr>
  </w:style>
  <w:style w:type="paragraph" w:styleId="Heading3">
    <w:name w:val="heading 3"/>
    <w:basedOn w:val="Normal"/>
    <w:next w:val="Normal"/>
    <w:link w:val="Heading3Char"/>
    <w:uiPriority w:val="9"/>
    <w:qFormat/>
    <w:rsid w:val="006B6270"/>
    <w:pPr>
      <w:keepNext/>
      <w:outlineLvl w:val="2"/>
    </w:pPr>
    <w:rPr>
      <w:rFonts w:ascii="Arial" w:hAnsi="Arial" w:cs="Arial"/>
      <w:b/>
      <w:bCs/>
      <w:sz w:val="28"/>
      <w:szCs w:val="28"/>
    </w:rPr>
  </w:style>
  <w:style w:type="paragraph" w:styleId="Heading4">
    <w:name w:val="heading 4"/>
    <w:basedOn w:val="Normal"/>
    <w:next w:val="Normal"/>
    <w:link w:val="Heading4Char"/>
    <w:uiPriority w:val="9"/>
    <w:qFormat/>
    <w:rsid w:val="006B62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27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6B627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B627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B6270"/>
    <w:rPr>
      <w:rFonts w:ascii="Calibri" w:hAnsi="Calibri" w:cs="Times New Roman"/>
      <w:b/>
      <w:bCs/>
      <w:sz w:val="28"/>
      <w:szCs w:val="28"/>
      <w:lang w:val="x-none" w:eastAsia="en-US"/>
    </w:rPr>
  </w:style>
  <w:style w:type="paragraph" w:customStyle="1" w:styleId="Billname">
    <w:name w:val="Billname"/>
    <w:basedOn w:val="Normal"/>
    <w:rsid w:val="006B6270"/>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B6270"/>
    <w:pPr>
      <w:pBdr>
        <w:bottom w:val="single" w:sz="12" w:space="1" w:color="auto"/>
      </w:pBdr>
      <w:jc w:val="both"/>
    </w:pPr>
  </w:style>
  <w:style w:type="paragraph" w:customStyle="1" w:styleId="madeunder">
    <w:name w:val="made under"/>
    <w:basedOn w:val="Normal"/>
    <w:rsid w:val="006B6270"/>
    <w:pPr>
      <w:spacing w:before="180" w:after="60"/>
      <w:jc w:val="both"/>
    </w:pPr>
  </w:style>
  <w:style w:type="paragraph" w:customStyle="1" w:styleId="CoverActName">
    <w:name w:val="CoverActName"/>
    <w:basedOn w:val="Normal"/>
    <w:rsid w:val="006B6270"/>
    <w:pPr>
      <w:tabs>
        <w:tab w:val="left" w:pos="2600"/>
      </w:tabs>
      <w:spacing w:before="200" w:after="60"/>
      <w:jc w:val="both"/>
    </w:pPr>
    <w:rPr>
      <w:rFonts w:ascii="Arial" w:hAnsi="Arial" w:cs="Arial"/>
      <w:b/>
      <w:bCs/>
    </w:rPr>
  </w:style>
  <w:style w:type="paragraph" w:styleId="BodyTextIndent">
    <w:name w:val="Body Text Indent"/>
    <w:basedOn w:val="Normal"/>
    <w:link w:val="BodyTextIndentChar"/>
    <w:uiPriority w:val="99"/>
    <w:rsid w:val="006B6270"/>
    <w:pPr>
      <w:ind w:left="567"/>
    </w:pPr>
    <w:rPr>
      <w:rFonts w:ascii="CG Times (WN)" w:hAnsi="CG Times (WN)"/>
      <w:lang w:val="en-GB"/>
    </w:rPr>
  </w:style>
  <w:style w:type="character" w:customStyle="1" w:styleId="BodyTextIndentChar">
    <w:name w:val="Body Text Indent Char"/>
    <w:basedOn w:val="DefaultParagraphFont"/>
    <w:link w:val="BodyTextIndent"/>
    <w:uiPriority w:val="99"/>
    <w:semiHidden/>
    <w:locked/>
    <w:rsid w:val="006B6270"/>
    <w:rPr>
      <w:rFonts w:cs="Times New Roman"/>
      <w:sz w:val="24"/>
      <w:szCs w:val="24"/>
      <w:lang w:val="x-none" w:eastAsia="en-US"/>
    </w:rPr>
  </w:style>
  <w:style w:type="paragraph" w:customStyle="1" w:styleId="Amain">
    <w:name w:val="A main"/>
    <w:basedOn w:val="Normal"/>
    <w:rsid w:val="006B6270"/>
    <w:pPr>
      <w:tabs>
        <w:tab w:val="right" w:pos="500"/>
        <w:tab w:val="left" w:pos="700"/>
      </w:tabs>
      <w:spacing w:before="80" w:after="60"/>
      <w:ind w:left="700" w:hanging="700"/>
      <w:jc w:val="both"/>
      <w:outlineLvl w:val="5"/>
    </w:pPr>
  </w:style>
  <w:style w:type="paragraph" w:styleId="Header">
    <w:name w:val="header"/>
    <w:basedOn w:val="Normal"/>
    <w:link w:val="HeaderChar"/>
    <w:uiPriority w:val="99"/>
    <w:rsid w:val="006B6270"/>
    <w:pPr>
      <w:tabs>
        <w:tab w:val="center" w:pos="4153"/>
        <w:tab w:val="right" w:pos="8306"/>
      </w:tabs>
    </w:pPr>
  </w:style>
  <w:style w:type="character" w:customStyle="1" w:styleId="HeaderChar">
    <w:name w:val="Header Char"/>
    <w:basedOn w:val="DefaultParagraphFont"/>
    <w:link w:val="Header"/>
    <w:uiPriority w:val="99"/>
    <w:locked/>
    <w:rsid w:val="006B6270"/>
    <w:rPr>
      <w:rFonts w:cs="Times New Roman"/>
      <w:sz w:val="24"/>
      <w:szCs w:val="24"/>
      <w:lang w:val="x-none" w:eastAsia="en-US"/>
    </w:rPr>
  </w:style>
  <w:style w:type="paragraph" w:styleId="Footer">
    <w:name w:val="footer"/>
    <w:basedOn w:val="Normal"/>
    <w:link w:val="FooterChar"/>
    <w:uiPriority w:val="99"/>
    <w:rsid w:val="006B6270"/>
    <w:pPr>
      <w:tabs>
        <w:tab w:val="center" w:pos="4153"/>
        <w:tab w:val="right" w:pos="8306"/>
      </w:tabs>
    </w:pPr>
  </w:style>
  <w:style w:type="character" w:customStyle="1" w:styleId="FooterChar">
    <w:name w:val="Footer Char"/>
    <w:basedOn w:val="DefaultParagraphFont"/>
    <w:link w:val="Footer"/>
    <w:uiPriority w:val="99"/>
    <w:locked/>
    <w:rsid w:val="006B6270"/>
    <w:rPr>
      <w:rFonts w:cs="Times New Roman"/>
      <w:sz w:val="24"/>
      <w:szCs w:val="24"/>
      <w:lang w:val="x-none" w:eastAsia="en-US"/>
    </w:rPr>
  </w:style>
  <w:style w:type="character" w:styleId="PageNumber">
    <w:name w:val="page number"/>
    <w:basedOn w:val="DefaultParagraphFont"/>
    <w:uiPriority w:val="99"/>
    <w:rsid w:val="006B6270"/>
    <w:rPr>
      <w:rFonts w:cs="Times New Roman"/>
    </w:rPr>
  </w:style>
  <w:style w:type="paragraph" w:styleId="BalloonText">
    <w:name w:val="Balloon Text"/>
    <w:basedOn w:val="Normal"/>
    <w:link w:val="BalloonTextChar"/>
    <w:uiPriority w:val="99"/>
    <w:semiHidden/>
    <w:rsid w:val="00DB2E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270"/>
    <w:rPr>
      <w:rFonts w:ascii="Tahoma" w:hAnsi="Tahoma" w:cs="Tahoma"/>
      <w:sz w:val="16"/>
      <w:szCs w:val="16"/>
      <w:lang w:val="x-none" w:eastAsia="en-US"/>
    </w:rPr>
  </w:style>
  <w:style w:type="paragraph" w:styleId="FootnoteText">
    <w:name w:val="footnote text"/>
    <w:basedOn w:val="Normal"/>
    <w:link w:val="FootnoteTextChar"/>
    <w:uiPriority w:val="99"/>
    <w:rsid w:val="003D6C5F"/>
    <w:rPr>
      <w:sz w:val="20"/>
      <w:szCs w:val="20"/>
    </w:rPr>
  </w:style>
  <w:style w:type="character" w:customStyle="1" w:styleId="FootnoteTextChar">
    <w:name w:val="Footnote Text Char"/>
    <w:basedOn w:val="DefaultParagraphFont"/>
    <w:link w:val="FootnoteText"/>
    <w:uiPriority w:val="99"/>
    <w:locked/>
    <w:rsid w:val="003D6C5F"/>
    <w:rPr>
      <w:rFonts w:cs="Times New Roman"/>
      <w:lang w:val="x-none" w:eastAsia="en-US"/>
    </w:rPr>
  </w:style>
  <w:style w:type="character" w:styleId="FootnoteReference">
    <w:name w:val="footnote reference"/>
    <w:basedOn w:val="DefaultParagraphFont"/>
    <w:uiPriority w:val="99"/>
    <w:rsid w:val="003D6C5F"/>
    <w:rPr>
      <w:rFonts w:cs="Times New Roman"/>
      <w:vertAlign w:val="superscript"/>
    </w:rPr>
  </w:style>
  <w:style w:type="paragraph" w:styleId="ListParagraph">
    <w:name w:val="List Paragraph"/>
    <w:basedOn w:val="Normal"/>
    <w:uiPriority w:val="34"/>
    <w:qFormat/>
    <w:rsid w:val="00FE14C3"/>
    <w:pPr>
      <w:ind w:left="720"/>
    </w:pPr>
  </w:style>
  <w:style w:type="paragraph" w:customStyle="1" w:styleId="LongTitle">
    <w:name w:val="LongTitle"/>
    <w:basedOn w:val="Normal"/>
    <w:uiPriority w:val="99"/>
    <w:rsid w:val="00947F53"/>
    <w:pPr>
      <w:spacing w:before="240" w:after="60"/>
      <w:jc w:val="both"/>
    </w:pPr>
    <w:rPr>
      <w:rFonts w:eastAsiaTheme="minorEastAsia"/>
    </w:rPr>
  </w:style>
  <w:style w:type="paragraph" w:customStyle="1" w:styleId="Default">
    <w:name w:val="Default"/>
    <w:rsid w:val="001013D7"/>
    <w:pPr>
      <w:autoSpaceDE w:val="0"/>
      <w:autoSpaceDN w:val="0"/>
      <w:adjustRightInd w:val="0"/>
    </w:pPr>
    <w:rPr>
      <w:color w:val="000000"/>
      <w:sz w:val="24"/>
      <w:szCs w:val="24"/>
    </w:rPr>
  </w:style>
  <w:style w:type="paragraph" w:customStyle="1" w:styleId="xmsolistparagraph">
    <w:name w:val="x_msolistparagraph"/>
    <w:basedOn w:val="Normal"/>
    <w:rsid w:val="00BC11BE"/>
    <w:pPr>
      <w:spacing w:after="200" w:line="250" w:lineRule="atLeast"/>
      <w:ind w:left="720"/>
    </w:pPr>
    <w:rPr>
      <w:rFonts w:ascii="Calibri" w:eastAsiaTheme="minorHAnsi" w:hAnsi="Calibri" w:cs="Calibri"/>
      <w:sz w:val="22"/>
      <w:szCs w:val="22"/>
      <w:lang w:eastAsia="en-AU"/>
    </w:rPr>
  </w:style>
  <w:style w:type="character" w:styleId="Hyperlink">
    <w:name w:val="Hyperlink"/>
    <w:basedOn w:val="DefaultParagraphFont"/>
    <w:rsid w:val="00234EF0"/>
    <w:rPr>
      <w:color w:val="0000FF" w:themeColor="hyperlink"/>
      <w:u w:val="single"/>
    </w:rPr>
  </w:style>
  <w:style w:type="character" w:styleId="UnresolvedMention">
    <w:name w:val="Unresolved Mention"/>
    <w:basedOn w:val="DefaultParagraphFont"/>
    <w:uiPriority w:val="99"/>
    <w:semiHidden/>
    <w:unhideWhenUsed/>
    <w:rsid w:val="00234EF0"/>
    <w:rPr>
      <w:color w:val="605E5C"/>
      <w:shd w:val="clear" w:color="auto" w:fill="E1DFDD"/>
    </w:rPr>
  </w:style>
  <w:style w:type="paragraph" w:customStyle="1" w:styleId="aNote">
    <w:name w:val="aNote"/>
    <w:basedOn w:val="Normal"/>
    <w:link w:val="aNoteChar"/>
    <w:rsid w:val="00A12C85"/>
    <w:pPr>
      <w:spacing w:before="140"/>
      <w:ind w:left="1900" w:hanging="800"/>
      <w:jc w:val="both"/>
    </w:pPr>
    <w:rPr>
      <w:sz w:val="20"/>
      <w:szCs w:val="20"/>
    </w:rPr>
  </w:style>
  <w:style w:type="character" w:customStyle="1" w:styleId="charItals">
    <w:name w:val="charItals"/>
    <w:basedOn w:val="DefaultParagraphFont"/>
    <w:rsid w:val="00A12C85"/>
    <w:rPr>
      <w:i/>
    </w:rPr>
  </w:style>
  <w:style w:type="character" w:customStyle="1" w:styleId="aNoteChar">
    <w:name w:val="aNote Char"/>
    <w:basedOn w:val="DefaultParagraphFont"/>
    <w:link w:val="aNote"/>
    <w:locked/>
    <w:rsid w:val="00A12C85"/>
    <w:rPr>
      <w:lang w:eastAsia="en-US"/>
    </w:rPr>
  </w:style>
  <w:style w:type="character" w:customStyle="1" w:styleId="charCitHyperlinkAbbrev">
    <w:name w:val="charCitHyperlinkAbbrev"/>
    <w:basedOn w:val="Hyperlink"/>
    <w:uiPriority w:val="1"/>
    <w:rsid w:val="00A12C85"/>
    <w:rPr>
      <w:color w:val="0000FF" w:themeColor="hyperlink"/>
      <w:u w:val="none"/>
    </w:rPr>
  </w:style>
  <w:style w:type="character" w:styleId="CommentReference">
    <w:name w:val="annotation reference"/>
    <w:basedOn w:val="DefaultParagraphFont"/>
    <w:rsid w:val="005C03A7"/>
    <w:rPr>
      <w:sz w:val="16"/>
      <w:szCs w:val="16"/>
    </w:rPr>
  </w:style>
  <w:style w:type="paragraph" w:styleId="CommentText">
    <w:name w:val="annotation text"/>
    <w:basedOn w:val="Normal"/>
    <w:link w:val="CommentTextChar"/>
    <w:rsid w:val="005C03A7"/>
    <w:rPr>
      <w:sz w:val="20"/>
      <w:szCs w:val="20"/>
    </w:rPr>
  </w:style>
  <w:style w:type="character" w:customStyle="1" w:styleId="CommentTextChar">
    <w:name w:val="Comment Text Char"/>
    <w:basedOn w:val="DefaultParagraphFont"/>
    <w:link w:val="CommentText"/>
    <w:rsid w:val="005C03A7"/>
    <w:rPr>
      <w:lang w:eastAsia="en-US"/>
    </w:rPr>
  </w:style>
  <w:style w:type="paragraph" w:styleId="CommentSubject">
    <w:name w:val="annotation subject"/>
    <w:basedOn w:val="CommentText"/>
    <w:next w:val="CommentText"/>
    <w:link w:val="CommentSubjectChar"/>
    <w:rsid w:val="005C03A7"/>
    <w:rPr>
      <w:b/>
      <w:bCs/>
    </w:rPr>
  </w:style>
  <w:style w:type="character" w:customStyle="1" w:styleId="CommentSubjectChar">
    <w:name w:val="Comment Subject Char"/>
    <w:basedOn w:val="CommentTextChar"/>
    <w:link w:val="CommentSubject"/>
    <w:rsid w:val="005C03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1201">
      <w:marLeft w:val="0"/>
      <w:marRight w:val="0"/>
      <w:marTop w:val="0"/>
      <w:marBottom w:val="0"/>
      <w:divBdr>
        <w:top w:val="none" w:sz="0" w:space="0" w:color="auto"/>
        <w:left w:val="none" w:sz="0" w:space="0" w:color="auto"/>
        <w:bottom w:val="none" w:sz="0" w:space="0" w:color="auto"/>
        <w:right w:val="none" w:sz="0" w:space="0" w:color="auto"/>
      </w:divBdr>
    </w:div>
    <w:div w:id="2069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c.gov.au/documents/documents/modern_awards/award/ma000058/defaul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33BC-5674-47A1-A1DE-E5ACBC04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7724</Characters>
  <Application>Microsoft Office Word</Application>
  <DocSecurity>0</DocSecurity>
  <Lines>168</Lines>
  <Paragraphs>44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2017-05-18T06:31:00Z</cp:lastPrinted>
  <dcterms:created xsi:type="dcterms:W3CDTF">2020-06-10T05:53:00Z</dcterms:created>
  <dcterms:modified xsi:type="dcterms:W3CDTF">2020-06-10T05:53:00Z</dcterms:modified>
</cp:coreProperties>
</file>