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B9" w:rsidRDefault="00954BB9">
      <w:pPr>
        <w:pStyle w:val="Header"/>
        <w:tabs>
          <w:tab w:val="clear" w:pos="4153"/>
          <w:tab w:val="clear" w:pos="8306"/>
        </w:tabs>
        <w:spacing w:before="120"/>
        <w:rPr>
          <w:rFonts w:ascii="Arial" w:hAnsi="Arial"/>
        </w:rPr>
      </w:pPr>
      <w:bookmarkStart w:id="0" w:name="_GoBack"/>
      <w:bookmarkEnd w:id="0"/>
      <w:smartTag w:uri="urn:schemas-microsoft-com:office:smarttags" w:element="State">
        <w:smartTag w:uri="urn:schemas-microsoft-com:office:smarttags" w:element="place">
          <w:r>
            <w:rPr>
              <w:rFonts w:ascii="Arial" w:hAnsi="Arial"/>
            </w:rPr>
            <w:t>Australian Capital Territory</w:t>
          </w:r>
        </w:smartTag>
      </w:smartTag>
    </w:p>
    <w:p w:rsidR="00954BB9" w:rsidRPr="00AE30D3" w:rsidRDefault="00954BB9" w:rsidP="009C31FC">
      <w:pPr>
        <w:spacing w:before="700" w:after="100"/>
        <w:ind w:right="694"/>
        <w:rPr>
          <w:rFonts w:ascii="Arial" w:hAnsi="Arial" w:cs="Arial"/>
          <w:b/>
          <w:bCs/>
          <w:sz w:val="40"/>
          <w:szCs w:val="28"/>
        </w:rPr>
      </w:pPr>
      <w:bookmarkStart w:id="1"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AE30D3">
        <w:rPr>
          <w:rFonts w:ascii="Arial" w:hAnsi="Arial" w:cs="Arial"/>
          <w:b/>
          <w:bCs/>
          <w:sz w:val="40"/>
          <w:szCs w:val="28"/>
        </w:rPr>
        <w:t>20</w:t>
      </w:r>
      <w:bookmarkEnd w:id="1"/>
      <w:r w:rsidR="00EE01D0">
        <w:rPr>
          <w:rFonts w:ascii="Arial" w:hAnsi="Arial" w:cs="Arial"/>
          <w:b/>
          <w:bCs/>
          <w:sz w:val="40"/>
          <w:szCs w:val="28"/>
        </w:rPr>
        <w:t>20</w:t>
      </w:r>
      <w:r w:rsidR="006671E5">
        <w:rPr>
          <w:rFonts w:ascii="Arial" w:hAnsi="Arial" w:cs="Arial"/>
          <w:b/>
          <w:bCs/>
          <w:sz w:val="40"/>
          <w:szCs w:val="28"/>
        </w:rPr>
        <w:t xml:space="preserve"> (No </w:t>
      </w:r>
      <w:r w:rsidR="00F16AC5">
        <w:rPr>
          <w:rFonts w:ascii="Arial" w:hAnsi="Arial" w:cs="Arial"/>
          <w:b/>
          <w:bCs/>
          <w:sz w:val="40"/>
          <w:szCs w:val="28"/>
        </w:rPr>
        <w:t>2</w:t>
      </w:r>
      <w:r w:rsidR="006F513F" w:rsidRPr="00AE30D3">
        <w:rPr>
          <w:rFonts w:ascii="Arial" w:hAnsi="Arial" w:cs="Arial"/>
          <w:b/>
          <w:bCs/>
          <w:sz w:val="40"/>
          <w:szCs w:val="28"/>
        </w:rPr>
        <w:t>)</w:t>
      </w:r>
    </w:p>
    <w:p w:rsidR="00954BB9" w:rsidRPr="00AE30D3" w:rsidRDefault="00954BB9">
      <w:pPr>
        <w:spacing w:before="240" w:after="60"/>
        <w:rPr>
          <w:rFonts w:ascii="Arial" w:hAnsi="Arial" w:cs="Arial"/>
          <w:b/>
          <w:bCs/>
        </w:rPr>
      </w:pPr>
      <w:r w:rsidRPr="00AE30D3">
        <w:rPr>
          <w:rFonts w:ascii="Arial" w:hAnsi="Arial" w:cs="Arial"/>
          <w:b/>
          <w:bCs/>
        </w:rPr>
        <w:t xml:space="preserve">Disallowable instrument </w:t>
      </w:r>
      <w:r w:rsidRPr="00AE30D3">
        <w:rPr>
          <w:rFonts w:ascii="Arial" w:hAnsi="Arial" w:cs="Arial"/>
          <w:b/>
          <w:bCs/>
        </w:rPr>
        <w:fldChar w:fldCharType="begin"/>
      </w:r>
      <w:r w:rsidRPr="00AE30D3">
        <w:rPr>
          <w:rFonts w:ascii="Arial" w:hAnsi="Arial" w:cs="Arial"/>
          <w:b/>
          <w:bCs/>
        </w:rPr>
        <w:instrText xml:space="preserve"> DOCPROPERTY "Category"  \* MERGEFORMAT </w:instrText>
      </w:r>
      <w:r w:rsidRPr="00AE30D3">
        <w:rPr>
          <w:rFonts w:ascii="Arial" w:hAnsi="Arial" w:cs="Arial"/>
          <w:b/>
          <w:bCs/>
        </w:rPr>
        <w:fldChar w:fldCharType="separate"/>
      </w:r>
      <w:r w:rsidR="00E4735C" w:rsidRPr="00AE30D3">
        <w:rPr>
          <w:rFonts w:ascii="Arial" w:hAnsi="Arial" w:cs="Arial"/>
          <w:b/>
          <w:bCs/>
        </w:rPr>
        <w:t>DI20</w:t>
      </w:r>
      <w:r w:rsidR="00EE01D0">
        <w:rPr>
          <w:rFonts w:ascii="Arial" w:hAnsi="Arial" w:cs="Arial"/>
          <w:b/>
          <w:bCs/>
        </w:rPr>
        <w:t>20</w:t>
      </w:r>
      <w:r w:rsidRPr="00AE30D3">
        <w:rPr>
          <w:rFonts w:ascii="Arial" w:hAnsi="Arial" w:cs="Arial"/>
          <w:b/>
          <w:bCs/>
        </w:rPr>
        <w:t>-</w:t>
      </w:r>
      <w:r w:rsidRPr="00AE30D3">
        <w:rPr>
          <w:rFonts w:ascii="Arial" w:hAnsi="Arial" w:cs="Arial"/>
          <w:b/>
          <w:bCs/>
        </w:rPr>
        <w:fldChar w:fldCharType="end"/>
      </w:r>
      <w:r w:rsidR="00D24D52">
        <w:rPr>
          <w:rFonts w:ascii="Arial" w:hAnsi="Arial" w:cs="Arial"/>
          <w:b/>
          <w:bCs/>
        </w:rPr>
        <w:t>146</w:t>
      </w:r>
    </w:p>
    <w:p w:rsidR="00954BB9" w:rsidRPr="00AE30D3" w:rsidRDefault="00954BB9">
      <w:pPr>
        <w:spacing w:before="60" w:after="60"/>
        <w:rPr>
          <w:rFonts w:ascii="Arial" w:hAnsi="Arial" w:cs="Arial"/>
          <w:b/>
          <w:bCs/>
          <w:sz w:val="20"/>
        </w:rPr>
      </w:pPr>
    </w:p>
    <w:p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rsidR="00954BB9" w:rsidRPr="00AE30D3" w:rsidRDefault="00954BB9">
      <w:pPr>
        <w:pStyle w:val="N-line3"/>
        <w:pBdr>
          <w:bottom w:val="none" w:sz="0" w:space="0" w:color="auto"/>
        </w:pBdr>
      </w:pPr>
    </w:p>
    <w:p w:rsidR="00954BB9" w:rsidRPr="00AE30D3" w:rsidRDefault="00954BB9">
      <w:pPr>
        <w:pStyle w:val="BillBasic"/>
        <w:rPr>
          <w:b/>
          <w:bCs/>
        </w:rPr>
      </w:pPr>
      <w:r w:rsidRPr="00AE30D3">
        <w:rPr>
          <w:b/>
          <w:bCs/>
        </w:rPr>
        <w:t>EXPLANATORY STATEMENT</w:t>
      </w:r>
    </w:p>
    <w:p w:rsidR="00954BB9" w:rsidRPr="00AE30D3" w:rsidRDefault="00954BB9">
      <w:pPr>
        <w:pStyle w:val="N-line3"/>
        <w:pBdr>
          <w:top w:val="single" w:sz="12" w:space="1" w:color="auto"/>
          <w:bottom w:val="none" w:sz="0" w:space="0" w:color="auto"/>
        </w:pBdr>
      </w:pPr>
    </w:p>
    <w:p w:rsidR="00954BB9" w:rsidRPr="00AE30D3" w:rsidRDefault="00954BB9">
      <w:pPr>
        <w:pStyle w:val="Heading4"/>
        <w:numPr>
          <w:ilvl w:val="0"/>
          <w:numId w:val="0"/>
        </w:numPr>
        <w:spacing w:before="0" w:after="0"/>
        <w:rPr>
          <w:rFonts w:cs="Arial"/>
          <w:bCs/>
        </w:rPr>
      </w:pPr>
      <w:r w:rsidRPr="00AE30D3">
        <w:rPr>
          <w:rFonts w:cs="Arial"/>
          <w:bCs/>
        </w:rPr>
        <w:t>Legislative Context</w:t>
      </w:r>
    </w:p>
    <w:p w:rsidR="00954BB9" w:rsidRPr="00AE30D3" w:rsidRDefault="00954BB9">
      <w:pPr>
        <w:pStyle w:val="RenumProvEntries"/>
        <w:spacing w:before="0"/>
        <w:rPr>
          <w:rFonts w:ascii="Times New Roman" w:hAnsi="Times New Roman"/>
        </w:rPr>
      </w:pPr>
    </w:p>
    <w:p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rsidR="00954BB9" w:rsidRPr="00AE30D3" w:rsidRDefault="00954BB9">
      <w:pPr>
        <w:pStyle w:val="RenumProvEntries"/>
        <w:spacing w:before="0"/>
        <w:rPr>
          <w:rFonts w:ascii="Times New Roman" w:hAnsi="Times New Roman"/>
          <w:sz w:val="24"/>
          <w:szCs w:val="24"/>
        </w:rPr>
      </w:pPr>
    </w:p>
    <w:p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rsidR="00954BB9" w:rsidRPr="00AE30D3" w:rsidRDefault="00954BB9">
      <w:pPr>
        <w:pStyle w:val="Header"/>
        <w:tabs>
          <w:tab w:val="clear" w:pos="4153"/>
          <w:tab w:val="clear" w:pos="8306"/>
        </w:tabs>
      </w:pPr>
    </w:p>
    <w:p w:rsidR="00954BB9" w:rsidRPr="00AE30D3" w:rsidRDefault="00954BB9">
      <w:pPr>
        <w:pStyle w:val="Heading4"/>
        <w:numPr>
          <w:ilvl w:val="0"/>
          <w:numId w:val="0"/>
        </w:numPr>
        <w:spacing w:before="0" w:after="0"/>
        <w:rPr>
          <w:rFonts w:cs="Arial"/>
          <w:bCs/>
        </w:rPr>
      </w:pPr>
      <w:r w:rsidRPr="00AE30D3">
        <w:rPr>
          <w:rFonts w:cs="Arial"/>
          <w:bCs/>
        </w:rPr>
        <w:t>Outline</w:t>
      </w:r>
    </w:p>
    <w:p w:rsidR="00954BB9" w:rsidRPr="00AE30D3" w:rsidRDefault="00954BB9">
      <w:pPr>
        <w:pStyle w:val="RenumProvEntries"/>
        <w:spacing w:before="0"/>
        <w:rPr>
          <w:rFonts w:ascii="Times New Roman" w:hAnsi="Times New Roman"/>
          <w:sz w:val="24"/>
          <w:szCs w:val="24"/>
        </w:rPr>
      </w:pPr>
    </w:p>
    <w:p w:rsidR="00E932BB" w:rsidRDefault="002D48F1" w:rsidP="00C50855">
      <w:pPr>
        <w:ind w:right="-312"/>
      </w:pPr>
      <w:r>
        <w:t>The</w:t>
      </w:r>
      <w:r w:rsidR="00954BB9" w:rsidRPr="00AE30D3">
        <w:t xml:space="preserve"> Instrument revoke</w:t>
      </w:r>
      <w:r w:rsidR="00AF1977" w:rsidRPr="00AE30D3">
        <w:t>s dis</w:t>
      </w:r>
      <w:r w:rsidR="000201AD" w:rsidRPr="00AE30D3">
        <w:t xml:space="preserve">allowable instrument </w:t>
      </w:r>
      <w:r w:rsidR="00DF1A65">
        <w:t>DI20</w:t>
      </w:r>
      <w:r w:rsidR="00F16AC5">
        <w:t>20</w:t>
      </w:r>
      <w:r w:rsidR="007F3C7E">
        <w:t>-</w:t>
      </w:r>
      <w:r w:rsidR="00F16AC5">
        <w:t>149</w:t>
      </w:r>
      <w:r w:rsidR="00C271D7" w:rsidRPr="00AE30D3">
        <w:t xml:space="preserve"> </w:t>
      </w:r>
      <w:r w:rsidR="00964EAC" w:rsidRPr="00AE30D3">
        <w:t>which</w:t>
      </w:r>
      <w:r w:rsidR="00AF1977" w:rsidRPr="00AE30D3">
        <w:t xml:space="preserve"> </w:t>
      </w:r>
      <w:r w:rsidR="00954BB9" w:rsidRPr="00AE30D3">
        <w:t>provide</w:t>
      </w:r>
      <w:r w:rsidR="00964EAC" w:rsidRPr="00AE30D3">
        <w:t>d</w:t>
      </w:r>
      <w:r w:rsidR="00954BB9" w:rsidRPr="00AE30D3">
        <w:t xml:space="preserve"> conditions under which members may employ staff and engage consultants</w:t>
      </w:r>
      <w:r w:rsidR="00AF1977" w:rsidRPr="00AE30D3">
        <w:t xml:space="preserve"> </w:t>
      </w:r>
      <w:r w:rsidR="00BA0487">
        <w:t>or contractors, including revised salary allocations</w:t>
      </w:r>
      <w:r w:rsidR="00293F4A" w:rsidRPr="00AE30D3">
        <w:t xml:space="preserve"> </w:t>
      </w:r>
      <w:r w:rsidR="006671E5">
        <w:t>for the 20</w:t>
      </w:r>
      <w:r w:rsidR="00F16AC5">
        <w:t>20</w:t>
      </w:r>
      <w:r w:rsidR="006671E5">
        <w:t>–20</w:t>
      </w:r>
      <w:r w:rsidR="00EE01D0">
        <w:t>2</w:t>
      </w:r>
      <w:r w:rsidR="00F16AC5">
        <w:t>1</w:t>
      </w:r>
      <w:r w:rsidR="00AF1977" w:rsidRPr="00AE30D3">
        <w:t xml:space="preserve"> financial year</w:t>
      </w:r>
      <w:r w:rsidR="00954BB9" w:rsidRPr="00AE30D3">
        <w:t>.</w:t>
      </w:r>
      <w:r w:rsidR="00F67ECF" w:rsidRPr="00AE30D3">
        <w:t xml:space="preserve"> </w:t>
      </w:r>
    </w:p>
    <w:p w:rsidR="00355652" w:rsidRDefault="00355652" w:rsidP="00E22B40">
      <w:pPr>
        <w:ind w:right="-312"/>
      </w:pPr>
    </w:p>
    <w:p w:rsidR="002D48F1" w:rsidRDefault="00BA0487" w:rsidP="00E22B40">
      <w:pPr>
        <w:ind w:right="-312"/>
      </w:pPr>
      <w:r w:rsidRPr="00AE30D3">
        <w:t>The ins</w:t>
      </w:r>
      <w:r>
        <w:t xml:space="preserve">trument determines allocations </w:t>
      </w:r>
      <w:r w:rsidRPr="00AE30D3">
        <w:t xml:space="preserve">for </w:t>
      </w:r>
      <w:r>
        <w:t>non-Executive members, including a separate</w:t>
      </w:r>
      <w:r w:rsidRPr="00AE30D3">
        <w:t xml:space="preserve"> </w:t>
      </w:r>
      <w:r>
        <w:t>allocation for the Government whip and the Opposition whip, for the 20</w:t>
      </w:r>
      <w:r w:rsidR="00EE01D0">
        <w:t>20</w:t>
      </w:r>
      <w:r>
        <w:t>-202</w:t>
      </w:r>
      <w:r w:rsidR="00EE01D0">
        <w:t>1</w:t>
      </w:r>
      <w:r>
        <w:t xml:space="preserve"> </w:t>
      </w:r>
      <w:r w:rsidRPr="00AE30D3">
        <w:t xml:space="preserve">financial year. </w:t>
      </w:r>
      <w:r>
        <w:t>The allocations are expressed to operate from 1 July 20</w:t>
      </w:r>
      <w:r w:rsidR="00EE01D0">
        <w:t>20</w:t>
      </w:r>
      <w:r w:rsidR="00E932BB">
        <w:t>.</w:t>
      </w:r>
      <w:r w:rsidR="002D48F1">
        <w:t xml:space="preserve"> </w:t>
      </w:r>
    </w:p>
    <w:p w:rsidR="002D48F1" w:rsidRDefault="002D48F1" w:rsidP="002D48F1">
      <w:pPr>
        <w:ind w:right="-29"/>
      </w:pPr>
    </w:p>
    <w:p w:rsidR="00BA0487" w:rsidRPr="002D48F1" w:rsidRDefault="00BA0487" w:rsidP="002D48F1">
      <w:pPr>
        <w:ind w:right="-312"/>
      </w:pPr>
      <w:r w:rsidRPr="00F435F9">
        <w:t xml:space="preserve">The determination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determination also provides the </w:t>
      </w:r>
      <w:r>
        <w:t>authority for a</w:t>
      </w:r>
      <w:r w:rsidRPr="00F435F9">
        <w:t xml:space="preserve"> </w:t>
      </w:r>
      <w:r>
        <w:t>member</w:t>
      </w:r>
      <w:r w:rsidRPr="00F435F9">
        <w:t xml:space="preserve"> to carry over up to a maximum of 10% of </w:t>
      </w:r>
      <w:r>
        <w:t>the memb</w:t>
      </w:r>
      <w:r w:rsidRPr="00F435F9">
        <w:t>er’s salary allocation remaining unexpended</w:t>
      </w:r>
      <w:r>
        <w:t xml:space="preserve"> from the 201</w:t>
      </w:r>
      <w:r w:rsidR="00EE01D0">
        <w:t>9</w:t>
      </w:r>
      <w:r>
        <w:t>–20</w:t>
      </w:r>
      <w:r w:rsidR="00EE01D0">
        <w:t>20</w:t>
      </w:r>
      <w:r w:rsidRPr="00F435F9">
        <w:t xml:space="preserve"> financial year</w:t>
      </w:r>
      <w:r>
        <w:t>.</w:t>
      </w:r>
    </w:p>
    <w:p w:rsidR="004213BB" w:rsidRPr="00AE30D3" w:rsidRDefault="004213BB" w:rsidP="003A6CAB">
      <w:pPr>
        <w:pStyle w:val="BodyText2"/>
        <w:ind w:right="-170"/>
      </w:pPr>
    </w:p>
    <w:p w:rsidR="00954BB9" w:rsidRPr="00AE30D3" w:rsidRDefault="00954BB9">
      <w:pPr>
        <w:pStyle w:val="Heading9"/>
        <w:spacing w:before="0" w:after="0"/>
        <w:rPr>
          <w:rFonts w:cs="Arial"/>
          <w:i w:val="0"/>
          <w:iCs/>
          <w:sz w:val="24"/>
        </w:rPr>
      </w:pPr>
      <w:r w:rsidRPr="00AE30D3">
        <w:rPr>
          <w:rFonts w:cs="Arial"/>
          <w:i w:val="0"/>
          <w:iCs/>
          <w:sz w:val="24"/>
        </w:rPr>
        <w:t>Conditions</w:t>
      </w:r>
    </w:p>
    <w:p w:rsidR="00954BB9" w:rsidRPr="00AE30D3" w:rsidRDefault="00954BB9">
      <w:pPr>
        <w:pStyle w:val="Header"/>
        <w:tabs>
          <w:tab w:val="clear" w:pos="4153"/>
          <w:tab w:val="clear" w:pos="8306"/>
        </w:tabs>
        <w:rPr>
          <w:szCs w:val="24"/>
        </w:rPr>
      </w:pPr>
    </w:p>
    <w:p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as </w:t>
      </w:r>
      <w:r w:rsidR="00BA0487">
        <w:t>1 July 20</w:t>
      </w:r>
      <w:r w:rsidR="00EE01D0">
        <w:t>20</w:t>
      </w:r>
      <w:r w:rsidRPr="00AE30D3">
        <w:t>.</w:t>
      </w:r>
      <w:r w:rsidR="00032CF9" w:rsidRPr="00AE30D3">
        <w:t xml:space="preserve"> </w:t>
      </w:r>
    </w:p>
    <w:p w:rsidR="00954BB9" w:rsidRPr="00AE30D3" w:rsidRDefault="00954BB9">
      <w:pPr>
        <w:pStyle w:val="RenumProvEntries"/>
        <w:spacing w:before="0"/>
        <w:rPr>
          <w:rFonts w:ascii="Times New Roman" w:hAnsi="Times New Roman"/>
          <w:sz w:val="24"/>
          <w:szCs w:val="24"/>
        </w:rPr>
      </w:pPr>
    </w:p>
    <w:p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rsidR="00502C6C" w:rsidRPr="00121074" w:rsidRDefault="00502C6C" w:rsidP="00121074">
      <w:pPr>
        <w:pStyle w:val="RenumProvEntries"/>
        <w:spacing w:before="0"/>
        <w:rPr>
          <w:rFonts w:ascii="Times New Roman" w:hAnsi="Times New Roman"/>
        </w:rPr>
      </w:pPr>
    </w:p>
    <w:p w:rsidR="00954BB9" w:rsidRPr="00AE30D3" w:rsidRDefault="00954BB9">
      <w:r w:rsidRPr="00AE30D3">
        <w:t>Numbered clause 5 revoke</w:t>
      </w:r>
      <w:r w:rsidR="00E1396D" w:rsidRPr="00AE30D3">
        <w:t>s di</w:t>
      </w:r>
      <w:r w:rsidR="000201AD" w:rsidRPr="00AE30D3">
        <w:t xml:space="preserve">sallowable </w:t>
      </w:r>
      <w:r w:rsidR="007F3C7E">
        <w:t>instrument DI20</w:t>
      </w:r>
      <w:r w:rsidR="00F16AC5">
        <w:t>20</w:t>
      </w:r>
      <w:r w:rsidR="007F3C7E">
        <w:t>-</w:t>
      </w:r>
      <w:r w:rsidR="00F16AC5">
        <w:t>149</w:t>
      </w:r>
      <w:r w:rsidRPr="00AE30D3">
        <w:t>.</w:t>
      </w:r>
    </w:p>
    <w:p w:rsidR="00954BB9" w:rsidRDefault="00954BB9">
      <w:pPr>
        <w:pStyle w:val="RenumProvEntries"/>
        <w:spacing w:before="0"/>
        <w:rPr>
          <w:rFonts w:ascii="Times New Roman" w:hAnsi="Times New Roman"/>
          <w:sz w:val="24"/>
          <w:szCs w:val="24"/>
        </w:rPr>
      </w:pPr>
    </w:p>
    <w:p w:rsidR="000A3D54" w:rsidRPr="000A3D54" w:rsidRDefault="000A3D54" w:rsidP="0048354C">
      <w:pPr>
        <w:pStyle w:val="RenumProvEntries"/>
        <w:spacing w:before="0"/>
        <w:ind w:right="-170"/>
        <w:rPr>
          <w:rFonts w:ascii="Times New Roman" w:hAnsi="Times New Roman"/>
          <w:sz w:val="24"/>
          <w:szCs w:val="24"/>
        </w:rPr>
      </w:pPr>
      <w:r w:rsidRPr="000A3D54">
        <w:rPr>
          <w:rFonts w:ascii="Times New Roman" w:hAnsi="Times New Roman"/>
          <w:sz w:val="24"/>
          <w:szCs w:val="24"/>
        </w:rPr>
        <w:lastRenderedPageBreak/>
        <w:t>Numbered clause 6 sets that the instrument determines the conditions that apply to the hire, by members, of staff, contractors and consultants under the Act.</w:t>
      </w:r>
    </w:p>
    <w:p w:rsidR="000A3D54" w:rsidRPr="00AE30D3" w:rsidRDefault="000A3D54">
      <w:pPr>
        <w:pStyle w:val="RenumProvEntries"/>
        <w:spacing w:before="0"/>
        <w:rPr>
          <w:rFonts w:ascii="Times New Roman" w:hAnsi="Times New Roman"/>
          <w:sz w:val="24"/>
          <w:szCs w:val="24"/>
        </w:rPr>
      </w:pPr>
    </w:p>
    <w:p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The specified</w:t>
      </w:r>
      <w:r w:rsidR="007F3C7E">
        <w:t xml:space="preserve"> period commences on 1 July 20</w:t>
      </w:r>
      <w:r w:rsidR="00EE01D0">
        <w:t>20</w:t>
      </w:r>
      <w:r w:rsidR="00C763C0" w:rsidRPr="00F435F9">
        <w:t xml:space="preserve"> and ends on</w:t>
      </w:r>
      <w:r w:rsidR="007F3C7E">
        <w:t xml:space="preserve"> 30 June 202</w:t>
      </w:r>
      <w:r w:rsidR="00EE01D0">
        <w:t>1</w:t>
      </w:r>
      <w:r w:rsidR="00C763C0" w:rsidRPr="00F435F9">
        <w:t>, or the date on which the instrument is revoked, whichever is the later.</w:t>
      </w:r>
    </w:p>
    <w:p w:rsidR="00DF1A65" w:rsidRPr="00D117D4" w:rsidRDefault="00DF1A65" w:rsidP="00DF1A65">
      <w:pPr>
        <w:pStyle w:val="RenumProvEntries"/>
        <w:spacing w:before="0"/>
        <w:rPr>
          <w:rFonts w:ascii="Times New Roman" w:hAnsi="Times New Roman"/>
          <w:sz w:val="24"/>
          <w:szCs w:val="24"/>
        </w:rPr>
      </w:pPr>
    </w:p>
    <w:p w:rsidR="00DF1A65" w:rsidRDefault="00DF1A65" w:rsidP="00DF1A65">
      <w:r>
        <w:t>Numbered clause 7(2) sets that where a member holds two or more positions during this period, the conditions that apply to the period the member holds each relevant position will be considered separately.</w:t>
      </w:r>
    </w:p>
    <w:p w:rsidR="00DF1A65" w:rsidRPr="00D117D4" w:rsidRDefault="00DF1A65" w:rsidP="00DF1A65">
      <w:pPr>
        <w:pStyle w:val="RenumProvEntries"/>
        <w:spacing w:before="0"/>
        <w:rPr>
          <w:rFonts w:ascii="Times New Roman" w:hAnsi="Times New Roman"/>
          <w:sz w:val="24"/>
          <w:szCs w:val="24"/>
        </w:rPr>
      </w:pPr>
    </w:p>
    <w:p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rsidR="00DF1A65" w:rsidRPr="00D117D4" w:rsidRDefault="00DF1A65" w:rsidP="00DF1A65">
      <w:pPr>
        <w:pStyle w:val="RenumProvEntries"/>
        <w:spacing w:before="0"/>
        <w:rPr>
          <w:rFonts w:ascii="Times New Roman" w:hAnsi="Times New Roman"/>
          <w:sz w:val="24"/>
          <w:szCs w:val="24"/>
        </w:rPr>
      </w:pPr>
    </w:p>
    <w:p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the 201</w:t>
      </w:r>
      <w:r w:rsidR="00DC245B">
        <w:t>9</w:t>
      </w:r>
      <w:r w:rsidR="007F3C7E">
        <w:t>–20</w:t>
      </w:r>
      <w:r w:rsidR="00DC245B">
        <w:t>20</w:t>
      </w:r>
      <w:r>
        <w:t xml:space="preserve"> financial year.  </w:t>
      </w:r>
    </w:p>
    <w:p w:rsidR="00422F26" w:rsidRDefault="00422F26" w:rsidP="00DF1A65">
      <w:pPr>
        <w:ind w:right="-47"/>
      </w:pPr>
    </w:p>
    <w:p w:rsidR="00DF1A65" w:rsidRDefault="00DF1A65" w:rsidP="0048354C">
      <w:pPr>
        <w:ind w:right="-170"/>
      </w:pPr>
      <w:r>
        <w:t>Numbered clause 8(3) limits the carry over to no more than 10% of the member’s annua</w:t>
      </w:r>
      <w:r w:rsidR="007F3C7E">
        <w:t>l salary allocation for the 201</w:t>
      </w:r>
      <w:r w:rsidR="00DC245B">
        <w:t>9</w:t>
      </w:r>
      <w:r w:rsidR="007F3C7E">
        <w:t>–20</w:t>
      </w:r>
      <w:r w:rsidR="00DC245B">
        <w:t>20</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rsidR="00DF1A65" w:rsidRDefault="00DF1A65" w:rsidP="00DF1A65"/>
    <w:p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rsidR="00422F26" w:rsidRDefault="00422F26" w:rsidP="00422F26">
      <w:pPr>
        <w:pStyle w:val="BodyText3"/>
      </w:pPr>
    </w:p>
    <w:p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rsidR="001E40F2" w:rsidRDefault="001E40F2" w:rsidP="001E40F2"/>
    <w:p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rsidR="00F44650" w:rsidRPr="00AE30D3" w:rsidRDefault="00F44650" w:rsidP="001E40F2"/>
    <w:p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rsidR="00F44650" w:rsidRPr="00AE30D3" w:rsidRDefault="00F44650" w:rsidP="001E40F2"/>
    <w:p w:rsidR="00E22B40" w:rsidRDefault="006E5361" w:rsidP="00130F9C">
      <w:pPr>
        <w:pStyle w:val="BillBasic"/>
        <w:spacing w:before="0" w:after="0"/>
        <w:ind w:right="-596"/>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determination</w:t>
      </w:r>
      <w:r w:rsidR="008A31DC">
        <w:t xml:space="preserve"> for the 20</w:t>
      </w:r>
      <w:r w:rsidR="00DC245B">
        <w:t>20</w:t>
      </w:r>
      <w:r w:rsidR="008A31DC">
        <w:t>-202</w:t>
      </w:r>
      <w:r w:rsidR="00DC245B">
        <w:t>1</w:t>
      </w:r>
      <w:r w:rsidR="008A31DC">
        <w:t xml:space="preserve"> financial year, which includes</w:t>
      </w:r>
      <w:r w:rsidR="0048354C">
        <w:t xml:space="preserve"> </w:t>
      </w:r>
      <w:r w:rsidR="00985AA4">
        <w:t xml:space="preserve">a separate allocation for members who have been designated to perform the role of the </w:t>
      </w:r>
      <w:r w:rsidR="00C5480C">
        <w:t>Government whip and</w:t>
      </w:r>
      <w:r w:rsidR="00112211">
        <w:t xml:space="preserve"> </w:t>
      </w:r>
      <w:r w:rsidR="00985AA4">
        <w:t xml:space="preserve">the </w:t>
      </w:r>
      <w:r w:rsidR="00112211">
        <w:t>Opposition whip.</w:t>
      </w:r>
      <w:r w:rsidR="00E22B40">
        <w:t xml:space="preserve"> </w:t>
      </w:r>
      <w:r w:rsidR="006B48CF">
        <w:t xml:space="preserve">These allocations are being amended to correct an error with the calculation of the </w:t>
      </w:r>
      <w:r w:rsidR="00130F9C">
        <w:t xml:space="preserve">salary </w:t>
      </w:r>
      <w:r w:rsidR="006B48CF">
        <w:t>allocations for Backbench members and the Government and Opposition whips.</w:t>
      </w:r>
      <w:r w:rsidR="00130F9C">
        <w:t xml:space="preserve"> The effect of these amendments are non-prejudicial as the new allocations do not come into effect until 1 July 2020.</w:t>
      </w:r>
    </w:p>
    <w:sectPr w:rsidR="00E22B40" w:rsidSect="002D48F1">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C25" w:rsidRDefault="00CA4C25">
      <w:r>
        <w:separator/>
      </w:r>
    </w:p>
  </w:endnote>
  <w:endnote w:type="continuationSeparator" w:id="0">
    <w:p w:rsidR="00CA4C25" w:rsidRDefault="00CA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tblPrEx>
        <w:tblCellMar>
          <w:top w:w="0" w:type="dxa"/>
          <w:bottom w:w="0" w:type="dxa"/>
        </w:tblCellMar>
      </w:tblPrEx>
      <w:trPr>
        <w:jc w:val="center"/>
      </w:trPr>
      <w:tc>
        <w:tcPr>
          <w:tcW w:w="1240" w:type="dxa"/>
          <w:tcBorders>
            <w:top w:val="single" w:sz="4" w:space="0" w:color="auto"/>
          </w:tcBorders>
        </w:tcPr>
        <w:p w:rsidR="00C763C0" w:rsidRDefault="00C763C0">
          <w:pPr>
            <w:pStyle w:val="Footer"/>
          </w:pPr>
        </w:p>
      </w:tc>
      <w:tc>
        <w:tcPr>
          <w:tcW w:w="4527" w:type="dxa"/>
          <w:tcBorders>
            <w:top w:val="single" w:sz="4" w:space="0" w:color="auto"/>
          </w:tcBorders>
        </w:tcPr>
        <w:p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Pr="00B7130C">
            <w:rPr>
              <w:rFonts w:cs="Arial"/>
              <w:szCs w:val="18"/>
            </w:rPr>
            <w:t>Legislative Assembly (Members’ Staff) Members’ Salary Cap Determination 20</w:t>
          </w:r>
          <w:r w:rsidR="0034581D">
            <w:rPr>
              <w:rFonts w:cs="Arial"/>
              <w:szCs w:val="18"/>
            </w:rPr>
            <w:t>18</w:t>
          </w:r>
          <w:r>
            <w:rPr>
              <w:rFonts w:cs="Arial"/>
              <w:szCs w:val="18"/>
            </w:rPr>
            <w:t xml:space="preserve"> (</w:t>
          </w:r>
          <w:r w:rsidRPr="00B4190E">
            <w:rPr>
              <w:szCs w:val="18"/>
            </w:rPr>
            <w:fldChar w:fldCharType="end"/>
          </w:r>
          <w:r w:rsidRPr="00DF1A65">
            <w:rPr>
              <w:szCs w:val="18"/>
            </w:rPr>
            <w:t>1</w:t>
          </w:r>
          <w:r>
            <w:rPr>
              <w:szCs w:val="18"/>
            </w:rPr>
            <w:t>)</w:t>
          </w:r>
        </w:p>
      </w:tc>
      <w:tc>
        <w:tcPr>
          <w:tcW w:w="1553" w:type="dxa"/>
          <w:tcBorders>
            <w:top w:val="single" w:sz="4" w:space="0" w:color="auto"/>
          </w:tcBorders>
        </w:tcPr>
        <w:p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rsidR="00C763C0" w:rsidRPr="00BA55EC" w:rsidRDefault="00BA55EC" w:rsidP="00BA55EC">
    <w:pPr>
      <w:pStyle w:val="Status"/>
      <w:rPr>
        <w:rFonts w:cs="Arial"/>
      </w:rPr>
    </w:pPr>
    <w:r w:rsidRPr="00BA55E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tblPrEx>
        <w:tblCellMar>
          <w:top w:w="0" w:type="dxa"/>
          <w:bottom w:w="0" w:type="dxa"/>
        </w:tblCellMar>
      </w:tblPrEx>
      <w:trPr>
        <w:jc w:val="center"/>
      </w:trPr>
      <w:tc>
        <w:tcPr>
          <w:tcW w:w="1553" w:type="dxa"/>
          <w:tcBorders>
            <w:top w:val="single" w:sz="4" w:space="0" w:color="auto"/>
          </w:tcBorders>
        </w:tcPr>
        <w:p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c>
        <w:tcPr>
          <w:tcW w:w="4527" w:type="dxa"/>
          <w:tcBorders>
            <w:top w:val="single" w:sz="4" w:space="0" w:color="auto"/>
          </w:tcBorders>
        </w:tcPr>
        <w:p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20</w:t>
          </w:r>
          <w:r w:rsidRPr="00344727">
            <w:rPr>
              <w:szCs w:val="18"/>
            </w:rPr>
            <w:t xml:space="preserve"> </w:t>
          </w:r>
          <w:r w:rsidR="001258E0">
            <w:rPr>
              <w:szCs w:val="18"/>
            </w:rPr>
            <w:t xml:space="preserve">(No </w:t>
          </w:r>
          <w:r w:rsidR="00F16AC5">
            <w:rPr>
              <w:szCs w:val="18"/>
            </w:rPr>
            <w:t>2</w:t>
          </w:r>
          <w:r w:rsidRPr="00AE30D3">
            <w:rPr>
              <w:szCs w:val="18"/>
            </w:rPr>
            <w:t>)</w:t>
          </w:r>
        </w:p>
      </w:tc>
      <w:tc>
        <w:tcPr>
          <w:tcW w:w="1240" w:type="dxa"/>
          <w:tcBorders>
            <w:top w:val="single" w:sz="4" w:space="0" w:color="auto"/>
          </w:tcBorders>
        </w:tcPr>
        <w:p w:rsidR="00C763C0" w:rsidRDefault="00C763C0">
          <w:pPr>
            <w:pStyle w:val="Footer"/>
            <w:jc w:val="right"/>
          </w:pPr>
        </w:p>
      </w:tc>
    </w:tr>
  </w:tbl>
  <w:p w:rsidR="00C763C0" w:rsidRPr="00BA55EC" w:rsidRDefault="00BA55EC" w:rsidP="00BA55EC">
    <w:pPr>
      <w:pStyle w:val="Status"/>
      <w:spacing w:before="0"/>
      <w:rPr>
        <w:rFonts w:cs="Arial"/>
      </w:rPr>
    </w:pPr>
    <w:r w:rsidRPr="00BA55E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Pr="00BA55EC" w:rsidRDefault="00BA55EC" w:rsidP="00BA55EC">
    <w:pPr>
      <w:pStyle w:val="Footer"/>
      <w:jc w:val="center"/>
      <w:rPr>
        <w:rFonts w:cs="Arial"/>
        <w:sz w:val="14"/>
      </w:rPr>
    </w:pPr>
    <w:r w:rsidRPr="00BA55E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C25" w:rsidRDefault="00CA4C25">
      <w:r>
        <w:separator/>
      </w:r>
    </w:p>
  </w:footnote>
  <w:footnote w:type="continuationSeparator" w:id="0">
    <w:p w:rsidR="00CA4C25" w:rsidRDefault="00CA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EC" w:rsidRDefault="00BA5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EC" w:rsidRDefault="00BA5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5EC" w:rsidRDefault="00BA5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AFD"/>
    <w:rsid w:val="0000060D"/>
    <w:rsid w:val="000201AD"/>
    <w:rsid w:val="00032CF9"/>
    <w:rsid w:val="00035A93"/>
    <w:rsid w:val="00056CF2"/>
    <w:rsid w:val="00074980"/>
    <w:rsid w:val="0007698C"/>
    <w:rsid w:val="00086B8A"/>
    <w:rsid w:val="00086F62"/>
    <w:rsid w:val="000A3D54"/>
    <w:rsid w:val="000B6F6E"/>
    <w:rsid w:val="000E7B0A"/>
    <w:rsid w:val="000F64C5"/>
    <w:rsid w:val="00112211"/>
    <w:rsid w:val="00114C7F"/>
    <w:rsid w:val="00121074"/>
    <w:rsid w:val="00124813"/>
    <w:rsid w:val="0012572F"/>
    <w:rsid w:val="001258E0"/>
    <w:rsid w:val="001302C5"/>
    <w:rsid w:val="00130F9C"/>
    <w:rsid w:val="00143712"/>
    <w:rsid w:val="001557B8"/>
    <w:rsid w:val="0017167E"/>
    <w:rsid w:val="001E04B7"/>
    <w:rsid w:val="001E40F2"/>
    <w:rsid w:val="002243DD"/>
    <w:rsid w:val="00241637"/>
    <w:rsid w:val="002419BD"/>
    <w:rsid w:val="00242A30"/>
    <w:rsid w:val="00243D2C"/>
    <w:rsid w:val="00250C0A"/>
    <w:rsid w:val="00256AC0"/>
    <w:rsid w:val="00274D26"/>
    <w:rsid w:val="00283D87"/>
    <w:rsid w:val="002840D6"/>
    <w:rsid w:val="00285D4F"/>
    <w:rsid w:val="00293F4A"/>
    <w:rsid w:val="00296529"/>
    <w:rsid w:val="002B4849"/>
    <w:rsid w:val="002B67AB"/>
    <w:rsid w:val="002C08EA"/>
    <w:rsid w:val="002C403B"/>
    <w:rsid w:val="002D48F1"/>
    <w:rsid w:val="002E63FA"/>
    <w:rsid w:val="00301F4A"/>
    <w:rsid w:val="00305E66"/>
    <w:rsid w:val="00312108"/>
    <w:rsid w:val="003144E4"/>
    <w:rsid w:val="00331FF5"/>
    <w:rsid w:val="00337F05"/>
    <w:rsid w:val="00344727"/>
    <w:rsid w:val="003448B3"/>
    <w:rsid w:val="0034581D"/>
    <w:rsid w:val="00347094"/>
    <w:rsid w:val="00355652"/>
    <w:rsid w:val="00363AFC"/>
    <w:rsid w:val="00364299"/>
    <w:rsid w:val="00375861"/>
    <w:rsid w:val="0039412A"/>
    <w:rsid w:val="003A6A10"/>
    <w:rsid w:val="003A6CAB"/>
    <w:rsid w:val="003B06F5"/>
    <w:rsid w:val="003B1E25"/>
    <w:rsid w:val="003B6F12"/>
    <w:rsid w:val="003D6CFE"/>
    <w:rsid w:val="003E3508"/>
    <w:rsid w:val="003E3BBE"/>
    <w:rsid w:val="00407703"/>
    <w:rsid w:val="004205A2"/>
    <w:rsid w:val="004213BB"/>
    <w:rsid w:val="00422F26"/>
    <w:rsid w:val="004427A7"/>
    <w:rsid w:val="004560FA"/>
    <w:rsid w:val="0045741B"/>
    <w:rsid w:val="004647A2"/>
    <w:rsid w:val="004809B2"/>
    <w:rsid w:val="0048354C"/>
    <w:rsid w:val="004848FD"/>
    <w:rsid w:val="00494546"/>
    <w:rsid w:val="004A72A3"/>
    <w:rsid w:val="004B41AC"/>
    <w:rsid w:val="004B63A2"/>
    <w:rsid w:val="004D4050"/>
    <w:rsid w:val="004F5B07"/>
    <w:rsid w:val="004F68D1"/>
    <w:rsid w:val="00502C6C"/>
    <w:rsid w:val="005071B4"/>
    <w:rsid w:val="00516117"/>
    <w:rsid w:val="00516A05"/>
    <w:rsid w:val="005175EC"/>
    <w:rsid w:val="00522131"/>
    <w:rsid w:val="00534F5B"/>
    <w:rsid w:val="00540FAB"/>
    <w:rsid w:val="00561F37"/>
    <w:rsid w:val="0056589B"/>
    <w:rsid w:val="0056669D"/>
    <w:rsid w:val="0059518C"/>
    <w:rsid w:val="00597666"/>
    <w:rsid w:val="005A10AE"/>
    <w:rsid w:val="005A1CB0"/>
    <w:rsid w:val="005A6787"/>
    <w:rsid w:val="005A7278"/>
    <w:rsid w:val="005B2CCA"/>
    <w:rsid w:val="005D4DB4"/>
    <w:rsid w:val="005D5668"/>
    <w:rsid w:val="005F3048"/>
    <w:rsid w:val="00607CCC"/>
    <w:rsid w:val="00620D70"/>
    <w:rsid w:val="006318C6"/>
    <w:rsid w:val="0063198E"/>
    <w:rsid w:val="00632ABD"/>
    <w:rsid w:val="006570C2"/>
    <w:rsid w:val="0066422F"/>
    <w:rsid w:val="006671E5"/>
    <w:rsid w:val="00676AD7"/>
    <w:rsid w:val="006836E4"/>
    <w:rsid w:val="0068677C"/>
    <w:rsid w:val="0068687E"/>
    <w:rsid w:val="006B33C3"/>
    <w:rsid w:val="006B48CF"/>
    <w:rsid w:val="006C22C5"/>
    <w:rsid w:val="006D1EE9"/>
    <w:rsid w:val="006D77A7"/>
    <w:rsid w:val="006E5361"/>
    <w:rsid w:val="006E64C9"/>
    <w:rsid w:val="006F513F"/>
    <w:rsid w:val="0072000A"/>
    <w:rsid w:val="00735778"/>
    <w:rsid w:val="00744C02"/>
    <w:rsid w:val="007605D1"/>
    <w:rsid w:val="00771651"/>
    <w:rsid w:val="007740A7"/>
    <w:rsid w:val="0078141F"/>
    <w:rsid w:val="0078298E"/>
    <w:rsid w:val="007A0266"/>
    <w:rsid w:val="007C1A42"/>
    <w:rsid w:val="007C33CA"/>
    <w:rsid w:val="007D1B51"/>
    <w:rsid w:val="007D260D"/>
    <w:rsid w:val="007D6360"/>
    <w:rsid w:val="007E632F"/>
    <w:rsid w:val="007F3C7E"/>
    <w:rsid w:val="00816993"/>
    <w:rsid w:val="00821E41"/>
    <w:rsid w:val="00825D0B"/>
    <w:rsid w:val="00836934"/>
    <w:rsid w:val="0084420E"/>
    <w:rsid w:val="00856218"/>
    <w:rsid w:val="0086486B"/>
    <w:rsid w:val="00873A1E"/>
    <w:rsid w:val="00875395"/>
    <w:rsid w:val="0088526A"/>
    <w:rsid w:val="00890D6F"/>
    <w:rsid w:val="008A31DC"/>
    <w:rsid w:val="008B53CC"/>
    <w:rsid w:val="008D1BAF"/>
    <w:rsid w:val="008E2659"/>
    <w:rsid w:val="008E6EF9"/>
    <w:rsid w:val="008F52E8"/>
    <w:rsid w:val="008F7831"/>
    <w:rsid w:val="00922915"/>
    <w:rsid w:val="009266BF"/>
    <w:rsid w:val="00930494"/>
    <w:rsid w:val="009513A0"/>
    <w:rsid w:val="00954BB9"/>
    <w:rsid w:val="0096383E"/>
    <w:rsid w:val="00964EAC"/>
    <w:rsid w:val="00966FF4"/>
    <w:rsid w:val="00977A1D"/>
    <w:rsid w:val="00985AA4"/>
    <w:rsid w:val="009945B0"/>
    <w:rsid w:val="00997821"/>
    <w:rsid w:val="009A2341"/>
    <w:rsid w:val="009A31AB"/>
    <w:rsid w:val="009C31FC"/>
    <w:rsid w:val="009D7A08"/>
    <w:rsid w:val="009F6691"/>
    <w:rsid w:val="00A03DD9"/>
    <w:rsid w:val="00A309BE"/>
    <w:rsid w:val="00A40FE7"/>
    <w:rsid w:val="00A42EB1"/>
    <w:rsid w:val="00A87AC8"/>
    <w:rsid w:val="00AA6A70"/>
    <w:rsid w:val="00AA7CE5"/>
    <w:rsid w:val="00AB2281"/>
    <w:rsid w:val="00AC7BD2"/>
    <w:rsid w:val="00AD05D0"/>
    <w:rsid w:val="00AD3BAC"/>
    <w:rsid w:val="00AD722D"/>
    <w:rsid w:val="00AE30D3"/>
    <w:rsid w:val="00AE6397"/>
    <w:rsid w:val="00AF1977"/>
    <w:rsid w:val="00B059EF"/>
    <w:rsid w:val="00B20F63"/>
    <w:rsid w:val="00B219D7"/>
    <w:rsid w:val="00B260BF"/>
    <w:rsid w:val="00B32AD9"/>
    <w:rsid w:val="00B33AA9"/>
    <w:rsid w:val="00B4190E"/>
    <w:rsid w:val="00B433E9"/>
    <w:rsid w:val="00B7130C"/>
    <w:rsid w:val="00B71695"/>
    <w:rsid w:val="00B7305C"/>
    <w:rsid w:val="00B74852"/>
    <w:rsid w:val="00B80688"/>
    <w:rsid w:val="00B80926"/>
    <w:rsid w:val="00B85CBB"/>
    <w:rsid w:val="00BA0487"/>
    <w:rsid w:val="00BA3A8E"/>
    <w:rsid w:val="00BA45AE"/>
    <w:rsid w:val="00BA55EC"/>
    <w:rsid w:val="00BB5B99"/>
    <w:rsid w:val="00BC20F6"/>
    <w:rsid w:val="00BC6B0D"/>
    <w:rsid w:val="00BD3BC2"/>
    <w:rsid w:val="00BE50A3"/>
    <w:rsid w:val="00BF4F9C"/>
    <w:rsid w:val="00C043B4"/>
    <w:rsid w:val="00C06112"/>
    <w:rsid w:val="00C120D0"/>
    <w:rsid w:val="00C271D7"/>
    <w:rsid w:val="00C31F17"/>
    <w:rsid w:val="00C3798B"/>
    <w:rsid w:val="00C45B94"/>
    <w:rsid w:val="00C50855"/>
    <w:rsid w:val="00C5480C"/>
    <w:rsid w:val="00C57D8C"/>
    <w:rsid w:val="00C61B43"/>
    <w:rsid w:val="00C705A5"/>
    <w:rsid w:val="00C763C0"/>
    <w:rsid w:val="00C901B1"/>
    <w:rsid w:val="00C9206F"/>
    <w:rsid w:val="00CA4C25"/>
    <w:rsid w:val="00CC7228"/>
    <w:rsid w:val="00CD11A7"/>
    <w:rsid w:val="00CE04CA"/>
    <w:rsid w:val="00D10A4C"/>
    <w:rsid w:val="00D117D4"/>
    <w:rsid w:val="00D11D77"/>
    <w:rsid w:val="00D24D52"/>
    <w:rsid w:val="00D318FA"/>
    <w:rsid w:val="00D4295B"/>
    <w:rsid w:val="00D431E6"/>
    <w:rsid w:val="00D83D4A"/>
    <w:rsid w:val="00D8666E"/>
    <w:rsid w:val="00D96A42"/>
    <w:rsid w:val="00DB724D"/>
    <w:rsid w:val="00DC245B"/>
    <w:rsid w:val="00DE328E"/>
    <w:rsid w:val="00DF1A65"/>
    <w:rsid w:val="00DF1F85"/>
    <w:rsid w:val="00E07834"/>
    <w:rsid w:val="00E1396D"/>
    <w:rsid w:val="00E22B40"/>
    <w:rsid w:val="00E4735C"/>
    <w:rsid w:val="00E47CA5"/>
    <w:rsid w:val="00E53CE8"/>
    <w:rsid w:val="00E56B81"/>
    <w:rsid w:val="00E900A2"/>
    <w:rsid w:val="00E932BB"/>
    <w:rsid w:val="00EA3690"/>
    <w:rsid w:val="00EA7AEF"/>
    <w:rsid w:val="00EB41A1"/>
    <w:rsid w:val="00EC3D34"/>
    <w:rsid w:val="00EC731B"/>
    <w:rsid w:val="00ED34BE"/>
    <w:rsid w:val="00EE01D0"/>
    <w:rsid w:val="00EE6A6B"/>
    <w:rsid w:val="00EF51D7"/>
    <w:rsid w:val="00F051C4"/>
    <w:rsid w:val="00F1022A"/>
    <w:rsid w:val="00F16AC5"/>
    <w:rsid w:val="00F2615D"/>
    <w:rsid w:val="00F26509"/>
    <w:rsid w:val="00F27FD2"/>
    <w:rsid w:val="00F435F9"/>
    <w:rsid w:val="00F44650"/>
    <w:rsid w:val="00F67ECF"/>
    <w:rsid w:val="00F72CF4"/>
    <w:rsid w:val="00F74AC0"/>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6E84BF6C-E0FB-49B1-BD0D-B3E943EB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4471</Characters>
  <Application>Microsoft Office Word</Application>
  <DocSecurity>0</DocSecurity>
  <Lines>127</Lines>
  <Paragraphs>82</Paragraphs>
  <ScaleCrop>false</ScaleCrop>
  <Company>ACT Government</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2016-06-13T23:43:00Z</cp:lastPrinted>
  <dcterms:created xsi:type="dcterms:W3CDTF">2020-06-19T07:04:00Z</dcterms:created>
  <dcterms:modified xsi:type="dcterms:W3CDTF">2020-06-19T07:04:00Z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