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EDE56B" w14:textId="77777777" w:rsidR="00DC14E7" w:rsidRDefault="00DC14E7" w:rsidP="00DC14E7">
      <w:pPr>
        <w:spacing w:before="120"/>
        <w:rPr>
          <w:rFonts w:ascii="Arial" w:hAnsi="Arial" w:cs="Arial"/>
        </w:rPr>
      </w:pPr>
      <w:bookmarkStart w:id="0" w:name="_Toc44738651"/>
      <w:bookmarkStart w:id="1" w:name="_GoBack"/>
      <w:bookmarkEnd w:id="1"/>
      <w:r>
        <w:rPr>
          <w:rFonts w:ascii="Arial" w:hAnsi="Arial" w:cs="Arial"/>
        </w:rPr>
        <w:t>Australian Capital Territory</w:t>
      </w:r>
    </w:p>
    <w:p w14:paraId="3086FD28" w14:textId="3FFD4B89" w:rsidR="00DC14E7" w:rsidRDefault="00DC14E7" w:rsidP="00DC14E7">
      <w:pPr>
        <w:pStyle w:val="Billname"/>
        <w:spacing w:before="700"/>
      </w:pPr>
      <w:r>
        <w:t xml:space="preserve">City Renewal Authority and Suburban Land Agency (Agency Board </w:t>
      </w:r>
      <w:r w:rsidR="00F01CF6">
        <w:t>Member</w:t>
      </w:r>
      <w:r>
        <w:t>) Appointment 2020</w:t>
      </w:r>
      <w:r w:rsidR="00D54831">
        <w:t xml:space="preserve"> (No </w:t>
      </w:r>
      <w:r w:rsidR="00813C2F">
        <w:t>3</w:t>
      </w:r>
      <w:r w:rsidR="00D54831">
        <w:t>)</w:t>
      </w:r>
    </w:p>
    <w:p w14:paraId="45AAC5B7" w14:textId="4B27E3E2" w:rsidR="00DC14E7" w:rsidRDefault="00DC14E7" w:rsidP="00DC14E7">
      <w:pPr>
        <w:spacing w:before="340"/>
        <w:rPr>
          <w:rFonts w:ascii="Arial" w:hAnsi="Arial" w:cs="Arial"/>
          <w:b/>
          <w:bCs/>
        </w:rPr>
      </w:pPr>
      <w:r>
        <w:rPr>
          <w:rFonts w:ascii="Arial" w:hAnsi="Arial" w:cs="Arial"/>
          <w:b/>
          <w:bCs/>
        </w:rPr>
        <w:t>Disallowable instrument DI2020–</w:t>
      </w:r>
      <w:r w:rsidR="00F4090E">
        <w:rPr>
          <w:rFonts w:ascii="Arial" w:hAnsi="Arial" w:cs="Arial"/>
          <w:b/>
          <w:bCs/>
        </w:rPr>
        <w:t>168</w:t>
      </w:r>
    </w:p>
    <w:p w14:paraId="436FE3AF" w14:textId="77777777" w:rsidR="00DC14E7" w:rsidRDefault="00DC14E7" w:rsidP="00DC14E7">
      <w:pPr>
        <w:pStyle w:val="madeunder"/>
        <w:spacing w:before="300" w:after="0"/>
      </w:pPr>
      <w:r>
        <w:t xml:space="preserve">made under the  </w:t>
      </w:r>
    </w:p>
    <w:p w14:paraId="367E811F" w14:textId="10EDA69C" w:rsidR="00DC14E7" w:rsidRDefault="00DC14E7" w:rsidP="00C279C7">
      <w:pPr>
        <w:pStyle w:val="CoverActName"/>
        <w:spacing w:before="320" w:after="0"/>
        <w:jc w:val="left"/>
        <w:rPr>
          <w:rFonts w:cs="Arial"/>
          <w:sz w:val="20"/>
        </w:rPr>
      </w:pPr>
      <w:r>
        <w:rPr>
          <w:rFonts w:cs="Arial"/>
          <w:sz w:val="20"/>
        </w:rPr>
        <w:t>City Renewal Authority and Suburban Land Agency Act 2017, s</w:t>
      </w:r>
      <w:r w:rsidR="00C279C7">
        <w:rPr>
          <w:rFonts w:cs="Arial"/>
          <w:sz w:val="20"/>
        </w:rPr>
        <w:t xml:space="preserve"> </w:t>
      </w:r>
      <w:r>
        <w:rPr>
          <w:rFonts w:cs="Arial"/>
          <w:sz w:val="20"/>
        </w:rPr>
        <w:t>45 (Establishment of governing board for agency)</w:t>
      </w:r>
    </w:p>
    <w:p w14:paraId="2E2C6638" w14:textId="77777777" w:rsidR="00DC14E7" w:rsidRDefault="00DC14E7" w:rsidP="00DC14E7">
      <w:pPr>
        <w:spacing w:before="360"/>
        <w:ind w:right="565"/>
        <w:rPr>
          <w:rFonts w:ascii="Arial" w:hAnsi="Arial" w:cs="Arial"/>
          <w:b/>
          <w:bCs/>
          <w:sz w:val="28"/>
          <w:szCs w:val="28"/>
        </w:rPr>
      </w:pPr>
      <w:r>
        <w:rPr>
          <w:rFonts w:ascii="Arial" w:hAnsi="Arial" w:cs="Arial"/>
          <w:b/>
          <w:bCs/>
          <w:sz w:val="28"/>
          <w:szCs w:val="28"/>
        </w:rPr>
        <w:t>EXPLANATORY STATEMENT</w:t>
      </w:r>
    </w:p>
    <w:p w14:paraId="785A31A8" w14:textId="77777777" w:rsidR="00DC14E7" w:rsidRDefault="00DC14E7" w:rsidP="00DC14E7">
      <w:pPr>
        <w:pStyle w:val="N-line3"/>
        <w:pBdr>
          <w:bottom w:val="none" w:sz="0" w:space="0" w:color="auto"/>
        </w:pBdr>
      </w:pPr>
    </w:p>
    <w:p w14:paraId="372FE687" w14:textId="77777777" w:rsidR="00DC14E7" w:rsidRDefault="00DC14E7" w:rsidP="00DC14E7">
      <w:pPr>
        <w:pStyle w:val="N-line3"/>
        <w:pBdr>
          <w:top w:val="single" w:sz="12" w:space="1" w:color="auto"/>
          <w:bottom w:val="none" w:sz="0" w:space="0" w:color="auto"/>
        </w:pBdr>
      </w:pPr>
    </w:p>
    <w:bookmarkEnd w:id="0"/>
    <w:p w14:paraId="43ABA37B" w14:textId="1C820283" w:rsidR="00DC14E7" w:rsidRDefault="00DC14E7" w:rsidP="00DC14E7">
      <w:r>
        <w:t xml:space="preserve">This explanatory </w:t>
      </w:r>
      <w:r w:rsidRPr="00DC14E7">
        <w:t xml:space="preserve">statement relates to the </w:t>
      </w:r>
      <w:r w:rsidRPr="00DC14E7">
        <w:rPr>
          <w:i/>
          <w:iCs/>
        </w:rPr>
        <w:t xml:space="preserve">City Renewal Authority and Suburban Land Agency (Agency Board </w:t>
      </w:r>
      <w:r w:rsidR="00F01CF6">
        <w:rPr>
          <w:i/>
          <w:iCs/>
        </w:rPr>
        <w:t>Member)</w:t>
      </w:r>
      <w:r w:rsidRPr="00DC14E7">
        <w:rPr>
          <w:i/>
          <w:iCs/>
        </w:rPr>
        <w:t xml:space="preserve"> Appointment 2020</w:t>
      </w:r>
      <w:r w:rsidR="00D54831">
        <w:rPr>
          <w:i/>
          <w:iCs/>
        </w:rPr>
        <w:t xml:space="preserve"> (No </w:t>
      </w:r>
      <w:r w:rsidR="00813C2F">
        <w:rPr>
          <w:i/>
          <w:iCs/>
        </w:rPr>
        <w:t>3</w:t>
      </w:r>
      <w:r w:rsidR="00D54831">
        <w:rPr>
          <w:i/>
          <w:iCs/>
        </w:rPr>
        <w:t>)</w:t>
      </w:r>
      <w:r w:rsidRPr="00DC14E7">
        <w:rPr>
          <w:i/>
          <w:iCs/>
        </w:rPr>
        <w:t xml:space="preserve"> </w:t>
      </w:r>
      <w:r w:rsidRPr="00DC14E7">
        <w:t>as</w:t>
      </w:r>
      <w:r>
        <w:t xml:space="preserve"> made by the Minister for Housing and Suburban Development and presented to the Legislative Assembly. It has been prepared in order to assist the reader of the instrument and to help inform debate on it. It does not form part of the instrument and has not been endorsed by the Legislative Assembly.</w:t>
      </w:r>
    </w:p>
    <w:p w14:paraId="2AAB88BE" w14:textId="77777777" w:rsidR="00DC14E7" w:rsidRDefault="00DC14E7" w:rsidP="00DC14E7"/>
    <w:p w14:paraId="11A99973" w14:textId="3BB82073" w:rsidR="00DC14E7" w:rsidRDefault="00DC14E7" w:rsidP="00DC14E7">
      <w:r>
        <w:t xml:space="preserve">Section 37 of the </w:t>
      </w:r>
      <w:r>
        <w:rPr>
          <w:i/>
          <w:iCs/>
        </w:rPr>
        <w:t>City Renewal Authority and Suburban Land Agency Act 2017</w:t>
      </w:r>
      <w:r>
        <w:t xml:space="preserve"> (the </w:t>
      </w:r>
      <w:r w:rsidRPr="00C279C7">
        <w:rPr>
          <w:b/>
          <w:bCs/>
          <w:i/>
          <w:iCs/>
        </w:rPr>
        <w:t>Act</w:t>
      </w:r>
      <w:r>
        <w:t xml:space="preserve">) establishes the Suburban Land Agency (the </w:t>
      </w:r>
      <w:r w:rsidR="00C279C7" w:rsidRPr="00C279C7">
        <w:rPr>
          <w:b/>
          <w:bCs/>
          <w:i/>
          <w:iCs/>
        </w:rPr>
        <w:t>a</w:t>
      </w:r>
      <w:r w:rsidRPr="00C279C7">
        <w:rPr>
          <w:b/>
          <w:bCs/>
          <w:i/>
          <w:iCs/>
        </w:rPr>
        <w:t>gency</w:t>
      </w:r>
      <w:r>
        <w:t xml:space="preserve">). Section 45 of the Act establishes the governing board for the </w:t>
      </w:r>
      <w:r w:rsidR="00C279C7">
        <w:t>a</w:t>
      </w:r>
      <w:r>
        <w:t>gency</w:t>
      </w:r>
      <w:r w:rsidR="00C279C7">
        <w:t xml:space="preserve"> (the </w:t>
      </w:r>
      <w:r w:rsidR="00C279C7" w:rsidRPr="00C279C7">
        <w:rPr>
          <w:b/>
          <w:bCs/>
          <w:i/>
          <w:iCs/>
        </w:rPr>
        <w:t>board</w:t>
      </w:r>
      <w:r w:rsidR="00C279C7">
        <w:t>)</w:t>
      </w:r>
      <w:r>
        <w:t xml:space="preserve">. For the purposes of the </w:t>
      </w:r>
      <w:r>
        <w:rPr>
          <w:i/>
          <w:iCs/>
        </w:rPr>
        <w:t xml:space="preserve">Financial Management Act 1996 </w:t>
      </w:r>
      <w:r>
        <w:t>(</w:t>
      </w:r>
      <w:r w:rsidR="00C279C7">
        <w:t xml:space="preserve">the </w:t>
      </w:r>
      <w:r w:rsidRPr="00C279C7">
        <w:rPr>
          <w:b/>
          <w:bCs/>
          <w:i/>
          <w:iCs/>
        </w:rPr>
        <w:t>FMA</w:t>
      </w:r>
      <w:r>
        <w:t xml:space="preserve">) the </w:t>
      </w:r>
      <w:r w:rsidR="00C279C7">
        <w:t>a</w:t>
      </w:r>
      <w:r>
        <w:t xml:space="preserve">gency is a territory authority, and therefore </w:t>
      </w:r>
      <w:r w:rsidR="00C279C7">
        <w:t>p</w:t>
      </w:r>
      <w:r>
        <w:t>arts 8 and 9 of the FMA apply. Section 78 (7) (b) of the FMA provides that an appointment of a member to a board of a territory authority is an appointment made under the provision of the establishing Act that establishes the governing board. In this case, section 45 of the Act is the relevant provision.</w:t>
      </w:r>
    </w:p>
    <w:p w14:paraId="32707BA3" w14:textId="77777777" w:rsidR="00DC14E7" w:rsidRDefault="00DC14E7" w:rsidP="00DC14E7"/>
    <w:p w14:paraId="2043F229" w14:textId="46C1A383" w:rsidR="00DC14E7" w:rsidRDefault="00DC14E7" w:rsidP="00DC14E7">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 (2) of the Act is represented among the appointed members. A member must have knowledge of and experience in at least one of the disciplines and area of expertise prescribed in section 48 (2) of the Act.</w:t>
      </w:r>
    </w:p>
    <w:p w14:paraId="69ADCF7B" w14:textId="77777777" w:rsidR="00DC14E7" w:rsidRDefault="00DC14E7" w:rsidP="00DC14E7"/>
    <w:p w14:paraId="4BFD918D" w14:textId="7D9205F7" w:rsidR="00DC14E7" w:rsidRDefault="00DC14E7" w:rsidP="00DC14E7">
      <w:r>
        <w:t xml:space="preserve">This instrument appoints </w:t>
      </w:r>
      <w:r w:rsidR="00C279C7">
        <w:t xml:space="preserve">Ms </w:t>
      </w:r>
      <w:r w:rsidR="00813C2F">
        <w:t>Clare Petre</w:t>
      </w:r>
      <w:r w:rsidR="00C8260C">
        <w:t xml:space="preserve"> </w:t>
      </w:r>
      <w:r>
        <w:t xml:space="preserve">to be </w:t>
      </w:r>
      <w:r w:rsidR="00F01CF6">
        <w:t xml:space="preserve">an expert member </w:t>
      </w:r>
      <w:r>
        <w:t xml:space="preserve">of the </w:t>
      </w:r>
      <w:r w:rsidR="00C279C7">
        <w:t>b</w:t>
      </w:r>
      <w:r>
        <w:t>oard for the period 23 June 2020 to 22 June 202</w:t>
      </w:r>
      <w:r w:rsidR="00813C2F">
        <w:t>0</w:t>
      </w:r>
      <w:r>
        <w:t>.</w:t>
      </w:r>
    </w:p>
    <w:p w14:paraId="59C5AF54" w14:textId="77777777" w:rsidR="00DC14E7" w:rsidRDefault="00DC14E7" w:rsidP="00DC14E7"/>
    <w:p w14:paraId="14625CFE" w14:textId="77777777" w:rsidR="00813C2F" w:rsidRPr="00813C2F" w:rsidRDefault="00813C2F" w:rsidP="00813C2F">
      <w:r w:rsidRPr="00813C2F">
        <w:lastRenderedPageBreak/>
        <w:t>Ms Petre has strong executive experience in social work gained in government and not for profit sectors early in her career, which led to her progression to the level of Energy and Water Ombudsman NSW.</w:t>
      </w:r>
    </w:p>
    <w:p w14:paraId="1C964854" w14:textId="77777777" w:rsidR="00813C2F" w:rsidRPr="00813C2F" w:rsidRDefault="00813C2F" w:rsidP="00813C2F"/>
    <w:p w14:paraId="4C618001" w14:textId="77777777" w:rsidR="00813C2F" w:rsidRPr="00813C2F" w:rsidRDefault="00813C2F" w:rsidP="00813C2F">
      <w:r w:rsidRPr="00813C2F">
        <w:t xml:space="preserve">Ms Petre also brings experience in affordable housing from her work with City West Housing and the Social Housing Tenants’ Advisory Committee for NSW. Her interest in the consumer is highlighted through her previous role on the Board of Energy Consumers Australia and as a Customer Advocate with NAB Wealth. </w:t>
      </w:r>
    </w:p>
    <w:p w14:paraId="3BB770D5" w14:textId="77777777" w:rsidR="00DC14E7" w:rsidRDefault="00DC14E7" w:rsidP="00DC14E7"/>
    <w:p w14:paraId="0C1261CF" w14:textId="56DBAE4B" w:rsidR="00C279C7" w:rsidRDefault="00C279C7" w:rsidP="00C279C7">
      <w:r>
        <w:t>Section 48 (4) of the Act provides that a member of the board must not be a public servant. Ms Petre is not a public servant.</w:t>
      </w:r>
    </w:p>
    <w:p w14:paraId="5EE129BC" w14:textId="77777777" w:rsidR="00C279C7" w:rsidRDefault="00C279C7" w:rsidP="00DC14E7"/>
    <w:p w14:paraId="07706796" w14:textId="001FCBFC" w:rsidR="00DC14E7" w:rsidRDefault="00DC14E7" w:rsidP="00DC14E7">
      <w:r>
        <w:t xml:space="preserve">Division 19.3.3 of the </w:t>
      </w:r>
      <w:r>
        <w:rPr>
          <w:i/>
          <w:iCs/>
        </w:rPr>
        <w:t xml:space="preserve">Legislation Act 2001 </w:t>
      </w:r>
      <w:r>
        <w:t>applies as M</w:t>
      </w:r>
      <w:r w:rsidR="00813C2F">
        <w:t>s</w:t>
      </w:r>
      <w:r>
        <w:t xml:space="preserve"> </w:t>
      </w:r>
      <w:r w:rsidR="00813C2F">
        <w:t xml:space="preserve">Petre </w:t>
      </w:r>
      <w:r>
        <w:t>is not a public servant, is appointed for longer than 6 months and will have functions beyond advising the Minister. In accordance with section 228 of the Legislation Act, the Standing Committee on Planning and Urban Renewal has been consulted and noted the appointment. The appointment is a disallowable instrument by operation of section 229 of the Legislation Act.</w:t>
      </w:r>
    </w:p>
    <w:p w14:paraId="7E428E8D" w14:textId="77777777" w:rsidR="00DC14E7" w:rsidRDefault="00DC14E7" w:rsidP="00DC14E7"/>
    <w:p w14:paraId="5A63A5BE" w14:textId="0E26CC0E" w:rsidR="00DC14E7" w:rsidRDefault="00DC14E7" w:rsidP="00DC14E7">
      <w:r>
        <w:t>The instrument is not likely to impose appreciable costs on the community, or part of the community and therefore a regulatory impact statement (RIS) is not required (Legislation Act, section 34), Further, a RIS is unnecessary, in accordance with the Legislation Act (s</w:t>
      </w:r>
      <w:r w:rsidR="00C279C7">
        <w:t xml:space="preserve">ection </w:t>
      </w:r>
      <w:r>
        <w:t>36</w:t>
      </w:r>
      <w:r w:rsidR="00C279C7">
        <w:t xml:space="preserve"> </w:t>
      </w:r>
      <w:r>
        <w:t>(1)</w:t>
      </w:r>
      <w:r w:rsidR="00C279C7">
        <w:t xml:space="preserve"> </w:t>
      </w:r>
      <w:r>
        <w:t>(b)), as the disallowable instrument does not operate to the disadvantage of anyone by adversely affecting the person’s rights, or imposing liabilities on the person.</w:t>
      </w:r>
    </w:p>
    <w:p w14:paraId="3BDA40DE" w14:textId="77777777" w:rsidR="00DC14E7" w:rsidRDefault="00DC14E7" w:rsidP="00DC14E7"/>
    <w:p w14:paraId="3EF74C21" w14:textId="426357F8" w:rsidR="00DC14E7" w:rsidRDefault="00DC14E7" w:rsidP="00DC14E7">
      <w:r>
        <w:t xml:space="preserve">Remuneration for the board is set by </w:t>
      </w:r>
      <w:r w:rsidR="00C279C7">
        <w:t>d</w:t>
      </w:r>
      <w:r>
        <w:t xml:space="preserve">etermination 13 of 2019 of the ACT Remuneration Tribunal and is met by the </w:t>
      </w:r>
      <w:r w:rsidR="00C279C7">
        <w:t>a</w:t>
      </w:r>
      <w:r>
        <w:t>gency budget.</w:t>
      </w:r>
    </w:p>
    <w:p w14:paraId="303072C5" w14:textId="77777777" w:rsidR="00DC14E7" w:rsidRDefault="00DC14E7" w:rsidP="00DC14E7"/>
    <w:p w14:paraId="4DAFAECE" w14:textId="77777777" w:rsidR="00DC14E7" w:rsidRDefault="00DC14E7" w:rsidP="00DC14E7">
      <w:r>
        <w:t>The instrument is consistent with the Legislative Assembly’s Scrutiny of Bills Committee Terms of Reference. In particular, the instrument:</w:t>
      </w:r>
    </w:p>
    <w:p w14:paraId="67D1FA5D" w14:textId="77777777" w:rsidR="00DC14E7" w:rsidRDefault="00DC14E7" w:rsidP="00DC14E7">
      <w:pPr>
        <w:pStyle w:val="ListParagraph"/>
        <w:numPr>
          <w:ilvl w:val="0"/>
          <w:numId w:val="10"/>
        </w:numPr>
      </w:pPr>
      <w:r>
        <w:t>Is made under a ministerial power found in the Act (see section 45 of the Act and section 78 of the FMA).</w:t>
      </w:r>
    </w:p>
    <w:p w14:paraId="7D7EA057" w14:textId="5389222F" w:rsidR="00DC14E7" w:rsidRDefault="00DC14E7" w:rsidP="00DC14E7">
      <w:pPr>
        <w:pStyle w:val="ListParagraph"/>
        <w:numPr>
          <w:ilvl w:val="0"/>
          <w:numId w:val="10"/>
        </w:numPr>
      </w:pPr>
      <w:r>
        <w:t xml:space="preserve">Is in </w:t>
      </w:r>
      <w:r w:rsidRPr="00DC14E7">
        <w:t xml:space="preserve">accordance with the general objects of the Act under which it is made. The appointment of members to the </w:t>
      </w:r>
      <w:r w:rsidR="00C279C7">
        <w:t>b</w:t>
      </w:r>
      <w:r w:rsidRPr="00DC14E7">
        <w:t>oard is integral</w:t>
      </w:r>
      <w:r>
        <w:t xml:space="preserve"> to its operation and achieving the objects of the Act.</w:t>
      </w:r>
    </w:p>
    <w:p w14:paraId="7DDA32A5" w14:textId="77777777" w:rsidR="00DC14E7" w:rsidRDefault="00DC14E7" w:rsidP="00DC14E7">
      <w:pPr>
        <w:pStyle w:val="ListParagraph"/>
        <w:numPr>
          <w:ilvl w:val="0"/>
          <w:numId w:val="10"/>
        </w:numPr>
      </w:pPr>
      <w:r>
        <w:t>Does not unduly trespass on rights previously established by law.</w:t>
      </w:r>
    </w:p>
    <w:p w14:paraId="36D5ECB0" w14:textId="242D069A" w:rsidR="00DC14E7" w:rsidRDefault="00DC14E7" w:rsidP="00DC14E7">
      <w:pPr>
        <w:pStyle w:val="ListParagraph"/>
        <w:numPr>
          <w:ilvl w:val="0"/>
          <w:numId w:val="10"/>
        </w:numPr>
      </w:pPr>
      <w:r>
        <w:t xml:space="preserve">Does </w:t>
      </w:r>
      <w:r w:rsidRPr="00DC14E7">
        <w:t xml:space="preserve">not make rights, liberties and/or obligations unduly dependent on non-reviewable decisions. The instrument enables formal appointment of a member of the </w:t>
      </w:r>
      <w:r w:rsidR="00C279C7">
        <w:t>b</w:t>
      </w:r>
      <w:r w:rsidRPr="00DC14E7">
        <w:t>oard.</w:t>
      </w:r>
    </w:p>
    <w:p w14:paraId="3BD046D6" w14:textId="77777777" w:rsidR="00707CBA" w:rsidRPr="00DC14E7" w:rsidRDefault="00707CBA" w:rsidP="00DC14E7"/>
    <w:sectPr w:rsidR="00707CBA" w:rsidRPr="00DC14E7"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6C553C" w14:textId="77777777" w:rsidR="00191969" w:rsidRDefault="00191969" w:rsidP="00C17FAB">
      <w:r>
        <w:separator/>
      </w:r>
    </w:p>
  </w:endnote>
  <w:endnote w:type="continuationSeparator" w:id="0">
    <w:p w14:paraId="4D3B7D7B" w14:textId="77777777" w:rsidR="00191969" w:rsidRDefault="0019196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7728C756" w:rsidR="00DA3B00" w:rsidRPr="0020330F" w:rsidRDefault="0020330F" w:rsidP="0020330F">
    <w:pPr>
      <w:pStyle w:val="Footer"/>
      <w:jc w:val="center"/>
      <w:rPr>
        <w:rFonts w:cs="Arial"/>
        <w:sz w:val="14"/>
      </w:rPr>
    </w:pPr>
    <w:r w:rsidRPr="0020330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26D2AF" w14:textId="77777777" w:rsidR="00191969" w:rsidRDefault="00191969" w:rsidP="00C17FAB">
      <w:r>
        <w:separator/>
      </w:r>
    </w:p>
  </w:footnote>
  <w:footnote w:type="continuationSeparator" w:id="0">
    <w:p w14:paraId="473BFB84" w14:textId="77777777" w:rsidR="00191969" w:rsidRDefault="0019196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9683A38"/>
    <w:multiLevelType w:val="hybridMultilevel"/>
    <w:tmpl w:val="7C986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8"/>
  </w:num>
  <w:num w:numId="5">
    <w:abstractNumId w:val="9"/>
  </w:num>
  <w:num w:numId="6">
    <w:abstractNumId w:val="2"/>
  </w:num>
  <w:num w:numId="7">
    <w:abstractNumId w:val="6"/>
  </w:num>
  <w:num w:numId="8">
    <w:abstractNumId w:val="7"/>
  </w:num>
  <w:num w:numId="9">
    <w:abstractNumId w:val="10"/>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16003A"/>
    <w:rsid w:val="00191969"/>
    <w:rsid w:val="001A532C"/>
    <w:rsid w:val="0020330F"/>
    <w:rsid w:val="002D7C60"/>
    <w:rsid w:val="00311702"/>
    <w:rsid w:val="003C02F1"/>
    <w:rsid w:val="003D3F80"/>
    <w:rsid w:val="003D7E13"/>
    <w:rsid w:val="00707CBA"/>
    <w:rsid w:val="007346AC"/>
    <w:rsid w:val="00813C2F"/>
    <w:rsid w:val="008D74A6"/>
    <w:rsid w:val="008E5EAA"/>
    <w:rsid w:val="009508A5"/>
    <w:rsid w:val="00956822"/>
    <w:rsid w:val="009B05EC"/>
    <w:rsid w:val="00A517CF"/>
    <w:rsid w:val="00B56C39"/>
    <w:rsid w:val="00C17FAB"/>
    <w:rsid w:val="00C279C7"/>
    <w:rsid w:val="00C8260C"/>
    <w:rsid w:val="00CA21AB"/>
    <w:rsid w:val="00CE599C"/>
    <w:rsid w:val="00D2461D"/>
    <w:rsid w:val="00D54831"/>
    <w:rsid w:val="00DA3B00"/>
    <w:rsid w:val="00DC14E7"/>
    <w:rsid w:val="00E84283"/>
    <w:rsid w:val="00F01CF6"/>
    <w:rsid w:val="00F4090E"/>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DC14E7"/>
    <w:rPr>
      <w:sz w:val="16"/>
      <w:szCs w:val="16"/>
    </w:rPr>
  </w:style>
  <w:style w:type="paragraph" w:styleId="CommentText">
    <w:name w:val="annotation text"/>
    <w:basedOn w:val="Normal"/>
    <w:link w:val="CommentTextChar"/>
    <w:uiPriority w:val="99"/>
    <w:semiHidden/>
    <w:unhideWhenUsed/>
    <w:rsid w:val="00DC14E7"/>
    <w:rPr>
      <w:sz w:val="20"/>
    </w:rPr>
  </w:style>
  <w:style w:type="character" w:customStyle="1" w:styleId="CommentTextChar">
    <w:name w:val="Comment Text Char"/>
    <w:basedOn w:val="DefaultParagraphFont"/>
    <w:link w:val="CommentText"/>
    <w:uiPriority w:val="99"/>
    <w:semiHidden/>
    <w:rsid w:val="00DC14E7"/>
    <w:rPr>
      <w:lang w:eastAsia="en-US"/>
    </w:rPr>
  </w:style>
  <w:style w:type="paragraph" w:styleId="BalloonText">
    <w:name w:val="Balloon Text"/>
    <w:basedOn w:val="Normal"/>
    <w:link w:val="BalloonTextChar"/>
    <w:uiPriority w:val="99"/>
    <w:semiHidden/>
    <w:unhideWhenUsed/>
    <w:rsid w:val="00DC14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14E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 w:id="1536845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732</Words>
  <Characters>3642</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2020-06-22T06:02:00Z</dcterms:created>
  <dcterms:modified xsi:type="dcterms:W3CDTF">2020-06-22T06:02:00Z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A25368855</vt:lpwstr>
  </property>
  <property fmtid="{D5CDD505-2E9C-101B-9397-08002B2CF9AE}" pid="4" name="Objective-Title">
    <vt:lpwstr>SLA board member Petre - Explanatory Statement</vt:lpwstr>
  </property>
  <property fmtid="{D5CDD505-2E9C-101B-9397-08002B2CF9AE}" pid="5" name="Objective-Comment">
    <vt:lpwstr/>
  </property>
  <property fmtid="{D5CDD505-2E9C-101B-9397-08002B2CF9AE}" pid="6" name="Objective-CreationStamp">
    <vt:filetime>2020-04-06T07:53:42Z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2020-04-09T04:55:12Z</vt:filetime>
  </property>
  <property fmtid="{D5CDD505-2E9C-101B-9397-08002B2CF9AE}" pid="10" name="Objective-ModificationStamp">
    <vt:filetime>2020-04-09T04:55:12Z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Assembly):2020:19/561 - Cabinet - Suburban </vt:lpwstr>
  </property>
  <property fmtid="{D5CDD505-2E9C-101B-9397-08002B2CF9AE}" pid="13" name="Objective-Parent">
    <vt:lpwstr>06. Explanatory Statements</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1-2019/31086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