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93C01" w14:textId="77777777" w:rsidR="00C17FAB" w:rsidRDefault="00C17FAB">
      <w:pPr>
        <w:spacing w:before="120"/>
        <w:rPr>
          <w:rFonts w:ascii="Arial" w:hAnsi="Arial" w:cs="Arial"/>
        </w:rPr>
      </w:pPr>
      <w:bookmarkStart w:id="0" w:name="_Toc44738651"/>
      <w:bookmarkStart w:id="1" w:name="_GoBack"/>
      <w:bookmarkEnd w:id="1"/>
      <w:r>
        <w:rPr>
          <w:rFonts w:ascii="Arial" w:hAnsi="Arial" w:cs="Arial"/>
        </w:rPr>
        <w:t>Australian Capital Territory</w:t>
      </w:r>
    </w:p>
    <w:p w14:paraId="090FE9BA" w14:textId="7F6733BF" w:rsidR="00C17FAB" w:rsidRDefault="007A6E0E">
      <w:pPr>
        <w:pStyle w:val="Billname"/>
        <w:spacing w:before="700"/>
      </w:pPr>
      <w:r>
        <w:t xml:space="preserve">Court Procedures (Fees) Determination </w:t>
      </w:r>
      <w:r w:rsidR="00EE50AE">
        <w:t>20</w:t>
      </w:r>
      <w:r w:rsidR="0023243F">
        <w:t>20</w:t>
      </w:r>
      <w:r>
        <w:t xml:space="preserve"> </w:t>
      </w:r>
      <w:r w:rsidR="00CF22FF">
        <w:t>(No 2)</w:t>
      </w:r>
    </w:p>
    <w:p w14:paraId="428645AF" w14:textId="311A8273" w:rsidR="00C17FAB" w:rsidRDefault="002D7C60" w:rsidP="00DA3B00">
      <w:pPr>
        <w:spacing w:before="340"/>
        <w:rPr>
          <w:rFonts w:ascii="Arial" w:hAnsi="Arial" w:cs="Arial"/>
          <w:b/>
          <w:bCs/>
        </w:rPr>
      </w:pPr>
      <w:r>
        <w:rPr>
          <w:rFonts w:ascii="Arial" w:hAnsi="Arial" w:cs="Arial"/>
          <w:b/>
          <w:bCs/>
        </w:rPr>
        <w:t xml:space="preserve">Disallowable instrument </w:t>
      </w:r>
      <w:r w:rsidRPr="00381798">
        <w:rPr>
          <w:rFonts w:ascii="Arial" w:hAnsi="Arial" w:cs="Arial"/>
          <w:b/>
          <w:bCs/>
        </w:rPr>
        <w:t>DI</w:t>
      </w:r>
      <w:r w:rsidR="00AB31B7" w:rsidRPr="00381798">
        <w:rPr>
          <w:rFonts w:ascii="Arial" w:hAnsi="Arial" w:cs="Arial"/>
          <w:b/>
          <w:bCs/>
        </w:rPr>
        <w:t>20</w:t>
      </w:r>
      <w:r w:rsidR="0023243F">
        <w:rPr>
          <w:rFonts w:ascii="Arial" w:hAnsi="Arial" w:cs="Arial"/>
          <w:b/>
          <w:bCs/>
        </w:rPr>
        <w:t>20</w:t>
      </w:r>
      <w:r w:rsidR="000B1FFD">
        <w:rPr>
          <w:rFonts w:ascii="Arial" w:hAnsi="Arial" w:cs="Arial"/>
          <w:b/>
          <w:bCs/>
        </w:rPr>
        <w:t>–</w:t>
      </w:r>
      <w:r w:rsidR="004B4539">
        <w:rPr>
          <w:rFonts w:ascii="Arial" w:hAnsi="Arial" w:cs="Arial"/>
          <w:b/>
          <w:bCs/>
        </w:rPr>
        <w:t>1</w:t>
      </w:r>
      <w:r w:rsidR="00D23B5F">
        <w:rPr>
          <w:rFonts w:ascii="Arial" w:hAnsi="Arial" w:cs="Arial"/>
          <w:b/>
          <w:bCs/>
        </w:rPr>
        <w:t>54</w:t>
      </w:r>
    </w:p>
    <w:p w14:paraId="342C1E7F" w14:textId="77777777" w:rsidR="00C17FAB" w:rsidRDefault="00C17FAB" w:rsidP="00DA3B00">
      <w:pPr>
        <w:pStyle w:val="madeunder"/>
        <w:spacing w:before="300" w:after="0"/>
      </w:pPr>
      <w:r>
        <w:t xml:space="preserve">made under the  </w:t>
      </w:r>
    </w:p>
    <w:p w14:paraId="1B9AB266" w14:textId="77777777" w:rsidR="00C17FAB" w:rsidRDefault="007A6E0E" w:rsidP="00DA3B00">
      <w:pPr>
        <w:pStyle w:val="CoverActName"/>
        <w:spacing w:before="320" w:after="0"/>
        <w:rPr>
          <w:rFonts w:cs="Arial"/>
          <w:sz w:val="20"/>
        </w:rPr>
      </w:pPr>
      <w:r>
        <w:rPr>
          <w:rFonts w:cs="Arial"/>
          <w:sz w:val="20"/>
        </w:rPr>
        <w:t>Court Procedures Act 2004</w:t>
      </w:r>
      <w:r w:rsidR="00AA1B34">
        <w:rPr>
          <w:rFonts w:cs="Arial"/>
          <w:sz w:val="20"/>
        </w:rPr>
        <w:t>,</w:t>
      </w:r>
      <w:r>
        <w:rPr>
          <w:rFonts w:cs="Arial"/>
          <w:sz w:val="20"/>
        </w:rPr>
        <w:t xml:space="preserve"> s</w:t>
      </w:r>
      <w:r w:rsidR="004E7B95">
        <w:rPr>
          <w:rFonts w:cs="Arial"/>
          <w:sz w:val="20"/>
        </w:rPr>
        <w:t xml:space="preserve"> </w:t>
      </w:r>
      <w:r>
        <w:rPr>
          <w:rFonts w:cs="Arial"/>
          <w:sz w:val="20"/>
        </w:rPr>
        <w:t>13 (Determination of fees)</w:t>
      </w:r>
    </w:p>
    <w:p w14:paraId="18BAB8BE"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4E4E01A7" w14:textId="77777777" w:rsidR="00C17FAB" w:rsidRDefault="00C17FAB">
      <w:pPr>
        <w:pStyle w:val="N-line3"/>
        <w:pBdr>
          <w:bottom w:val="none" w:sz="0" w:space="0" w:color="auto"/>
        </w:pBdr>
      </w:pPr>
    </w:p>
    <w:p w14:paraId="21A23917" w14:textId="77777777" w:rsidR="00C17FAB" w:rsidRDefault="00C17FAB">
      <w:pPr>
        <w:pStyle w:val="N-line3"/>
        <w:pBdr>
          <w:top w:val="single" w:sz="12" w:space="1" w:color="auto"/>
          <w:bottom w:val="none" w:sz="0" w:space="0" w:color="auto"/>
        </w:pBdr>
      </w:pPr>
    </w:p>
    <w:bookmarkEnd w:id="0"/>
    <w:p w14:paraId="6774DD87" w14:textId="77777777" w:rsidR="00D1115A" w:rsidRPr="00580342" w:rsidRDefault="00E32E8B" w:rsidP="00A71705">
      <w:pPr>
        <w:jc w:val="both"/>
      </w:pPr>
      <w:r w:rsidRPr="00580342">
        <w:t xml:space="preserve">Section 13 of the </w:t>
      </w:r>
      <w:r w:rsidRPr="00580342">
        <w:rPr>
          <w:i/>
        </w:rPr>
        <w:t>Court Procedures Act 2004</w:t>
      </w:r>
      <w:r w:rsidRPr="00580342">
        <w:t xml:space="preserve"> </w:t>
      </w:r>
      <w:r w:rsidR="00D1115A" w:rsidRPr="00580342">
        <w:t xml:space="preserve">(the Act) </w:t>
      </w:r>
      <w:r w:rsidRPr="00580342">
        <w:t xml:space="preserve">provides that the </w:t>
      </w:r>
      <w:r w:rsidR="007A6E0E" w:rsidRPr="00580342">
        <w:t xml:space="preserve">Minister </w:t>
      </w:r>
      <w:r w:rsidRPr="00580342">
        <w:t>may</w:t>
      </w:r>
      <w:r w:rsidR="007A6E0E" w:rsidRPr="00580342">
        <w:t xml:space="preserve"> determine fees </w:t>
      </w:r>
      <w:r w:rsidR="00691122" w:rsidRPr="00580342">
        <w:t xml:space="preserve">under the Act </w:t>
      </w:r>
      <w:r w:rsidR="007A6E0E" w:rsidRPr="00580342">
        <w:t xml:space="preserve">for </w:t>
      </w:r>
      <w:r w:rsidRPr="00580342">
        <w:t>a number of</w:t>
      </w:r>
      <w:r w:rsidR="007A6E0E" w:rsidRPr="00580342">
        <w:t xml:space="preserve"> purposes</w:t>
      </w:r>
      <w:r w:rsidRPr="00580342">
        <w:t>, including</w:t>
      </w:r>
      <w:r w:rsidR="00D1115A" w:rsidRPr="00580342">
        <w:t>—</w:t>
      </w:r>
    </w:p>
    <w:p w14:paraId="09636A66" w14:textId="77777777" w:rsidR="00D1115A" w:rsidRPr="00580342" w:rsidRDefault="00E32E8B" w:rsidP="00A71705">
      <w:pPr>
        <w:pStyle w:val="ListParagraph"/>
        <w:numPr>
          <w:ilvl w:val="0"/>
          <w:numId w:val="13"/>
        </w:numPr>
        <w:jc w:val="both"/>
      </w:pPr>
      <w:r w:rsidRPr="00580342">
        <w:t xml:space="preserve">proceedings in a court or the </w:t>
      </w:r>
      <w:r w:rsidR="00D1115A" w:rsidRPr="00580342">
        <w:t xml:space="preserve">ACT Civil and Administrative Tribunal (the </w:t>
      </w:r>
      <w:r w:rsidRPr="00580342">
        <w:t>ACAT</w:t>
      </w:r>
      <w:r w:rsidR="00D1115A" w:rsidRPr="00580342">
        <w:t>)</w:t>
      </w:r>
      <w:r w:rsidRPr="00580342">
        <w:t xml:space="preserve"> and matters incidental to the proceedings</w:t>
      </w:r>
      <w:r w:rsidR="00D1115A" w:rsidRPr="00580342">
        <w:t>;</w:t>
      </w:r>
    </w:p>
    <w:p w14:paraId="45F5832D" w14:textId="77777777" w:rsidR="00D1115A" w:rsidRPr="00580342" w:rsidRDefault="00E32E8B" w:rsidP="00D1115A">
      <w:pPr>
        <w:pStyle w:val="ListParagraph"/>
        <w:numPr>
          <w:ilvl w:val="0"/>
          <w:numId w:val="13"/>
        </w:numPr>
      </w:pPr>
      <w:r w:rsidRPr="00580342">
        <w:t>facilities and services provided by the court or the ACAT</w:t>
      </w:r>
      <w:r w:rsidR="00D1115A" w:rsidRPr="00580342">
        <w:t>;</w:t>
      </w:r>
      <w:r w:rsidRPr="00580342">
        <w:t xml:space="preserve"> </w:t>
      </w:r>
      <w:r w:rsidR="00691122" w:rsidRPr="00580342">
        <w:t>and</w:t>
      </w:r>
    </w:p>
    <w:p w14:paraId="76B6310F" w14:textId="77777777" w:rsidR="00C17FAB" w:rsidRPr="00580342" w:rsidRDefault="00E32E8B" w:rsidP="00A71705">
      <w:pPr>
        <w:pStyle w:val="ListParagraph"/>
        <w:numPr>
          <w:ilvl w:val="0"/>
          <w:numId w:val="13"/>
        </w:numPr>
        <w:jc w:val="both"/>
      </w:pPr>
      <w:r w:rsidRPr="00580342">
        <w:t>the service and execution of the process of a court of the Commonwealth, a State, another Territory or a foreign country.</w:t>
      </w:r>
    </w:p>
    <w:p w14:paraId="4684F2E0" w14:textId="77777777" w:rsidR="00691122" w:rsidRPr="00580342" w:rsidRDefault="00691122"/>
    <w:p w14:paraId="756660E6" w14:textId="77777777" w:rsidR="00E32E8B" w:rsidRPr="00580342" w:rsidRDefault="00E32E8B">
      <w:r w:rsidRPr="00580342">
        <w:t>A determination may provide for—</w:t>
      </w:r>
    </w:p>
    <w:p w14:paraId="73A05C7A" w14:textId="77777777" w:rsidR="00E32E8B" w:rsidRPr="00580342" w:rsidRDefault="00E32E8B" w:rsidP="00A71705">
      <w:pPr>
        <w:pStyle w:val="ListParagraph"/>
        <w:numPr>
          <w:ilvl w:val="0"/>
          <w:numId w:val="12"/>
        </w:numPr>
        <w:jc w:val="both"/>
      </w:pPr>
      <w:r w:rsidRPr="00580342">
        <w:t>exempting people from liability to pay determined fees, completely or partly, in all or particular circumstances;</w:t>
      </w:r>
    </w:p>
    <w:p w14:paraId="6A089726" w14:textId="77777777" w:rsidR="00E32E8B" w:rsidRPr="00580342" w:rsidRDefault="00E32E8B" w:rsidP="00A71705">
      <w:pPr>
        <w:pStyle w:val="ListParagraph"/>
        <w:numPr>
          <w:ilvl w:val="0"/>
          <w:numId w:val="12"/>
        </w:numPr>
        <w:jc w:val="both"/>
      </w:pPr>
      <w:r w:rsidRPr="00580342">
        <w:t>remitting, refunding or waiving, by a registrar of a court or the ACAT, determined fees, completely or partly, in particular circumstances;</w:t>
      </w:r>
    </w:p>
    <w:p w14:paraId="669B7D1F" w14:textId="77777777" w:rsidR="00E32E8B" w:rsidRPr="00580342" w:rsidRDefault="00F609DE" w:rsidP="00A71705">
      <w:pPr>
        <w:pStyle w:val="ListParagraph"/>
        <w:numPr>
          <w:ilvl w:val="0"/>
          <w:numId w:val="12"/>
        </w:numPr>
        <w:jc w:val="both"/>
      </w:pPr>
      <w:r w:rsidRPr="00580342">
        <w:t>deferring</w:t>
      </w:r>
      <w:r w:rsidR="00E32E8B" w:rsidRPr="00580342">
        <w:t xml:space="preserve"> by a registrar of a court or the ACAT, liability to pay determined fees, completely or partly, in particular circumstances.</w:t>
      </w:r>
    </w:p>
    <w:p w14:paraId="761BF2D0" w14:textId="77777777" w:rsidR="00D1115A" w:rsidRPr="00580342" w:rsidRDefault="00D1115A" w:rsidP="00D36B2F"/>
    <w:p w14:paraId="293F0CA0" w14:textId="04B16012" w:rsidR="00D36B2F" w:rsidRPr="00580342" w:rsidRDefault="008661F2" w:rsidP="008661F2">
      <w:pPr>
        <w:autoSpaceDE w:val="0"/>
        <w:autoSpaceDN w:val="0"/>
        <w:adjustRightInd w:val="0"/>
        <w:jc w:val="both"/>
      </w:pPr>
      <w:r>
        <w:rPr>
          <w:szCs w:val="24"/>
          <w:lang w:eastAsia="en-AU"/>
        </w:rPr>
        <w:t xml:space="preserve">The new determination sets the fees that will apply from </w:t>
      </w:r>
      <w:r w:rsidR="00907C9A" w:rsidRPr="00C02976">
        <w:t>1</w:t>
      </w:r>
      <w:r w:rsidR="00907C9A">
        <w:t> </w:t>
      </w:r>
      <w:r w:rsidR="00F92749">
        <w:t>August</w:t>
      </w:r>
      <w:r w:rsidR="00907C9A">
        <w:rPr>
          <w:szCs w:val="24"/>
          <w:lang w:eastAsia="en-AU"/>
        </w:rPr>
        <w:t xml:space="preserve"> 2020 and</w:t>
      </w:r>
      <w:r>
        <w:rPr>
          <w:szCs w:val="24"/>
          <w:lang w:eastAsia="en-AU"/>
        </w:rPr>
        <w:t xml:space="preserve"> repeals the </w:t>
      </w:r>
      <w:r>
        <w:rPr>
          <w:i/>
          <w:szCs w:val="24"/>
          <w:lang w:eastAsia="en-AU"/>
        </w:rPr>
        <w:t>Court Procedures</w:t>
      </w:r>
      <w:r w:rsidRPr="00C02976">
        <w:rPr>
          <w:i/>
          <w:szCs w:val="24"/>
          <w:lang w:eastAsia="en-AU"/>
        </w:rPr>
        <w:t xml:space="preserve"> (Fees) Determination 20</w:t>
      </w:r>
      <w:r w:rsidR="00C355F4">
        <w:rPr>
          <w:i/>
          <w:szCs w:val="24"/>
          <w:lang w:eastAsia="en-AU"/>
        </w:rPr>
        <w:t>20</w:t>
      </w:r>
      <w:r w:rsidR="00BC6A9B">
        <w:rPr>
          <w:i/>
          <w:szCs w:val="24"/>
          <w:lang w:eastAsia="en-AU"/>
        </w:rPr>
        <w:t xml:space="preserve"> (No 1) DI2020</w:t>
      </w:r>
      <w:r w:rsidR="00F80872">
        <w:rPr>
          <w:i/>
          <w:szCs w:val="24"/>
          <w:lang w:eastAsia="en-AU"/>
        </w:rPr>
        <w:t>-</w:t>
      </w:r>
      <w:r w:rsidR="00C355F4">
        <w:rPr>
          <w:i/>
          <w:szCs w:val="24"/>
          <w:lang w:eastAsia="en-AU"/>
        </w:rPr>
        <w:t>13</w:t>
      </w:r>
      <w:r>
        <w:rPr>
          <w:szCs w:val="24"/>
          <w:lang w:eastAsia="en-AU"/>
        </w:rPr>
        <w:t xml:space="preserve">. </w:t>
      </w:r>
      <w:r w:rsidR="003B5EE2">
        <w:rPr>
          <w:szCs w:val="24"/>
          <w:lang w:eastAsia="en-AU"/>
        </w:rPr>
        <w:t>It provides</w:t>
      </w:r>
      <w:r>
        <w:rPr>
          <w:szCs w:val="24"/>
          <w:lang w:eastAsia="en-AU"/>
        </w:rPr>
        <w:t xml:space="preserve"> for fee increases in line with annual adjustments to the Wages Price Index (WPI</w:t>
      </w:r>
      <w:r w:rsidRPr="00435DB9">
        <w:rPr>
          <w:szCs w:val="24"/>
          <w:lang w:eastAsia="en-AU"/>
        </w:rPr>
        <w:t xml:space="preserve">) of </w:t>
      </w:r>
      <w:r w:rsidR="00A91035">
        <w:rPr>
          <w:szCs w:val="24"/>
          <w:lang w:eastAsia="en-AU"/>
        </w:rPr>
        <w:t>2.0</w:t>
      </w:r>
      <w:r w:rsidRPr="00435DB9">
        <w:rPr>
          <w:szCs w:val="24"/>
          <w:lang w:eastAsia="en-AU"/>
        </w:rPr>
        <w:t xml:space="preserve">%, rounded down to the nearest dollar or fifty </w:t>
      </w:r>
      <w:r w:rsidR="00907C9A" w:rsidRPr="00435DB9">
        <w:rPr>
          <w:szCs w:val="24"/>
          <w:lang w:eastAsia="en-AU"/>
        </w:rPr>
        <w:t>cents</w:t>
      </w:r>
      <w:r w:rsidRPr="00435DB9">
        <w:rPr>
          <w:szCs w:val="24"/>
          <w:lang w:eastAsia="en-AU"/>
        </w:rPr>
        <w:t xml:space="preserve"> for most fees. </w:t>
      </w:r>
      <w:r w:rsidR="00791D86" w:rsidRPr="00435DB9">
        <w:t>This gives effect to the Government’s policy decision to limit growth in government fees and charges for households to no more than the</w:t>
      </w:r>
      <w:r w:rsidR="001C1BA1">
        <w:t xml:space="preserve"> </w:t>
      </w:r>
      <w:r w:rsidR="00A91035">
        <w:t>forecast</w:t>
      </w:r>
      <w:r w:rsidR="00791D86" w:rsidRPr="00435DB9">
        <w:t xml:space="preserve"> Wage Price Index in 20</w:t>
      </w:r>
      <w:r w:rsidR="001C1BA1">
        <w:t>20</w:t>
      </w:r>
      <w:r w:rsidR="00791D86" w:rsidRPr="00435DB9">
        <w:t>-2</w:t>
      </w:r>
      <w:r w:rsidR="001C1BA1">
        <w:t>1.</w:t>
      </w:r>
      <w:r w:rsidR="00791D86" w:rsidRPr="00435DB9">
        <w:t xml:space="preserve"> This approach also aligns with the 2018 Treasury Guidelines for Fees and Charges. </w:t>
      </w:r>
      <w:r w:rsidR="00DA15B8" w:rsidRPr="00435DB9">
        <w:t>Explanatory notes in the d</w:t>
      </w:r>
      <w:r w:rsidR="00D1115A" w:rsidRPr="00435DB9">
        <w:t xml:space="preserve">etermination list the fees previously determined </w:t>
      </w:r>
      <w:r w:rsidR="0091391C" w:rsidRPr="00435DB9">
        <w:t>to</w:t>
      </w:r>
      <w:r w:rsidR="00F609DE" w:rsidRPr="00435DB9">
        <w:t xml:space="preserve"> enable comparison.</w:t>
      </w:r>
    </w:p>
    <w:p w14:paraId="72D421BA" w14:textId="77777777" w:rsidR="00D36B2F" w:rsidRDefault="00D36B2F" w:rsidP="00D1115A"/>
    <w:p w14:paraId="69DDF994" w14:textId="77777777" w:rsidR="00DA15B8" w:rsidRDefault="00DA15B8" w:rsidP="00D1115A"/>
    <w:p w14:paraId="03BC9CE7" w14:textId="77777777" w:rsidR="00DA15B8" w:rsidRDefault="00DA15B8" w:rsidP="00D1115A"/>
    <w:p w14:paraId="75DC003D" w14:textId="77777777" w:rsidR="00791D86" w:rsidRDefault="00791D86" w:rsidP="00D1115A"/>
    <w:p w14:paraId="14021874" w14:textId="77777777" w:rsidR="00791D86" w:rsidRPr="00580342" w:rsidRDefault="00791D86" w:rsidP="00D1115A"/>
    <w:p w14:paraId="32634BF3" w14:textId="77777777" w:rsidR="00435DB9" w:rsidRDefault="00435DB9" w:rsidP="008661F2">
      <w:pPr>
        <w:autoSpaceDE w:val="0"/>
        <w:autoSpaceDN w:val="0"/>
        <w:adjustRightInd w:val="0"/>
        <w:rPr>
          <w:b/>
          <w:szCs w:val="24"/>
          <w:lang w:eastAsia="en-AU"/>
        </w:rPr>
      </w:pPr>
    </w:p>
    <w:p w14:paraId="2F70CA05" w14:textId="69D1D849" w:rsidR="008661F2" w:rsidRPr="00907C9A" w:rsidRDefault="008661F2" w:rsidP="003B5EE2">
      <w:pPr>
        <w:keepNext/>
        <w:autoSpaceDE w:val="0"/>
        <w:autoSpaceDN w:val="0"/>
        <w:adjustRightInd w:val="0"/>
        <w:rPr>
          <w:b/>
          <w:szCs w:val="24"/>
          <w:lang w:eastAsia="en-AU"/>
        </w:rPr>
      </w:pPr>
      <w:r w:rsidRPr="00907C9A">
        <w:rPr>
          <w:b/>
          <w:szCs w:val="24"/>
          <w:lang w:eastAsia="en-AU"/>
        </w:rPr>
        <w:lastRenderedPageBreak/>
        <w:t>Updates to the instrument</w:t>
      </w:r>
    </w:p>
    <w:p w14:paraId="42521EF3" w14:textId="637A26D1" w:rsidR="00EB4EDE" w:rsidRPr="00907C9A" w:rsidRDefault="00EB4EDE" w:rsidP="008661F2">
      <w:pPr>
        <w:autoSpaceDE w:val="0"/>
        <w:autoSpaceDN w:val="0"/>
        <w:adjustRightInd w:val="0"/>
        <w:rPr>
          <w:b/>
          <w:szCs w:val="24"/>
          <w:lang w:eastAsia="en-AU"/>
        </w:rPr>
      </w:pPr>
    </w:p>
    <w:p w14:paraId="0EF2AF73" w14:textId="1E570174" w:rsidR="00227417" w:rsidRPr="00907C9A" w:rsidRDefault="00A8335D" w:rsidP="008661F2">
      <w:pPr>
        <w:autoSpaceDE w:val="0"/>
        <w:autoSpaceDN w:val="0"/>
        <w:adjustRightInd w:val="0"/>
        <w:rPr>
          <w:bCs/>
          <w:szCs w:val="24"/>
          <w:lang w:eastAsia="en-AU"/>
        </w:rPr>
      </w:pPr>
      <w:r w:rsidRPr="00907C9A">
        <w:rPr>
          <w:bCs/>
          <w:szCs w:val="24"/>
          <w:lang w:eastAsia="en-AU"/>
        </w:rPr>
        <w:t>The determination includes a new</w:t>
      </w:r>
      <w:r w:rsidR="00A00AD3" w:rsidRPr="00907C9A">
        <w:rPr>
          <w:bCs/>
          <w:szCs w:val="24"/>
          <w:lang w:eastAsia="en-AU"/>
        </w:rPr>
        <w:t>, lower,</w:t>
      </w:r>
      <w:r w:rsidRPr="00907C9A">
        <w:rPr>
          <w:bCs/>
          <w:szCs w:val="24"/>
          <w:lang w:eastAsia="en-AU"/>
        </w:rPr>
        <w:t xml:space="preserve"> filing fee for fair work small claims</w:t>
      </w:r>
      <w:r w:rsidR="00227417" w:rsidRPr="00907C9A">
        <w:rPr>
          <w:bCs/>
          <w:szCs w:val="24"/>
          <w:lang w:eastAsia="en-AU"/>
        </w:rPr>
        <w:t xml:space="preserve"> made in the ACT Magistrates Court</w:t>
      </w:r>
      <w:r w:rsidR="00A00AD3" w:rsidRPr="00907C9A">
        <w:rPr>
          <w:bCs/>
          <w:szCs w:val="24"/>
          <w:lang w:eastAsia="en-AU"/>
        </w:rPr>
        <w:t xml:space="preserve">. </w:t>
      </w:r>
      <w:r w:rsidR="00004D1D" w:rsidRPr="00907C9A">
        <w:rPr>
          <w:bCs/>
          <w:szCs w:val="24"/>
          <w:lang w:eastAsia="en-AU"/>
        </w:rPr>
        <w:t xml:space="preserve"> These fees will commence on the commencement of the </w:t>
      </w:r>
      <w:r w:rsidR="00004D1D" w:rsidRPr="00907C9A">
        <w:rPr>
          <w:rFonts w:eastAsiaTheme="minorEastAsia"/>
          <w:i/>
          <w:iCs/>
        </w:rPr>
        <w:t>Courts (Fair Work and Work Safety) Legislation Amendment Act 2019</w:t>
      </w:r>
      <w:r w:rsidR="001920BA" w:rsidRPr="00907C9A">
        <w:rPr>
          <w:rFonts w:eastAsiaTheme="minorEastAsia"/>
          <w:i/>
          <w:iCs/>
        </w:rPr>
        <w:t>, section 13</w:t>
      </w:r>
      <w:r w:rsidR="00004D1D" w:rsidRPr="00907C9A">
        <w:rPr>
          <w:rFonts w:eastAsiaTheme="minorEastAsia"/>
        </w:rPr>
        <w:t>.</w:t>
      </w:r>
    </w:p>
    <w:p w14:paraId="5F7C714B" w14:textId="77777777" w:rsidR="00227417" w:rsidRPr="00907C9A" w:rsidRDefault="00227417" w:rsidP="008661F2">
      <w:pPr>
        <w:autoSpaceDE w:val="0"/>
        <w:autoSpaceDN w:val="0"/>
        <w:adjustRightInd w:val="0"/>
        <w:rPr>
          <w:bCs/>
          <w:szCs w:val="24"/>
          <w:lang w:eastAsia="en-AU"/>
        </w:rPr>
      </w:pPr>
    </w:p>
    <w:p w14:paraId="33A7DF99" w14:textId="559B8635" w:rsidR="00451508" w:rsidRPr="00907C9A" w:rsidRDefault="00451508" w:rsidP="00451508">
      <w:pPr>
        <w:autoSpaceDE w:val="0"/>
        <w:autoSpaceDN w:val="0"/>
        <w:adjustRightInd w:val="0"/>
        <w:rPr>
          <w:szCs w:val="22"/>
        </w:rPr>
      </w:pPr>
      <w:r w:rsidRPr="00907C9A">
        <w:rPr>
          <w:szCs w:val="22"/>
        </w:rPr>
        <w:t xml:space="preserve">The </w:t>
      </w:r>
      <w:r w:rsidRPr="00907C9A">
        <w:rPr>
          <w:bCs/>
          <w:i/>
          <w:iCs/>
          <w:szCs w:val="24"/>
          <w:lang w:eastAsia="en-AU"/>
        </w:rPr>
        <w:t>Fair Work Act 2009</w:t>
      </w:r>
      <w:r w:rsidRPr="00907C9A">
        <w:rPr>
          <w:bCs/>
          <w:szCs w:val="24"/>
          <w:lang w:eastAsia="en-AU"/>
        </w:rPr>
        <w:t xml:space="preserve"> (Cwlth) (the FW Act)</w:t>
      </w:r>
      <w:r w:rsidRPr="00907C9A">
        <w:rPr>
          <w:szCs w:val="22"/>
        </w:rPr>
        <w:t xml:space="preserve"> confers jurisdiction on the Magistrates Court to deal with applications relating to some of the civil remedy provisions under the Act, including (for example) underpayment claims and contraventions of the National Employment Standards, modern awards or enterprise agreements. </w:t>
      </w:r>
    </w:p>
    <w:p w14:paraId="2598E899" w14:textId="77777777" w:rsidR="00451508" w:rsidRPr="00907C9A" w:rsidRDefault="00451508" w:rsidP="00451508">
      <w:pPr>
        <w:autoSpaceDE w:val="0"/>
        <w:autoSpaceDN w:val="0"/>
        <w:adjustRightInd w:val="0"/>
        <w:rPr>
          <w:szCs w:val="22"/>
        </w:rPr>
      </w:pPr>
    </w:p>
    <w:p w14:paraId="2BFBBA58" w14:textId="07E683B8" w:rsidR="00EB4EDE" w:rsidRPr="00907C9A" w:rsidRDefault="00A00AD3" w:rsidP="008661F2">
      <w:pPr>
        <w:autoSpaceDE w:val="0"/>
        <w:autoSpaceDN w:val="0"/>
        <w:adjustRightInd w:val="0"/>
        <w:rPr>
          <w:bCs/>
          <w:szCs w:val="24"/>
          <w:lang w:eastAsia="en-AU"/>
        </w:rPr>
      </w:pPr>
      <w:r w:rsidRPr="00907C9A">
        <w:rPr>
          <w:bCs/>
          <w:szCs w:val="24"/>
          <w:lang w:eastAsia="en-AU"/>
        </w:rPr>
        <w:t xml:space="preserve">Fair work small claims are </w:t>
      </w:r>
      <w:r w:rsidR="00227417" w:rsidRPr="00907C9A">
        <w:rPr>
          <w:bCs/>
          <w:szCs w:val="24"/>
          <w:lang w:eastAsia="en-AU"/>
        </w:rPr>
        <w:t xml:space="preserve">claims that relate to a civil remedy provision that may be heard by the Magistrates </w:t>
      </w:r>
      <w:r w:rsidR="00451508" w:rsidRPr="00907C9A">
        <w:rPr>
          <w:bCs/>
          <w:szCs w:val="24"/>
          <w:lang w:eastAsia="en-AU"/>
        </w:rPr>
        <w:t>Court and</w:t>
      </w:r>
      <w:r w:rsidR="00227417" w:rsidRPr="00907C9A">
        <w:rPr>
          <w:bCs/>
          <w:szCs w:val="24"/>
          <w:lang w:eastAsia="en-AU"/>
        </w:rPr>
        <w:t xml:space="preserve"> may be dealt with under the small claims procedure as mentioned by section 548 of the FW Act.</w:t>
      </w:r>
      <w:r w:rsidR="00451508" w:rsidRPr="00907C9A">
        <w:rPr>
          <w:bCs/>
          <w:szCs w:val="24"/>
          <w:lang w:eastAsia="en-AU"/>
        </w:rPr>
        <w:t xml:space="preserve"> The new fee will apply only to applicable claims where the party filing the claim has indicated that they want the small claims procedure to apply to their matter.</w:t>
      </w:r>
    </w:p>
    <w:p w14:paraId="36149CAC" w14:textId="77777777" w:rsidR="00227417" w:rsidRPr="00907C9A" w:rsidRDefault="00227417" w:rsidP="008661F2">
      <w:pPr>
        <w:autoSpaceDE w:val="0"/>
        <w:autoSpaceDN w:val="0"/>
        <w:adjustRightInd w:val="0"/>
        <w:rPr>
          <w:szCs w:val="22"/>
        </w:rPr>
      </w:pPr>
    </w:p>
    <w:p w14:paraId="58C7E7FD" w14:textId="0F0B9491" w:rsidR="00A00AD3" w:rsidRDefault="00451508" w:rsidP="008661F2">
      <w:pPr>
        <w:autoSpaceDE w:val="0"/>
        <w:autoSpaceDN w:val="0"/>
        <w:adjustRightInd w:val="0"/>
        <w:rPr>
          <w:szCs w:val="22"/>
        </w:rPr>
      </w:pPr>
      <w:r w:rsidRPr="00907C9A">
        <w:rPr>
          <w:szCs w:val="22"/>
        </w:rPr>
        <w:t xml:space="preserve">The filing fee for fair work small claims has been set at $159.50 for a natural person and $319 for a corporation. </w:t>
      </w:r>
      <w:r w:rsidR="00227417" w:rsidRPr="00907C9A">
        <w:rPr>
          <w:szCs w:val="22"/>
        </w:rPr>
        <w:t>The new fee</w:t>
      </w:r>
      <w:r w:rsidR="00A00AD3" w:rsidRPr="00907C9A">
        <w:rPr>
          <w:szCs w:val="22"/>
        </w:rPr>
        <w:t xml:space="preserve"> </w:t>
      </w:r>
      <w:r w:rsidR="00227417" w:rsidRPr="00907C9A">
        <w:rPr>
          <w:szCs w:val="22"/>
        </w:rPr>
        <w:t xml:space="preserve">forms </w:t>
      </w:r>
      <w:r w:rsidR="00A00AD3" w:rsidRPr="00907C9A">
        <w:rPr>
          <w:szCs w:val="22"/>
        </w:rPr>
        <w:t>part of a suite of initiatives designed to make the Magistrates Court more accessible for people seeking to enforce their rights to wages and entitlements under the FW Act</w:t>
      </w:r>
      <w:r w:rsidR="00227417" w:rsidRPr="00907C9A">
        <w:rPr>
          <w:szCs w:val="22"/>
        </w:rPr>
        <w:t>.</w:t>
      </w:r>
      <w:r>
        <w:rPr>
          <w:szCs w:val="22"/>
        </w:rPr>
        <w:t xml:space="preserve"> </w:t>
      </w:r>
    </w:p>
    <w:p w14:paraId="4261C14F" w14:textId="3B41C54C" w:rsidR="00227417" w:rsidRDefault="00227417" w:rsidP="008661F2">
      <w:pPr>
        <w:autoSpaceDE w:val="0"/>
        <w:autoSpaceDN w:val="0"/>
        <w:adjustRightInd w:val="0"/>
        <w:rPr>
          <w:szCs w:val="22"/>
        </w:rPr>
      </w:pPr>
    </w:p>
    <w:p w14:paraId="1502FE48" w14:textId="2F54538E" w:rsidR="00733B24" w:rsidRPr="00B63D61" w:rsidRDefault="00733B24" w:rsidP="00733B24"/>
    <w:p w14:paraId="47503151" w14:textId="714F40B8" w:rsidR="006E307D" w:rsidRDefault="00733B24" w:rsidP="00B12EEA">
      <w:pPr>
        <w:jc w:val="both"/>
      </w:pPr>
      <w:r w:rsidRPr="00474846">
        <w:t>The instrument</w:t>
      </w:r>
      <w:r w:rsidR="008877A5" w:rsidRPr="00474846">
        <w:t xml:space="preserve"> </w:t>
      </w:r>
      <w:r w:rsidR="007A6E0E" w:rsidRPr="00474846">
        <w:t>re</w:t>
      </w:r>
      <w:r w:rsidR="00C96B35" w:rsidRPr="00474846">
        <w:t>peals</w:t>
      </w:r>
      <w:r w:rsidR="007A6E0E" w:rsidRPr="00474846">
        <w:t xml:space="preserve"> </w:t>
      </w:r>
      <w:r w:rsidR="00D36B2F" w:rsidRPr="00474846">
        <w:t xml:space="preserve">the </w:t>
      </w:r>
      <w:r w:rsidR="00D36B2F" w:rsidRPr="00474846">
        <w:rPr>
          <w:i/>
        </w:rPr>
        <w:t>Court Proc</w:t>
      </w:r>
      <w:r w:rsidR="00EE50AE" w:rsidRPr="00474846">
        <w:rPr>
          <w:i/>
        </w:rPr>
        <w:t>edures (Fees) Determination 20</w:t>
      </w:r>
      <w:r w:rsidR="001C1BA1">
        <w:rPr>
          <w:i/>
        </w:rPr>
        <w:t>20</w:t>
      </w:r>
      <w:r w:rsidR="00D36B2F" w:rsidRPr="00474846">
        <w:rPr>
          <w:i/>
        </w:rPr>
        <w:t xml:space="preserve"> </w:t>
      </w:r>
      <w:r w:rsidR="00EE50AE" w:rsidRPr="00474846">
        <w:t>DI 20</w:t>
      </w:r>
      <w:r w:rsidR="001C1BA1">
        <w:t>20-13</w:t>
      </w:r>
      <w:r w:rsidR="00A52B66" w:rsidRPr="00474846">
        <w:t>.</w:t>
      </w:r>
    </w:p>
    <w:sectPr w:rsidR="006E307D"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59FE2" w14:textId="77777777" w:rsidR="00DF7E3E" w:rsidRDefault="00DF7E3E" w:rsidP="00C17FAB">
      <w:r>
        <w:separator/>
      </w:r>
    </w:p>
  </w:endnote>
  <w:endnote w:type="continuationSeparator" w:id="0">
    <w:p w14:paraId="290E6AAA" w14:textId="77777777" w:rsidR="00DF7E3E" w:rsidRDefault="00DF7E3E"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31F09" w14:textId="77777777" w:rsidR="007F4153" w:rsidRDefault="007F4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3DD14" w14:textId="0A1E3E8F" w:rsidR="007F42C5" w:rsidRPr="007F4153" w:rsidRDefault="007F4153" w:rsidP="007F4153">
    <w:pPr>
      <w:pStyle w:val="Footer"/>
      <w:jc w:val="center"/>
      <w:rPr>
        <w:rFonts w:cs="Arial"/>
        <w:sz w:val="14"/>
      </w:rPr>
    </w:pPr>
    <w:r w:rsidRPr="007F415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AB77F" w14:textId="77777777" w:rsidR="007F4153" w:rsidRDefault="007F41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31D2" w14:textId="77777777" w:rsidR="00DF7E3E" w:rsidRDefault="00DF7E3E" w:rsidP="00C17FAB">
      <w:r>
        <w:separator/>
      </w:r>
    </w:p>
  </w:footnote>
  <w:footnote w:type="continuationSeparator" w:id="0">
    <w:p w14:paraId="628F23D1" w14:textId="77777777" w:rsidR="00DF7E3E" w:rsidRDefault="00DF7E3E"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A45E7" w14:textId="77777777" w:rsidR="007F4153" w:rsidRDefault="007F4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745E2" w14:textId="77777777" w:rsidR="007F4153" w:rsidRDefault="007F4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F0639" w14:textId="77777777" w:rsidR="007F4153" w:rsidRDefault="007F4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D2B3764"/>
    <w:multiLevelType w:val="hybridMultilevel"/>
    <w:tmpl w:val="82FEB6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48536565"/>
    <w:multiLevelType w:val="hybridMultilevel"/>
    <w:tmpl w:val="25F0D78E"/>
    <w:lvl w:ilvl="0" w:tplc="0C090001">
      <w:start w:val="1"/>
      <w:numFmt w:val="bullet"/>
      <w:lvlText w:val=""/>
      <w:lvlJc w:val="left"/>
      <w:pPr>
        <w:ind w:left="1571" w:hanging="360"/>
      </w:pPr>
      <w:rPr>
        <w:rFonts w:ascii="Symbol" w:hAnsi="Symbol" w:hint="default"/>
      </w:rPr>
    </w:lvl>
    <w:lvl w:ilvl="1" w:tplc="0C090003">
      <w:start w:val="1"/>
      <w:numFmt w:val="bullet"/>
      <w:lvlText w:val="o"/>
      <w:lvlJc w:val="left"/>
      <w:pPr>
        <w:ind w:left="2291" w:hanging="360"/>
      </w:pPr>
      <w:rPr>
        <w:rFonts w:ascii="Courier New" w:hAnsi="Courier New" w:cs="Courier New" w:hint="default"/>
      </w:rPr>
    </w:lvl>
    <w:lvl w:ilvl="2" w:tplc="0C090005">
      <w:start w:val="1"/>
      <w:numFmt w:val="bullet"/>
      <w:lvlText w:val=""/>
      <w:lvlJc w:val="left"/>
      <w:pPr>
        <w:ind w:left="3011" w:hanging="360"/>
      </w:pPr>
      <w:rPr>
        <w:rFonts w:ascii="Wingdings" w:hAnsi="Wingdings" w:hint="default"/>
      </w:rPr>
    </w:lvl>
    <w:lvl w:ilvl="3" w:tplc="0C090001">
      <w:start w:val="1"/>
      <w:numFmt w:val="bullet"/>
      <w:lvlText w:val=""/>
      <w:lvlJc w:val="left"/>
      <w:pPr>
        <w:ind w:left="3731" w:hanging="360"/>
      </w:pPr>
      <w:rPr>
        <w:rFonts w:ascii="Symbol" w:hAnsi="Symbol" w:hint="default"/>
      </w:rPr>
    </w:lvl>
    <w:lvl w:ilvl="4" w:tplc="0C090003">
      <w:start w:val="1"/>
      <w:numFmt w:val="bullet"/>
      <w:lvlText w:val="o"/>
      <w:lvlJc w:val="left"/>
      <w:pPr>
        <w:ind w:left="4451" w:hanging="360"/>
      </w:pPr>
      <w:rPr>
        <w:rFonts w:ascii="Courier New" w:hAnsi="Courier New" w:cs="Courier New" w:hint="default"/>
      </w:rPr>
    </w:lvl>
    <w:lvl w:ilvl="5" w:tplc="0C090005">
      <w:start w:val="1"/>
      <w:numFmt w:val="bullet"/>
      <w:lvlText w:val=""/>
      <w:lvlJc w:val="left"/>
      <w:pPr>
        <w:ind w:left="5171" w:hanging="360"/>
      </w:pPr>
      <w:rPr>
        <w:rFonts w:ascii="Wingdings" w:hAnsi="Wingdings" w:hint="default"/>
      </w:rPr>
    </w:lvl>
    <w:lvl w:ilvl="6" w:tplc="0C090001">
      <w:start w:val="1"/>
      <w:numFmt w:val="bullet"/>
      <w:lvlText w:val=""/>
      <w:lvlJc w:val="left"/>
      <w:pPr>
        <w:ind w:left="5891" w:hanging="360"/>
      </w:pPr>
      <w:rPr>
        <w:rFonts w:ascii="Symbol" w:hAnsi="Symbol" w:hint="default"/>
      </w:rPr>
    </w:lvl>
    <w:lvl w:ilvl="7" w:tplc="0C090003">
      <w:start w:val="1"/>
      <w:numFmt w:val="bullet"/>
      <w:lvlText w:val="o"/>
      <w:lvlJc w:val="left"/>
      <w:pPr>
        <w:ind w:left="6611" w:hanging="360"/>
      </w:pPr>
      <w:rPr>
        <w:rFonts w:ascii="Courier New" w:hAnsi="Courier New" w:cs="Courier New" w:hint="default"/>
      </w:rPr>
    </w:lvl>
    <w:lvl w:ilvl="8" w:tplc="0C090005">
      <w:start w:val="1"/>
      <w:numFmt w:val="bullet"/>
      <w:lvlText w:val=""/>
      <w:lvlJc w:val="left"/>
      <w:pPr>
        <w:ind w:left="7331" w:hanging="360"/>
      </w:pPr>
      <w:rPr>
        <w:rFonts w:ascii="Wingdings" w:hAnsi="Wingdings" w:hint="default"/>
      </w:rPr>
    </w:lvl>
  </w:abstractNum>
  <w:abstractNum w:abstractNumId="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0" w15:restartNumberingAfterBreak="0">
    <w:nsid w:val="53860009"/>
    <w:multiLevelType w:val="hybridMultilevel"/>
    <w:tmpl w:val="FE3A7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2A48FF"/>
    <w:multiLevelType w:val="hybridMultilevel"/>
    <w:tmpl w:val="59FA58B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57DF428D"/>
    <w:multiLevelType w:val="hybridMultilevel"/>
    <w:tmpl w:val="F00A621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15:restartNumberingAfterBreak="0">
    <w:nsid w:val="62565A87"/>
    <w:multiLevelType w:val="hybridMultilevel"/>
    <w:tmpl w:val="13E226B8"/>
    <w:lvl w:ilvl="0" w:tplc="D2D26950">
      <w:start w:val="1"/>
      <w:numFmt w:val="bullet"/>
      <w:pStyle w:val="mbullet1"/>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14" w15:restartNumberingAfterBreak="0">
    <w:nsid w:val="6A53313D"/>
    <w:multiLevelType w:val="hybridMultilevel"/>
    <w:tmpl w:val="F00A621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6D313EEE"/>
    <w:multiLevelType w:val="hybridMultilevel"/>
    <w:tmpl w:val="CC6E1E6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7" w15:restartNumberingAfterBreak="0">
    <w:nsid w:val="6EAD2CA5"/>
    <w:multiLevelType w:val="hybridMultilevel"/>
    <w:tmpl w:val="F00A621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8" w15:restartNumberingAfterBreak="0">
    <w:nsid w:val="7A89259E"/>
    <w:multiLevelType w:val="multilevel"/>
    <w:tmpl w:val="A59A850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num w:numId="1">
    <w:abstractNumId w:val="2"/>
  </w:num>
  <w:num w:numId="2">
    <w:abstractNumId w:val="0"/>
  </w:num>
  <w:num w:numId="3">
    <w:abstractNumId w:val="3"/>
  </w:num>
  <w:num w:numId="4">
    <w:abstractNumId w:val="7"/>
  </w:num>
  <w:num w:numId="5">
    <w:abstractNumId w:val="16"/>
  </w:num>
  <w:num w:numId="6">
    <w:abstractNumId w:val="1"/>
  </w:num>
  <w:num w:numId="7">
    <w:abstractNumId w:val="5"/>
  </w:num>
  <w:num w:numId="8">
    <w:abstractNumId w:val="6"/>
  </w:num>
  <w:num w:numId="9">
    <w:abstractNumId w:val="18"/>
  </w:num>
  <w:num w:numId="10">
    <w:abstractNumId w:val="15"/>
  </w:num>
  <w:num w:numId="11">
    <w:abstractNumId w:val="9"/>
  </w:num>
  <w:num w:numId="12">
    <w:abstractNumId w:val="4"/>
  </w:num>
  <w:num w:numId="13">
    <w:abstractNumId w:val="10"/>
  </w:num>
  <w:num w:numId="14">
    <w:abstractNumId w:val="17"/>
  </w:num>
  <w:num w:numId="15">
    <w:abstractNumId w:val="8"/>
  </w:num>
  <w:num w:numId="16">
    <w:abstractNumId w:val="11"/>
  </w:num>
  <w:num w:numId="17">
    <w:abstractNumId w:val="12"/>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04D1D"/>
    <w:rsid w:val="000078B1"/>
    <w:rsid w:val="000138CA"/>
    <w:rsid w:val="0002701E"/>
    <w:rsid w:val="00032480"/>
    <w:rsid w:val="00046C13"/>
    <w:rsid w:val="00061DD6"/>
    <w:rsid w:val="00073A38"/>
    <w:rsid w:val="00095C4E"/>
    <w:rsid w:val="000B1FFD"/>
    <w:rsid w:val="000D7AAB"/>
    <w:rsid w:val="000E00D3"/>
    <w:rsid w:val="001109EA"/>
    <w:rsid w:val="00130C26"/>
    <w:rsid w:val="001415C4"/>
    <w:rsid w:val="00145201"/>
    <w:rsid w:val="001545B3"/>
    <w:rsid w:val="001920BA"/>
    <w:rsid w:val="0019413B"/>
    <w:rsid w:val="001B1467"/>
    <w:rsid w:val="001C1BA1"/>
    <w:rsid w:val="001E4DEB"/>
    <w:rsid w:val="0020006A"/>
    <w:rsid w:val="00227417"/>
    <w:rsid w:val="0023243F"/>
    <w:rsid w:val="0025249F"/>
    <w:rsid w:val="0026038C"/>
    <w:rsid w:val="00266C44"/>
    <w:rsid w:val="0027739D"/>
    <w:rsid w:val="002A6E60"/>
    <w:rsid w:val="002B147D"/>
    <w:rsid w:val="002D6A0E"/>
    <w:rsid w:val="002D7C60"/>
    <w:rsid w:val="002E3D91"/>
    <w:rsid w:val="002E656F"/>
    <w:rsid w:val="002F242D"/>
    <w:rsid w:val="00310B4E"/>
    <w:rsid w:val="00354B7D"/>
    <w:rsid w:val="00360E28"/>
    <w:rsid w:val="00381798"/>
    <w:rsid w:val="00391D64"/>
    <w:rsid w:val="003B2C73"/>
    <w:rsid w:val="003B5EE2"/>
    <w:rsid w:val="003C256D"/>
    <w:rsid w:val="003C51C7"/>
    <w:rsid w:val="004239C1"/>
    <w:rsid w:val="00431955"/>
    <w:rsid w:val="00435789"/>
    <w:rsid w:val="00435DB9"/>
    <w:rsid w:val="00451508"/>
    <w:rsid w:val="00457E64"/>
    <w:rsid w:val="0046091D"/>
    <w:rsid w:val="00474846"/>
    <w:rsid w:val="004A2228"/>
    <w:rsid w:val="004B0FEF"/>
    <w:rsid w:val="004B4539"/>
    <w:rsid w:val="004E6C59"/>
    <w:rsid w:val="004E7B95"/>
    <w:rsid w:val="0052522D"/>
    <w:rsid w:val="00580342"/>
    <w:rsid w:val="00591110"/>
    <w:rsid w:val="00597CCD"/>
    <w:rsid w:val="005B1E13"/>
    <w:rsid w:val="005C1975"/>
    <w:rsid w:val="005D6663"/>
    <w:rsid w:val="006124AE"/>
    <w:rsid w:val="0061344C"/>
    <w:rsid w:val="006347B7"/>
    <w:rsid w:val="006625AC"/>
    <w:rsid w:val="006737C9"/>
    <w:rsid w:val="00675CF3"/>
    <w:rsid w:val="00691122"/>
    <w:rsid w:val="006A2E24"/>
    <w:rsid w:val="006A4D95"/>
    <w:rsid w:val="006B5426"/>
    <w:rsid w:val="006E0782"/>
    <w:rsid w:val="006E307D"/>
    <w:rsid w:val="007010A1"/>
    <w:rsid w:val="00733B24"/>
    <w:rsid w:val="007346AC"/>
    <w:rsid w:val="0074463E"/>
    <w:rsid w:val="00752B37"/>
    <w:rsid w:val="00762DB0"/>
    <w:rsid w:val="00764ACD"/>
    <w:rsid w:val="00780D27"/>
    <w:rsid w:val="00791D86"/>
    <w:rsid w:val="007A6E0E"/>
    <w:rsid w:val="007A77D4"/>
    <w:rsid w:val="007E30D5"/>
    <w:rsid w:val="007E4F64"/>
    <w:rsid w:val="007F4153"/>
    <w:rsid w:val="007F42C5"/>
    <w:rsid w:val="0082436B"/>
    <w:rsid w:val="0084736B"/>
    <w:rsid w:val="008661F2"/>
    <w:rsid w:val="00872212"/>
    <w:rsid w:val="0088342B"/>
    <w:rsid w:val="008877A5"/>
    <w:rsid w:val="008D6B4A"/>
    <w:rsid w:val="008D6D2F"/>
    <w:rsid w:val="008D7DF2"/>
    <w:rsid w:val="00902354"/>
    <w:rsid w:val="00907C9A"/>
    <w:rsid w:val="0091391C"/>
    <w:rsid w:val="009370F4"/>
    <w:rsid w:val="009734A5"/>
    <w:rsid w:val="0099227B"/>
    <w:rsid w:val="009B6BA1"/>
    <w:rsid w:val="00A00AD3"/>
    <w:rsid w:val="00A305CF"/>
    <w:rsid w:val="00A3086C"/>
    <w:rsid w:val="00A33C2A"/>
    <w:rsid w:val="00A4498F"/>
    <w:rsid w:val="00A52B66"/>
    <w:rsid w:val="00A71705"/>
    <w:rsid w:val="00A8335D"/>
    <w:rsid w:val="00A87822"/>
    <w:rsid w:val="00A91035"/>
    <w:rsid w:val="00A971BE"/>
    <w:rsid w:val="00AA1B34"/>
    <w:rsid w:val="00AA3E8B"/>
    <w:rsid w:val="00AA3F66"/>
    <w:rsid w:val="00AB1BC6"/>
    <w:rsid w:val="00AB2F52"/>
    <w:rsid w:val="00AB31B7"/>
    <w:rsid w:val="00AD17A7"/>
    <w:rsid w:val="00AD61A5"/>
    <w:rsid w:val="00B12EEA"/>
    <w:rsid w:val="00B1572B"/>
    <w:rsid w:val="00B22314"/>
    <w:rsid w:val="00B2323C"/>
    <w:rsid w:val="00B63D61"/>
    <w:rsid w:val="00B8579E"/>
    <w:rsid w:val="00B94006"/>
    <w:rsid w:val="00BA375F"/>
    <w:rsid w:val="00BC6A9B"/>
    <w:rsid w:val="00C02976"/>
    <w:rsid w:val="00C10481"/>
    <w:rsid w:val="00C17FAB"/>
    <w:rsid w:val="00C2482D"/>
    <w:rsid w:val="00C355F4"/>
    <w:rsid w:val="00C3620A"/>
    <w:rsid w:val="00C505EC"/>
    <w:rsid w:val="00C56159"/>
    <w:rsid w:val="00C65C7E"/>
    <w:rsid w:val="00C76591"/>
    <w:rsid w:val="00C82396"/>
    <w:rsid w:val="00C96B35"/>
    <w:rsid w:val="00C97BB4"/>
    <w:rsid w:val="00CA397B"/>
    <w:rsid w:val="00CA6D91"/>
    <w:rsid w:val="00CB464B"/>
    <w:rsid w:val="00CE462C"/>
    <w:rsid w:val="00CE599C"/>
    <w:rsid w:val="00CE63FD"/>
    <w:rsid w:val="00CF22FF"/>
    <w:rsid w:val="00D1115A"/>
    <w:rsid w:val="00D23B5F"/>
    <w:rsid w:val="00D346D7"/>
    <w:rsid w:val="00D36B2F"/>
    <w:rsid w:val="00D63920"/>
    <w:rsid w:val="00D867AE"/>
    <w:rsid w:val="00D93A23"/>
    <w:rsid w:val="00D961B1"/>
    <w:rsid w:val="00DA0FFF"/>
    <w:rsid w:val="00DA15B8"/>
    <w:rsid w:val="00DA3B00"/>
    <w:rsid w:val="00DB3258"/>
    <w:rsid w:val="00DB6CAF"/>
    <w:rsid w:val="00DE418D"/>
    <w:rsid w:val="00DF7E3E"/>
    <w:rsid w:val="00E32E8B"/>
    <w:rsid w:val="00E36B58"/>
    <w:rsid w:val="00E42D3A"/>
    <w:rsid w:val="00E46719"/>
    <w:rsid w:val="00E47291"/>
    <w:rsid w:val="00E627AC"/>
    <w:rsid w:val="00E83A52"/>
    <w:rsid w:val="00EB4EDE"/>
    <w:rsid w:val="00ED2653"/>
    <w:rsid w:val="00EE50AE"/>
    <w:rsid w:val="00EF0543"/>
    <w:rsid w:val="00F32216"/>
    <w:rsid w:val="00F37A5C"/>
    <w:rsid w:val="00F40E0A"/>
    <w:rsid w:val="00F43BE0"/>
    <w:rsid w:val="00F52FB3"/>
    <w:rsid w:val="00F566B3"/>
    <w:rsid w:val="00F609DE"/>
    <w:rsid w:val="00F80872"/>
    <w:rsid w:val="00F82BBF"/>
    <w:rsid w:val="00F92749"/>
    <w:rsid w:val="00FB0490"/>
    <w:rsid w:val="00FD75CE"/>
    <w:rsid w:val="00FE15C5"/>
    <w:rsid w:val="00FF004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941C5FE"/>
  <w14:defaultImageDpi w14:val="0"/>
  <w15:docId w15:val="{BA911335-7C9C-4071-B6DA-C1CBB1D1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link w:val="Heading1Char"/>
    <w:uiPriority w:val="9"/>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rsid w:val="007346AC"/>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rsid w:val="007346AC"/>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semiHidden/>
    <w:rsid w:val="007346AC"/>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link w:val="AmainChar"/>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link w:val="AparaChar"/>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link w:val="HeaderChar"/>
    <w:uiPriority w:val="99"/>
    <w:semiHidden/>
    <w:rsid w:val="007346AC"/>
    <w:pPr>
      <w:tabs>
        <w:tab w:val="left" w:pos="2880"/>
        <w:tab w:val="center" w:pos="4153"/>
        <w:tab w:val="right" w:pos="8306"/>
      </w:tabs>
    </w:pPr>
  </w:style>
  <w:style w:type="character" w:customStyle="1" w:styleId="HeaderChar">
    <w:name w:val="Header Char"/>
    <w:basedOn w:val="DefaultParagraphFont"/>
    <w:link w:val="Header"/>
    <w:uiPriority w:val="99"/>
    <w:semiHidden/>
    <w:locked/>
    <w:rPr>
      <w:rFonts w:cs="Times New Roman"/>
      <w:sz w:val="24"/>
      <w:lang w:val="x-none" w:eastAsia="en-US"/>
    </w:r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rPr>
      <w:rFonts w:cs="Times New Roman"/>
    </w:rPr>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semiHidden/>
    <w:rsid w:val="007346AC"/>
    <w:rPr>
      <w:rFonts w:cs="Times New Roman"/>
    </w:rPr>
  </w:style>
  <w:style w:type="paragraph" w:customStyle="1" w:styleId="Aparabullet">
    <w:name w:val="A para bullet"/>
    <w:basedOn w:val="Normal"/>
    <w:rsid w:val="007346AC"/>
    <w:pPr>
      <w:numPr>
        <w:numId w:val="4"/>
      </w:numPr>
    </w:pPr>
  </w:style>
  <w:style w:type="paragraph" w:styleId="TOC1">
    <w:name w:val="toc 1"/>
    <w:basedOn w:val="Normal"/>
    <w:next w:val="Normal"/>
    <w:autoRedefine/>
    <w:uiPriority w:val="39"/>
    <w:semiHidden/>
    <w:rsid w:val="007346AC"/>
  </w:style>
  <w:style w:type="paragraph" w:styleId="TOC2">
    <w:name w:val="toc 2"/>
    <w:basedOn w:val="Normal"/>
    <w:next w:val="Normal"/>
    <w:autoRedefine/>
    <w:uiPriority w:val="39"/>
    <w:semiHidden/>
    <w:rsid w:val="007346AC"/>
    <w:pPr>
      <w:ind w:left="240"/>
    </w:pPr>
  </w:style>
  <w:style w:type="paragraph" w:styleId="TOC3">
    <w:name w:val="toc 3"/>
    <w:basedOn w:val="Normal"/>
    <w:next w:val="Normal"/>
    <w:autoRedefine/>
    <w:uiPriority w:val="39"/>
    <w:semiHidden/>
    <w:rsid w:val="007346AC"/>
    <w:pPr>
      <w:ind w:left="480"/>
    </w:pPr>
  </w:style>
  <w:style w:type="paragraph" w:styleId="TOC4">
    <w:name w:val="toc 4"/>
    <w:basedOn w:val="Normal"/>
    <w:next w:val="Normal"/>
    <w:autoRedefine/>
    <w:uiPriority w:val="39"/>
    <w:semiHidden/>
    <w:rsid w:val="007346AC"/>
    <w:pPr>
      <w:ind w:left="720"/>
    </w:pPr>
  </w:style>
  <w:style w:type="paragraph" w:styleId="TOC5">
    <w:name w:val="toc 5"/>
    <w:basedOn w:val="Normal"/>
    <w:next w:val="Normal"/>
    <w:autoRedefine/>
    <w:uiPriority w:val="39"/>
    <w:semiHidden/>
    <w:rsid w:val="007346AC"/>
    <w:pPr>
      <w:ind w:left="960"/>
    </w:pPr>
  </w:style>
  <w:style w:type="paragraph" w:styleId="TOC6">
    <w:name w:val="toc 6"/>
    <w:basedOn w:val="Normal"/>
    <w:next w:val="Normal"/>
    <w:autoRedefine/>
    <w:uiPriority w:val="39"/>
    <w:semiHidden/>
    <w:rsid w:val="007346AC"/>
    <w:pPr>
      <w:ind w:left="1200"/>
    </w:pPr>
  </w:style>
  <w:style w:type="paragraph" w:styleId="TOC7">
    <w:name w:val="toc 7"/>
    <w:basedOn w:val="Normal"/>
    <w:next w:val="Normal"/>
    <w:autoRedefine/>
    <w:uiPriority w:val="39"/>
    <w:semiHidden/>
    <w:rsid w:val="007346AC"/>
    <w:pPr>
      <w:ind w:left="1440"/>
    </w:pPr>
  </w:style>
  <w:style w:type="paragraph" w:styleId="TOC8">
    <w:name w:val="toc 8"/>
    <w:basedOn w:val="Normal"/>
    <w:next w:val="Normal"/>
    <w:autoRedefine/>
    <w:uiPriority w:val="39"/>
    <w:semiHidden/>
    <w:rsid w:val="007346AC"/>
    <w:pPr>
      <w:ind w:left="1680"/>
    </w:pPr>
  </w:style>
  <w:style w:type="paragraph" w:styleId="TOC9">
    <w:name w:val="toc 9"/>
    <w:basedOn w:val="Normal"/>
    <w:next w:val="Normal"/>
    <w:autoRedefine/>
    <w:uiPriority w:val="39"/>
    <w:semiHidden/>
    <w:rsid w:val="007346AC"/>
    <w:pPr>
      <w:ind w:left="1920"/>
    </w:pPr>
  </w:style>
  <w:style w:type="character" w:styleId="Hyperlink">
    <w:name w:val="Hyperlink"/>
    <w:basedOn w:val="DefaultParagraphFont"/>
    <w:uiPriority w:val="99"/>
    <w:semiHidden/>
    <w:rsid w:val="007346AC"/>
    <w:rPr>
      <w:rFonts w:cs="Times New Roman"/>
      <w:color w:val="0000FF"/>
      <w:u w:val="single"/>
    </w:rPr>
  </w:style>
  <w:style w:type="paragraph" w:styleId="BodyTextIndent">
    <w:name w:val="Body Text Indent"/>
    <w:basedOn w:val="Normal"/>
    <w:link w:val="BodyTextIndentChar"/>
    <w:uiPriority w:val="99"/>
    <w:semiHidden/>
    <w:rsid w:val="007346AC"/>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uiPriority w:val="99"/>
    <w:semiHidden/>
    <w:rsid w:val="007346AC"/>
    <w:rPr>
      <w:rFonts w:cs="Times New Roman"/>
      <w:color w:val="800080"/>
      <w:u w:val="single"/>
    </w:rPr>
  </w:style>
  <w:style w:type="character" w:styleId="FootnoteReference">
    <w:name w:val="footnote reference"/>
    <w:basedOn w:val="DefaultParagraphFont"/>
    <w:uiPriority w:val="99"/>
    <w:semiHidden/>
    <w:rsid w:val="007346AC"/>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7346AC"/>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rPr>
      <w:rFonts w:cs="Times New Roman"/>
    </w:rPr>
  </w:style>
  <w:style w:type="paragraph" w:styleId="ListParagraph">
    <w:name w:val="List Paragraph"/>
    <w:basedOn w:val="Normal"/>
    <w:uiPriority w:val="34"/>
    <w:qFormat/>
    <w:rsid w:val="006E307D"/>
    <w:pPr>
      <w:ind w:left="720"/>
      <w:contextualSpacing/>
    </w:pPr>
  </w:style>
  <w:style w:type="paragraph" w:styleId="BalloonText">
    <w:name w:val="Balloon Text"/>
    <w:basedOn w:val="Normal"/>
    <w:link w:val="BalloonTextChar"/>
    <w:uiPriority w:val="99"/>
    <w:semiHidden/>
    <w:unhideWhenUsed/>
    <w:rsid w:val="00A878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7822"/>
    <w:rPr>
      <w:rFonts w:ascii="Tahoma" w:hAnsi="Tahoma" w:cs="Tahoma"/>
      <w:sz w:val="16"/>
      <w:szCs w:val="16"/>
      <w:lang w:val="x-none" w:eastAsia="en-US"/>
    </w:rPr>
  </w:style>
  <w:style w:type="paragraph" w:customStyle="1" w:styleId="aNote">
    <w:name w:val="aNote"/>
    <w:basedOn w:val="Normal"/>
    <w:link w:val="aNoteChar"/>
    <w:rsid w:val="00E32E8B"/>
    <w:pPr>
      <w:spacing w:before="140"/>
      <w:ind w:left="1900" w:hanging="800"/>
      <w:jc w:val="both"/>
    </w:pPr>
    <w:rPr>
      <w:sz w:val="20"/>
    </w:rPr>
  </w:style>
  <w:style w:type="character" w:customStyle="1" w:styleId="charItals">
    <w:name w:val="charItals"/>
    <w:basedOn w:val="DefaultParagraphFont"/>
    <w:rsid w:val="00E32E8B"/>
    <w:rPr>
      <w:rFonts w:cs="Times New Roman"/>
      <w:i/>
    </w:rPr>
  </w:style>
  <w:style w:type="character" w:customStyle="1" w:styleId="aNoteChar">
    <w:name w:val="aNote Char"/>
    <w:basedOn w:val="DefaultParagraphFont"/>
    <w:link w:val="aNote"/>
    <w:locked/>
    <w:rsid w:val="00E32E8B"/>
    <w:rPr>
      <w:rFonts w:cs="Times New Roman"/>
      <w:lang w:val="x-none" w:eastAsia="en-US"/>
    </w:rPr>
  </w:style>
  <w:style w:type="paragraph" w:customStyle="1" w:styleId="CoverTextBullet">
    <w:name w:val="CoverTextBullet"/>
    <w:basedOn w:val="Normal"/>
    <w:qFormat/>
    <w:rsid w:val="00E32E8B"/>
    <w:pPr>
      <w:numPr>
        <w:numId w:val="11"/>
      </w:numPr>
      <w:spacing w:before="100"/>
      <w:jc w:val="both"/>
    </w:pPr>
    <w:rPr>
      <w:color w:val="000000"/>
      <w:sz w:val="20"/>
    </w:rPr>
  </w:style>
  <w:style w:type="character" w:customStyle="1" w:styleId="charCitHyperlinkAbbrev">
    <w:name w:val="charCitHyperlinkAbbrev"/>
    <w:basedOn w:val="Hyperlink"/>
    <w:uiPriority w:val="1"/>
    <w:rsid w:val="00E32E8B"/>
    <w:rPr>
      <w:rFonts w:cs="Times New Roman"/>
      <w:color w:val="0000FF" w:themeColor="hyperlink"/>
      <w:u w:val="none"/>
    </w:rPr>
  </w:style>
  <w:style w:type="character" w:customStyle="1" w:styleId="AparaChar">
    <w:name w:val="A para Char"/>
    <w:basedOn w:val="DefaultParagraphFont"/>
    <w:link w:val="Apara"/>
    <w:locked/>
    <w:rsid w:val="00E32E8B"/>
    <w:rPr>
      <w:rFonts w:cs="Times New Roman"/>
      <w:sz w:val="24"/>
      <w:lang w:val="x-none" w:eastAsia="en-US"/>
    </w:rPr>
  </w:style>
  <w:style w:type="character" w:customStyle="1" w:styleId="AmainChar">
    <w:name w:val="A main Char"/>
    <w:basedOn w:val="DefaultParagraphFont"/>
    <w:link w:val="Amain"/>
    <w:locked/>
    <w:rsid w:val="00E32E8B"/>
    <w:rPr>
      <w:rFonts w:cs="Times New Roman"/>
      <w:sz w:val="24"/>
      <w:lang w:val="x-none" w:eastAsia="en-US"/>
    </w:rPr>
  </w:style>
  <w:style w:type="character" w:styleId="CommentReference">
    <w:name w:val="annotation reference"/>
    <w:basedOn w:val="DefaultParagraphFont"/>
    <w:uiPriority w:val="99"/>
    <w:rsid w:val="00A3086C"/>
    <w:rPr>
      <w:rFonts w:cs="Times New Roman"/>
      <w:sz w:val="16"/>
      <w:szCs w:val="16"/>
    </w:rPr>
  </w:style>
  <w:style w:type="paragraph" w:styleId="CommentText">
    <w:name w:val="annotation text"/>
    <w:basedOn w:val="Normal"/>
    <w:link w:val="CommentTextChar"/>
    <w:uiPriority w:val="99"/>
    <w:rsid w:val="00A3086C"/>
    <w:rPr>
      <w:sz w:val="20"/>
    </w:rPr>
  </w:style>
  <w:style w:type="character" w:customStyle="1" w:styleId="CommentTextChar">
    <w:name w:val="Comment Text Char"/>
    <w:basedOn w:val="DefaultParagraphFont"/>
    <w:link w:val="CommentText"/>
    <w:uiPriority w:val="99"/>
    <w:locked/>
    <w:rsid w:val="00A3086C"/>
    <w:rPr>
      <w:rFonts w:cs="Times New Roman"/>
      <w:lang w:val="x-none" w:eastAsia="en-US"/>
    </w:rPr>
  </w:style>
  <w:style w:type="paragraph" w:styleId="CommentSubject">
    <w:name w:val="annotation subject"/>
    <w:basedOn w:val="CommentText"/>
    <w:next w:val="CommentText"/>
    <w:link w:val="CommentSubjectChar"/>
    <w:uiPriority w:val="99"/>
    <w:rsid w:val="00A3086C"/>
    <w:rPr>
      <w:b/>
      <w:bCs/>
    </w:rPr>
  </w:style>
  <w:style w:type="character" w:customStyle="1" w:styleId="CommentSubjectChar">
    <w:name w:val="Comment Subject Char"/>
    <w:basedOn w:val="CommentTextChar"/>
    <w:link w:val="CommentSubject"/>
    <w:uiPriority w:val="99"/>
    <w:locked/>
    <w:rsid w:val="00A3086C"/>
    <w:rPr>
      <w:rFonts w:cs="Times New Roman"/>
      <w:b/>
      <w:bCs/>
      <w:lang w:val="x-none" w:eastAsia="en-US"/>
    </w:rPr>
  </w:style>
  <w:style w:type="paragraph" w:customStyle="1" w:styleId="mbullet1">
    <w:name w:val="m_bullet 1"/>
    <w:basedOn w:val="ListParagraph"/>
    <w:qFormat/>
    <w:rsid w:val="00227417"/>
    <w:pPr>
      <w:numPr>
        <w:numId w:val="19"/>
      </w:numPr>
      <w:spacing w:line="276" w:lineRule="auto"/>
      <w:contextualSpacing w:val="0"/>
    </w:pPr>
    <w:rPr>
      <w:rFonts w:ascii="Calibri" w:eastAsia="Calibri" w:hAnsi="Calibri" w:cs="System"/>
      <w:color w:val="8080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84081">
      <w:bodyDiv w:val="1"/>
      <w:marLeft w:val="0"/>
      <w:marRight w:val="0"/>
      <w:marTop w:val="0"/>
      <w:marBottom w:val="0"/>
      <w:divBdr>
        <w:top w:val="none" w:sz="0" w:space="0" w:color="auto"/>
        <w:left w:val="none" w:sz="0" w:space="0" w:color="auto"/>
        <w:bottom w:val="none" w:sz="0" w:space="0" w:color="auto"/>
        <w:right w:val="none" w:sz="0" w:space="0" w:color="auto"/>
      </w:divBdr>
    </w:div>
    <w:div w:id="887650000">
      <w:bodyDiv w:val="1"/>
      <w:marLeft w:val="0"/>
      <w:marRight w:val="0"/>
      <w:marTop w:val="0"/>
      <w:marBottom w:val="0"/>
      <w:divBdr>
        <w:top w:val="none" w:sz="0" w:space="0" w:color="auto"/>
        <w:left w:val="none" w:sz="0" w:space="0" w:color="auto"/>
        <w:bottom w:val="none" w:sz="0" w:space="0" w:color="auto"/>
        <w:right w:val="none" w:sz="0" w:space="0" w:color="auto"/>
      </w:divBdr>
    </w:div>
    <w:div w:id="9713997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26B0F-2F47-4FAB-931A-2F512AF6F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2616</Characters>
  <Application>Microsoft Office Word</Application>
  <DocSecurity>0</DocSecurity>
  <Lines>63</Lines>
  <Paragraphs>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2017-06-09T04:40:00Z</cp:lastPrinted>
  <dcterms:created xsi:type="dcterms:W3CDTF">2020-06-24T06:11:00Z</dcterms:created>
  <dcterms:modified xsi:type="dcterms:W3CDTF">2020-06-24T06:11:00Z</dcterms:modified>
</cp:coreProperties>
</file>