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77100" w14:textId="77777777" w:rsidR="00386FA5" w:rsidRDefault="00386FA5" w:rsidP="00044772">
      <w:pPr>
        <w:rPr>
          <w:rFonts w:ascii="Arial" w:hAnsi="Arial"/>
          <w:sz w:val="20"/>
        </w:rPr>
      </w:pPr>
      <w:bookmarkStart w:id="0" w:name="_GoBack"/>
      <w:bookmarkEnd w:id="0"/>
    </w:p>
    <w:p w14:paraId="6986F466" w14:textId="77777777" w:rsidR="00386FA5" w:rsidRDefault="00386FA5">
      <w:pPr>
        <w:spacing w:before="120"/>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14:paraId="795AE05E" w14:textId="11C591E4" w:rsidR="00386FA5" w:rsidRDefault="00386FA5" w:rsidP="006C32CD">
      <w:pPr>
        <w:pStyle w:val="Billname"/>
        <w:overflowPunct/>
        <w:autoSpaceDE/>
        <w:autoSpaceDN/>
        <w:adjustRightInd/>
        <w:spacing w:before="700"/>
        <w:textAlignment w:val="auto"/>
      </w:pPr>
      <w:r>
        <w:t>Road Transport (General) Applicatio</w:t>
      </w:r>
      <w:r w:rsidR="00D23BDD">
        <w:t>n of Road Transport Legislation</w:t>
      </w:r>
      <w:r>
        <w:t xml:space="preserve"> Declaration </w:t>
      </w:r>
      <w:r w:rsidR="00261C00">
        <w:t>2020</w:t>
      </w:r>
      <w:r w:rsidR="00A653EF">
        <w:t xml:space="preserve"> </w:t>
      </w:r>
      <w:r w:rsidR="00935EA8">
        <w:t>(No</w:t>
      </w:r>
      <w:r w:rsidR="00E2721C">
        <w:t xml:space="preserve"> </w:t>
      </w:r>
      <w:r w:rsidR="0088068A">
        <w:t>4</w:t>
      </w:r>
      <w:r w:rsidR="00C76C73">
        <w:t>)</w:t>
      </w:r>
    </w:p>
    <w:p w14:paraId="2E5E64E5" w14:textId="1C1DD349" w:rsidR="00386FA5" w:rsidRPr="006C32CD" w:rsidRDefault="00386FA5" w:rsidP="006C32CD">
      <w:pPr>
        <w:spacing w:before="340"/>
        <w:rPr>
          <w:rFonts w:ascii="Arial" w:hAnsi="Arial" w:cs="Arial"/>
          <w:b/>
          <w:bCs/>
        </w:rPr>
      </w:pPr>
      <w:bookmarkStart w:id="1" w:name="Citation"/>
      <w:r w:rsidRPr="006C32CD">
        <w:rPr>
          <w:rFonts w:ascii="Arial" w:hAnsi="Arial" w:cs="Arial"/>
          <w:b/>
          <w:bCs/>
        </w:rPr>
        <w:t xml:space="preserve">Disallowable instrument </w:t>
      </w:r>
      <w:r w:rsidR="00A653EF" w:rsidRPr="006C32CD">
        <w:rPr>
          <w:rFonts w:ascii="Arial" w:hAnsi="Arial" w:cs="Arial"/>
          <w:b/>
          <w:bCs/>
        </w:rPr>
        <w:t>DI20</w:t>
      </w:r>
      <w:r w:rsidR="00261C00">
        <w:rPr>
          <w:rFonts w:ascii="Arial" w:hAnsi="Arial" w:cs="Arial"/>
          <w:b/>
          <w:bCs/>
        </w:rPr>
        <w:t>20</w:t>
      </w:r>
      <w:r w:rsidR="00DC2B5C">
        <w:rPr>
          <w:rFonts w:ascii="Arial" w:hAnsi="Arial" w:cs="Arial"/>
          <w:b/>
          <w:bCs/>
        </w:rPr>
        <w:t>-191</w:t>
      </w:r>
    </w:p>
    <w:p w14:paraId="76516AA6" w14:textId="77777777" w:rsidR="00386FA5" w:rsidRDefault="00386FA5" w:rsidP="006C32CD">
      <w:pPr>
        <w:pStyle w:val="madeunder"/>
        <w:overflowPunct/>
        <w:autoSpaceDE/>
        <w:autoSpaceDN/>
        <w:adjustRightInd/>
        <w:spacing w:before="300" w:after="0"/>
        <w:textAlignment w:val="auto"/>
      </w:pPr>
      <w:r>
        <w:t>made under the</w:t>
      </w:r>
    </w:p>
    <w:p w14:paraId="2C754AC2" w14:textId="77777777" w:rsidR="00386FA5" w:rsidRPr="006C32CD" w:rsidRDefault="00386FA5" w:rsidP="006C32CD">
      <w:pPr>
        <w:pStyle w:val="CoverActName"/>
        <w:overflowPunct/>
        <w:autoSpaceDE/>
        <w:autoSpaceDN/>
        <w:adjustRightInd/>
        <w:spacing w:before="320" w:after="0"/>
        <w:textAlignment w:val="auto"/>
        <w:rPr>
          <w:rFonts w:cs="Arial"/>
          <w:sz w:val="20"/>
        </w:rPr>
      </w:pPr>
      <w:r w:rsidRPr="006C32CD">
        <w:rPr>
          <w:rFonts w:cs="Arial"/>
          <w:sz w:val="20"/>
        </w:rPr>
        <w:t>Road Transport (General) Act 1999</w:t>
      </w:r>
      <w:r>
        <w:rPr>
          <w:rFonts w:cs="Arial"/>
          <w:sz w:val="20"/>
        </w:rPr>
        <w:t>, s</w:t>
      </w:r>
      <w:r w:rsidR="00D401B4">
        <w:rPr>
          <w:rFonts w:cs="Arial"/>
          <w:sz w:val="20"/>
        </w:rPr>
        <w:t xml:space="preserve">ection </w:t>
      </w:r>
      <w:r>
        <w:rPr>
          <w:rFonts w:cs="Arial"/>
          <w:sz w:val="20"/>
        </w:rPr>
        <w:t>1</w:t>
      </w:r>
      <w:r w:rsidR="00BC4AC2">
        <w:rPr>
          <w:rFonts w:cs="Arial"/>
          <w:sz w:val="20"/>
        </w:rPr>
        <w:t>3</w:t>
      </w:r>
      <w:r w:rsidR="004B2940">
        <w:rPr>
          <w:rFonts w:cs="Arial"/>
          <w:sz w:val="20"/>
        </w:rPr>
        <w:t xml:space="preserve"> </w:t>
      </w:r>
      <w:r>
        <w:rPr>
          <w:rFonts w:cs="Arial"/>
          <w:sz w:val="20"/>
        </w:rPr>
        <w:t xml:space="preserve">(Power to exclude </w:t>
      </w:r>
      <w:r w:rsidR="00BC4AC2">
        <w:rPr>
          <w:rFonts w:cs="Arial"/>
          <w:sz w:val="20"/>
        </w:rPr>
        <w:t>vehicles, persons or animals from</w:t>
      </w:r>
      <w:r w:rsidR="009528A1">
        <w:rPr>
          <w:rFonts w:cs="Arial"/>
          <w:sz w:val="20"/>
        </w:rPr>
        <w:t xml:space="preserve"> road tr</w:t>
      </w:r>
      <w:r>
        <w:rPr>
          <w:rFonts w:cs="Arial"/>
          <w:sz w:val="20"/>
        </w:rPr>
        <w:t>ansport legislation)</w:t>
      </w:r>
    </w:p>
    <w:bookmarkEnd w:id="1"/>
    <w:p w14:paraId="2AC1B00C" w14:textId="77777777" w:rsidR="00386FA5" w:rsidRDefault="00386FA5">
      <w:pPr>
        <w:pStyle w:val="N-line3"/>
        <w:pBdr>
          <w:bottom w:val="none" w:sz="0" w:space="0" w:color="auto"/>
        </w:pBdr>
      </w:pPr>
    </w:p>
    <w:p w14:paraId="638B7F58" w14:textId="77777777" w:rsidR="00386FA5" w:rsidRDefault="00386FA5">
      <w:pPr>
        <w:pStyle w:val="Heading2"/>
      </w:pPr>
      <w:r>
        <w:t>EXPLANATORY STATEMENT</w:t>
      </w:r>
    </w:p>
    <w:p w14:paraId="79A13BA4" w14:textId="77777777" w:rsidR="00386FA5" w:rsidRDefault="00386FA5"/>
    <w:p w14:paraId="3979F944" w14:textId="77777777" w:rsidR="00386FA5" w:rsidRDefault="00386FA5">
      <w:pPr>
        <w:pStyle w:val="N-line3"/>
        <w:pBdr>
          <w:top w:val="single" w:sz="12" w:space="1" w:color="auto"/>
          <w:bottom w:val="none" w:sz="0" w:space="0" w:color="auto"/>
        </w:pBdr>
      </w:pPr>
    </w:p>
    <w:p w14:paraId="175C74C1" w14:textId="77777777" w:rsidR="00386FA5" w:rsidRDefault="00386FA5"/>
    <w:p w14:paraId="50F7DBCA" w14:textId="77777777" w:rsidR="006767A0" w:rsidRDefault="006767A0" w:rsidP="006767A0">
      <w:r>
        <w:t>Section 13</w:t>
      </w:r>
      <w:r w:rsidR="006C32CD">
        <w:t xml:space="preserve"> </w:t>
      </w:r>
      <w:r>
        <w:t xml:space="preserve">(1) of the </w:t>
      </w:r>
      <w:r>
        <w:rPr>
          <w:i/>
        </w:rPr>
        <w:t>Road Transport (General) Act 1999</w:t>
      </w:r>
      <w:r>
        <w:t xml:space="preserve"> (the Act) </w:t>
      </w:r>
      <w:r w:rsidR="006C32CD">
        <w:t>provides that</w:t>
      </w:r>
      <w:r>
        <w:t xml:space="preserve"> the Minister </w:t>
      </w:r>
      <w:r w:rsidR="006C32CD">
        <w:t>may</w:t>
      </w:r>
      <w:r>
        <w:t xml:space="preserve"> declare that the road transport legislation</w:t>
      </w:r>
      <w:r w:rsidR="006C32CD">
        <w:t>, or a provision of the road transport legislation,</w:t>
      </w:r>
      <w:r>
        <w:t xml:space="preserve"> does not apply to a vehicle, person or animal in a place or circumstance stated in the declaration. Subsection 13</w:t>
      </w:r>
      <w:r w:rsidR="006C32CD">
        <w:t xml:space="preserve"> </w:t>
      </w:r>
      <w:r>
        <w:t>(3) of the Act makes such a declaration a disallowable instrument.</w:t>
      </w:r>
    </w:p>
    <w:p w14:paraId="4FB7BFC1" w14:textId="77777777" w:rsidR="006767A0" w:rsidRDefault="006767A0" w:rsidP="006767A0">
      <w:pPr>
        <w:tabs>
          <w:tab w:val="left" w:pos="2600"/>
        </w:tabs>
        <w:autoSpaceDE w:val="0"/>
        <w:autoSpaceDN w:val="0"/>
        <w:adjustRightInd w:val="0"/>
        <w:rPr>
          <w:szCs w:val="24"/>
          <w:lang w:eastAsia="en-AU"/>
        </w:rPr>
      </w:pPr>
    </w:p>
    <w:p w14:paraId="5744341E" w14:textId="4F772FFE" w:rsidR="006767A0" w:rsidRDefault="006767A0" w:rsidP="006767A0">
      <w:pPr>
        <w:tabs>
          <w:tab w:val="left" w:pos="2600"/>
        </w:tabs>
        <w:autoSpaceDE w:val="0"/>
        <w:autoSpaceDN w:val="0"/>
        <w:adjustRightInd w:val="0"/>
        <w:rPr>
          <w:szCs w:val="24"/>
          <w:lang w:eastAsia="en-AU"/>
        </w:rPr>
      </w:pPr>
      <w:r>
        <w:rPr>
          <w:szCs w:val="24"/>
          <w:lang w:eastAsia="en-AU"/>
        </w:rPr>
        <w:t xml:space="preserve">This instrument </w:t>
      </w:r>
      <w:r w:rsidR="006C32CD">
        <w:rPr>
          <w:szCs w:val="24"/>
          <w:lang w:eastAsia="en-AU"/>
        </w:rPr>
        <w:t xml:space="preserve">provides </w:t>
      </w:r>
      <w:r>
        <w:rPr>
          <w:szCs w:val="24"/>
          <w:lang w:eastAsia="en-AU"/>
        </w:rPr>
        <w:t>that certain parts of the road transpor</w:t>
      </w:r>
      <w:r w:rsidR="00CD1D9F">
        <w:rPr>
          <w:szCs w:val="24"/>
          <w:lang w:eastAsia="en-AU"/>
        </w:rPr>
        <w:t xml:space="preserve">t legislation do not apply to a designated vehicle or the driver of a designated </w:t>
      </w:r>
      <w:r>
        <w:rPr>
          <w:szCs w:val="24"/>
          <w:lang w:eastAsia="en-AU"/>
        </w:rPr>
        <w:t xml:space="preserve">vehicle, while participating in a special stage of </w:t>
      </w:r>
      <w:r w:rsidR="00E2721C">
        <w:rPr>
          <w:szCs w:val="24"/>
          <w:lang w:eastAsia="en-AU"/>
        </w:rPr>
        <w:t xml:space="preserve">the </w:t>
      </w:r>
      <w:r w:rsidR="00B90C23" w:rsidRPr="0029591E">
        <w:t>Active Rally Sport Test Day</w:t>
      </w:r>
      <w:r w:rsidR="00A653EF">
        <w:t xml:space="preserve"> </w:t>
      </w:r>
      <w:r>
        <w:rPr>
          <w:szCs w:val="24"/>
          <w:lang w:eastAsia="en-AU"/>
        </w:rPr>
        <w:t>taking place on</w:t>
      </w:r>
      <w:r w:rsidR="00C56860">
        <w:rPr>
          <w:szCs w:val="24"/>
          <w:lang w:eastAsia="en-AU"/>
        </w:rPr>
        <w:t xml:space="preserve"> </w:t>
      </w:r>
      <w:r w:rsidR="00B90C23">
        <w:rPr>
          <w:szCs w:val="24"/>
          <w:lang w:eastAsia="en-AU"/>
        </w:rPr>
        <w:t>2</w:t>
      </w:r>
      <w:r w:rsidR="00C56860">
        <w:rPr>
          <w:szCs w:val="24"/>
          <w:lang w:eastAsia="en-AU"/>
        </w:rPr>
        <w:t xml:space="preserve"> </w:t>
      </w:r>
      <w:r w:rsidR="00B90C23">
        <w:rPr>
          <w:szCs w:val="24"/>
          <w:lang w:eastAsia="en-AU"/>
        </w:rPr>
        <w:t>July</w:t>
      </w:r>
      <w:r w:rsidR="00C56860">
        <w:rPr>
          <w:szCs w:val="24"/>
          <w:lang w:eastAsia="en-AU"/>
        </w:rPr>
        <w:t xml:space="preserve"> 2020</w:t>
      </w:r>
      <w:r>
        <w:rPr>
          <w:szCs w:val="24"/>
          <w:lang w:eastAsia="en-AU"/>
        </w:rPr>
        <w:t>.</w:t>
      </w:r>
    </w:p>
    <w:p w14:paraId="6A9952D4" w14:textId="170B7479" w:rsidR="00F362C3" w:rsidRDefault="00F362C3" w:rsidP="006767A0">
      <w:pPr>
        <w:tabs>
          <w:tab w:val="left" w:pos="2600"/>
        </w:tabs>
        <w:autoSpaceDE w:val="0"/>
        <w:autoSpaceDN w:val="0"/>
        <w:adjustRightInd w:val="0"/>
        <w:rPr>
          <w:szCs w:val="24"/>
          <w:lang w:eastAsia="en-AU"/>
        </w:rPr>
      </w:pPr>
    </w:p>
    <w:p w14:paraId="213AACE1" w14:textId="77777777" w:rsidR="00F362C3" w:rsidRDefault="00F362C3" w:rsidP="00F362C3">
      <w:pPr>
        <w:ind w:left="-5"/>
      </w:pPr>
      <w:r>
        <w:t xml:space="preserve">The declaration is a disallowable instrument and must be presented to the Legislative Assembly within 6 sitting days after its notification pursuant to Section 61 of the </w:t>
      </w:r>
      <w:r w:rsidRPr="00FD0314">
        <w:rPr>
          <w:i/>
          <w:iCs/>
        </w:rPr>
        <w:t>Legislation Act 2001</w:t>
      </w:r>
      <w:r>
        <w:t>.</w:t>
      </w:r>
    </w:p>
    <w:p w14:paraId="6306EF4E" w14:textId="77777777" w:rsidR="00F362C3" w:rsidRDefault="00F362C3" w:rsidP="00F362C3">
      <w:pPr>
        <w:spacing w:line="259" w:lineRule="auto"/>
      </w:pPr>
    </w:p>
    <w:p w14:paraId="1C176CB0" w14:textId="77777777" w:rsidR="00F362C3" w:rsidRDefault="00F362C3" w:rsidP="00F362C3">
      <w:pPr>
        <w:pStyle w:val="Default"/>
        <w:rPr>
          <w:sz w:val="28"/>
          <w:szCs w:val="28"/>
        </w:rPr>
      </w:pPr>
      <w:r>
        <w:rPr>
          <w:b/>
          <w:bCs/>
          <w:sz w:val="28"/>
          <w:szCs w:val="28"/>
        </w:rPr>
        <w:t xml:space="preserve">Human rights implications </w:t>
      </w:r>
    </w:p>
    <w:p w14:paraId="49B15E40" w14:textId="77777777" w:rsidR="00F362C3" w:rsidRDefault="00F362C3" w:rsidP="00F362C3">
      <w:pPr>
        <w:pStyle w:val="Default"/>
        <w:rPr>
          <w:sz w:val="23"/>
          <w:szCs w:val="23"/>
        </w:rPr>
      </w:pPr>
    </w:p>
    <w:p w14:paraId="34798D93" w14:textId="77777777" w:rsidR="00F362C3" w:rsidRDefault="00F362C3" w:rsidP="00F362C3">
      <w:pPr>
        <w:pStyle w:val="Default"/>
        <w:rPr>
          <w:sz w:val="23"/>
          <w:szCs w:val="23"/>
        </w:rPr>
      </w:pPr>
      <w:r>
        <w:rPr>
          <w:sz w:val="23"/>
          <w:szCs w:val="23"/>
        </w:rPr>
        <w:t xml:space="preserve">During the development of this Instrument, due regard was given to its effect and the operation of the rally in relation to the compatibility with human rights as set out in the </w:t>
      </w:r>
      <w:r>
        <w:rPr>
          <w:i/>
          <w:iCs/>
          <w:sz w:val="23"/>
          <w:szCs w:val="23"/>
        </w:rPr>
        <w:t xml:space="preserve">Human Rights Act 2004 </w:t>
      </w:r>
      <w:r>
        <w:rPr>
          <w:sz w:val="23"/>
          <w:szCs w:val="23"/>
        </w:rPr>
        <w:t>(HRA).</w:t>
      </w:r>
    </w:p>
    <w:p w14:paraId="36390F74" w14:textId="77777777" w:rsidR="00F362C3" w:rsidRDefault="00F362C3" w:rsidP="00F362C3">
      <w:pPr>
        <w:pStyle w:val="Default"/>
        <w:rPr>
          <w:sz w:val="23"/>
          <w:szCs w:val="23"/>
        </w:rPr>
      </w:pPr>
    </w:p>
    <w:p w14:paraId="4612A0D1" w14:textId="77777777" w:rsidR="00F362C3" w:rsidRDefault="00F362C3" w:rsidP="00F362C3">
      <w:pPr>
        <w:pStyle w:val="Default"/>
        <w:rPr>
          <w:sz w:val="23"/>
          <w:szCs w:val="23"/>
        </w:rPr>
      </w:pPr>
      <w:r>
        <w:rPr>
          <w:sz w:val="23"/>
          <w:szCs w:val="23"/>
        </w:rPr>
        <w:t xml:space="preserve">Section 28 of the HRA provides that human rights may be subject only to reasonable limits set by laws that can be demonstrably justified in a free and democratic society. </w:t>
      </w:r>
    </w:p>
    <w:p w14:paraId="53B05D4C" w14:textId="77777777" w:rsidR="00F362C3" w:rsidRDefault="00F362C3" w:rsidP="00F362C3">
      <w:pPr>
        <w:pStyle w:val="Default"/>
        <w:rPr>
          <w:sz w:val="23"/>
          <w:szCs w:val="23"/>
        </w:rPr>
      </w:pPr>
    </w:p>
    <w:p w14:paraId="2FF8119D" w14:textId="77777777" w:rsidR="00F362C3" w:rsidRDefault="00F362C3" w:rsidP="00F362C3">
      <w:pPr>
        <w:pStyle w:val="Default"/>
        <w:rPr>
          <w:sz w:val="23"/>
          <w:szCs w:val="23"/>
        </w:rPr>
        <w:sectPr w:rsidR="00F362C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5AC8882E" w14:textId="77777777" w:rsidR="00F362C3" w:rsidRDefault="00F362C3" w:rsidP="00F362C3">
      <w:pPr>
        <w:pStyle w:val="Default"/>
        <w:rPr>
          <w:sz w:val="23"/>
          <w:szCs w:val="23"/>
        </w:rPr>
      </w:pPr>
      <w:r>
        <w:rPr>
          <w:sz w:val="23"/>
          <w:szCs w:val="23"/>
        </w:rPr>
        <w:lastRenderedPageBreak/>
        <w:t xml:space="preserve">Section 28 (2) of the HRA provides that in deciding whether a limit on a human right is reasonable, all relevant factors must be considered, including: </w:t>
      </w:r>
    </w:p>
    <w:p w14:paraId="5A1D25E0" w14:textId="77777777" w:rsidR="00F362C3" w:rsidRDefault="00F362C3" w:rsidP="00F362C3">
      <w:pPr>
        <w:pStyle w:val="Default"/>
        <w:numPr>
          <w:ilvl w:val="0"/>
          <w:numId w:val="6"/>
        </w:numPr>
        <w:rPr>
          <w:sz w:val="23"/>
          <w:szCs w:val="23"/>
        </w:rPr>
      </w:pPr>
      <w:r>
        <w:rPr>
          <w:sz w:val="23"/>
          <w:szCs w:val="23"/>
        </w:rPr>
        <w:t xml:space="preserve">a) the nature of the right affected </w:t>
      </w:r>
    </w:p>
    <w:p w14:paraId="2B42E20F" w14:textId="77777777" w:rsidR="00F362C3" w:rsidRDefault="00F362C3" w:rsidP="00F362C3">
      <w:pPr>
        <w:pStyle w:val="Default"/>
        <w:numPr>
          <w:ilvl w:val="0"/>
          <w:numId w:val="6"/>
        </w:numPr>
        <w:rPr>
          <w:sz w:val="23"/>
          <w:szCs w:val="23"/>
        </w:rPr>
      </w:pPr>
      <w:r>
        <w:rPr>
          <w:sz w:val="23"/>
          <w:szCs w:val="23"/>
        </w:rPr>
        <w:t xml:space="preserve">b) the importance of the limitation </w:t>
      </w:r>
    </w:p>
    <w:p w14:paraId="3FE73191" w14:textId="77777777" w:rsidR="00F362C3" w:rsidRDefault="00F362C3" w:rsidP="00F362C3">
      <w:pPr>
        <w:pStyle w:val="Default"/>
        <w:numPr>
          <w:ilvl w:val="0"/>
          <w:numId w:val="6"/>
        </w:numPr>
        <w:rPr>
          <w:sz w:val="23"/>
          <w:szCs w:val="23"/>
        </w:rPr>
      </w:pPr>
      <w:r>
        <w:rPr>
          <w:sz w:val="23"/>
          <w:szCs w:val="23"/>
        </w:rPr>
        <w:t xml:space="preserve">c) the nature and extent of the limitation </w:t>
      </w:r>
    </w:p>
    <w:p w14:paraId="23655288" w14:textId="77777777" w:rsidR="00F362C3" w:rsidRDefault="00F362C3" w:rsidP="00F362C3">
      <w:pPr>
        <w:pStyle w:val="Default"/>
        <w:numPr>
          <w:ilvl w:val="0"/>
          <w:numId w:val="6"/>
        </w:numPr>
        <w:rPr>
          <w:sz w:val="23"/>
          <w:szCs w:val="23"/>
        </w:rPr>
      </w:pPr>
      <w:r>
        <w:rPr>
          <w:sz w:val="23"/>
          <w:szCs w:val="23"/>
        </w:rPr>
        <w:t xml:space="preserve">d) the relationship between the limitation and its purpose </w:t>
      </w:r>
    </w:p>
    <w:p w14:paraId="011BF07F" w14:textId="77777777" w:rsidR="00F362C3" w:rsidRDefault="00F362C3" w:rsidP="00F362C3">
      <w:pPr>
        <w:pStyle w:val="Default"/>
        <w:numPr>
          <w:ilvl w:val="0"/>
          <w:numId w:val="6"/>
        </w:numPr>
        <w:rPr>
          <w:sz w:val="23"/>
          <w:szCs w:val="23"/>
        </w:rPr>
      </w:pPr>
      <w:r>
        <w:rPr>
          <w:sz w:val="23"/>
          <w:szCs w:val="23"/>
        </w:rPr>
        <w:t>e) any less restrictive means reasonably available to achieve the purpose the limitation seeks to achieve.</w:t>
      </w:r>
    </w:p>
    <w:p w14:paraId="27E5D762" w14:textId="77777777" w:rsidR="00F362C3" w:rsidRDefault="00F362C3" w:rsidP="00F362C3">
      <w:pPr>
        <w:pStyle w:val="Default"/>
        <w:rPr>
          <w:sz w:val="23"/>
          <w:szCs w:val="23"/>
        </w:rPr>
      </w:pPr>
    </w:p>
    <w:p w14:paraId="37849AA1" w14:textId="77777777" w:rsidR="00F362C3" w:rsidRDefault="00F362C3" w:rsidP="00F362C3">
      <w:pPr>
        <w:pStyle w:val="Default"/>
        <w:rPr>
          <w:sz w:val="23"/>
          <w:szCs w:val="23"/>
        </w:rPr>
      </w:pPr>
      <w:r>
        <w:rPr>
          <w:sz w:val="23"/>
          <w:szCs w:val="23"/>
        </w:rPr>
        <w:t>Section 13 of the HRA provides a right for people to move freely within the ACT.</w:t>
      </w:r>
    </w:p>
    <w:p w14:paraId="752CD12A" w14:textId="77777777" w:rsidR="00F362C3" w:rsidRDefault="00F362C3" w:rsidP="00F362C3">
      <w:pPr>
        <w:pStyle w:val="Default"/>
        <w:rPr>
          <w:sz w:val="23"/>
          <w:szCs w:val="23"/>
        </w:rPr>
      </w:pPr>
    </w:p>
    <w:p w14:paraId="5361231B" w14:textId="77777777" w:rsidR="00F362C3" w:rsidRDefault="00F362C3" w:rsidP="00F362C3">
      <w:pPr>
        <w:pStyle w:val="Default"/>
        <w:rPr>
          <w:sz w:val="23"/>
          <w:szCs w:val="23"/>
        </w:rPr>
      </w:pPr>
      <w:r>
        <w:rPr>
          <w:sz w:val="23"/>
          <w:szCs w:val="23"/>
        </w:rPr>
        <w:t>The declarations in this instrument do not of itself restrict a person’s freedom of movement within the Territory, however the operation of the rally in closing parts of the forest in which the rally will be conducted to members of the public will restrict the free movement of people in that area of the Territory during the event.  As parts of the road transport law are being disapplied for the event to operate as intended, vehicles will be travelling in parts of the forest in excess of the usual speed limits and in a manner not consistent with the road rules.  As such, the restriction on the free movement of people in those parts of the forest at those times is considered reasonable and proportionate to ensure safety of non-participants and represents the least restrictive approach that enables the event to proceed.</w:t>
      </w:r>
    </w:p>
    <w:p w14:paraId="508C9D8C" w14:textId="77777777" w:rsidR="00F362C3" w:rsidRDefault="00F362C3" w:rsidP="00F362C3">
      <w:pPr>
        <w:pStyle w:val="Default"/>
        <w:rPr>
          <w:color w:val="auto"/>
        </w:rPr>
      </w:pPr>
    </w:p>
    <w:p w14:paraId="3D84DC6D" w14:textId="77777777" w:rsidR="00F362C3" w:rsidRPr="00FD0314" w:rsidRDefault="00F362C3" w:rsidP="00F362C3">
      <w:pPr>
        <w:pStyle w:val="Default"/>
        <w:rPr>
          <w:b/>
          <w:bCs/>
          <w:color w:val="auto"/>
          <w:sz w:val="28"/>
          <w:szCs w:val="28"/>
        </w:rPr>
      </w:pPr>
      <w:r w:rsidRPr="00FD0314">
        <w:rPr>
          <w:b/>
          <w:bCs/>
          <w:color w:val="auto"/>
          <w:sz w:val="28"/>
          <w:szCs w:val="28"/>
        </w:rPr>
        <w:t>Climate change implications</w:t>
      </w:r>
    </w:p>
    <w:p w14:paraId="2D090FE6" w14:textId="77777777" w:rsidR="00F362C3" w:rsidRDefault="00F362C3" w:rsidP="00F362C3">
      <w:pPr>
        <w:pStyle w:val="Default"/>
        <w:rPr>
          <w:color w:val="auto"/>
        </w:rPr>
      </w:pPr>
    </w:p>
    <w:p w14:paraId="4FB3BD46" w14:textId="31522BD4" w:rsidR="00F362C3" w:rsidRDefault="00810E5D" w:rsidP="00F362C3">
      <w:pPr>
        <w:pStyle w:val="Default"/>
        <w:rPr>
          <w:color w:val="auto"/>
        </w:rPr>
      </w:pPr>
      <w:r>
        <w:rPr>
          <w:color w:val="auto"/>
        </w:rPr>
        <w:t xml:space="preserve">No </w:t>
      </w:r>
      <w:r w:rsidR="00F362C3">
        <w:rPr>
          <w:color w:val="auto"/>
        </w:rPr>
        <w:t xml:space="preserve">climate change implications </w:t>
      </w:r>
      <w:r>
        <w:rPr>
          <w:color w:val="auto"/>
        </w:rPr>
        <w:t xml:space="preserve">have been identified </w:t>
      </w:r>
      <w:r w:rsidR="00F362C3">
        <w:rPr>
          <w:color w:val="auto"/>
        </w:rPr>
        <w:t>arising from the instrument or the event it supports</w:t>
      </w:r>
      <w:r w:rsidR="00B45E43">
        <w:rPr>
          <w:color w:val="auto"/>
        </w:rPr>
        <w:t xml:space="preserve"> as the number of vehicles involved </w:t>
      </w:r>
      <w:r w:rsidR="00157E02">
        <w:rPr>
          <w:color w:val="auto"/>
        </w:rPr>
        <w:t>is</w:t>
      </w:r>
      <w:r w:rsidR="00B45E43">
        <w:rPr>
          <w:color w:val="auto"/>
        </w:rPr>
        <w:t xml:space="preserve"> minimal and the impacts negligible</w:t>
      </w:r>
      <w:r w:rsidR="00157E02">
        <w:rPr>
          <w:color w:val="auto"/>
        </w:rPr>
        <w:t>.</w:t>
      </w:r>
    </w:p>
    <w:p w14:paraId="3D7114A6" w14:textId="77777777" w:rsidR="00F362C3" w:rsidRDefault="00F362C3" w:rsidP="00F362C3">
      <w:pPr>
        <w:spacing w:line="259" w:lineRule="auto"/>
        <w:rPr>
          <w:sz w:val="23"/>
          <w:szCs w:val="23"/>
        </w:rPr>
      </w:pPr>
    </w:p>
    <w:p w14:paraId="2D7FF730" w14:textId="478C5C1A" w:rsidR="00F362C3" w:rsidRPr="00C76C73" w:rsidRDefault="00F362C3" w:rsidP="00C76C73">
      <w:pPr>
        <w:spacing w:line="259" w:lineRule="auto"/>
        <w:rPr>
          <w:b/>
          <w:bCs/>
          <w:sz w:val="28"/>
          <w:szCs w:val="28"/>
        </w:rPr>
      </w:pPr>
      <w:r w:rsidRPr="00FD0314">
        <w:rPr>
          <w:b/>
          <w:bCs/>
          <w:sz w:val="28"/>
          <w:szCs w:val="28"/>
        </w:rPr>
        <w:t>Clause notes</w:t>
      </w:r>
    </w:p>
    <w:p w14:paraId="6E90370A" w14:textId="77777777" w:rsidR="006767A0" w:rsidRDefault="006767A0" w:rsidP="006767A0"/>
    <w:p w14:paraId="2D9C7A2A" w14:textId="77777777" w:rsidR="006767A0" w:rsidRDefault="006767A0" w:rsidP="006767A0">
      <w:pPr>
        <w:pStyle w:val="BodyText"/>
      </w:pPr>
      <w:r>
        <w:t>Clauses 1 and 2 of the instrument are formal provisions dealing with the name and commencement of the instrument.</w:t>
      </w:r>
    </w:p>
    <w:p w14:paraId="670756BA" w14:textId="77777777" w:rsidR="006767A0" w:rsidRDefault="006767A0" w:rsidP="006767A0">
      <w:pPr>
        <w:pStyle w:val="BodyText"/>
      </w:pPr>
    </w:p>
    <w:p w14:paraId="1F9703A0" w14:textId="46724BF2" w:rsidR="006767A0" w:rsidRDefault="006767A0" w:rsidP="006767A0">
      <w:pPr>
        <w:pStyle w:val="BodyText"/>
      </w:pPr>
      <w:r>
        <w:t xml:space="preserve">Clause 3 </w:t>
      </w:r>
      <w:r w:rsidR="006C32CD">
        <w:t>provides</w:t>
      </w:r>
      <w:r>
        <w:t xml:space="preserve"> that the </w:t>
      </w:r>
      <w:r w:rsidR="00261C00" w:rsidRPr="00892361">
        <w:rPr>
          <w:i/>
          <w:iCs/>
        </w:rPr>
        <w:t>Motor Accident Injuries Act 2019</w:t>
      </w:r>
      <w:r>
        <w:t xml:space="preserve"> does not apply to </w:t>
      </w:r>
      <w:r w:rsidR="00CD1D9F">
        <w:t xml:space="preserve">designated </w:t>
      </w:r>
      <w:r>
        <w:t xml:space="preserve">vehicles being used to participate in the rally.  </w:t>
      </w:r>
    </w:p>
    <w:p w14:paraId="7F72D3BC" w14:textId="77777777" w:rsidR="006767A0" w:rsidRDefault="006767A0" w:rsidP="006767A0">
      <w:pPr>
        <w:pStyle w:val="BodyText"/>
      </w:pPr>
    </w:p>
    <w:p w14:paraId="7331BF7E" w14:textId="245BEE63" w:rsidR="006767A0" w:rsidRDefault="006767A0" w:rsidP="006767A0">
      <w:r>
        <w:t>The rally is held under the auspices of</w:t>
      </w:r>
      <w:r w:rsidR="00C56860">
        <w:t xml:space="preserve"> Motorsport Australia</w:t>
      </w:r>
      <w:r w:rsidR="00892361">
        <w:t xml:space="preserve">. </w:t>
      </w:r>
      <w:r>
        <w:rPr>
          <w:snapToGrid w:val="0"/>
        </w:rPr>
        <w:t xml:space="preserve">The </w:t>
      </w:r>
      <w:r w:rsidR="00C56860">
        <w:t>Motorsport Australia</w:t>
      </w:r>
      <w:r>
        <w:t xml:space="preserve"> Policy provides up to $100 million of general liability cover for any one occurrence, subject to the terms, conditions and limitations of the policy.  In particular, the </w:t>
      </w:r>
      <w:r w:rsidR="00C56860">
        <w:t xml:space="preserve">Motorsport Australia </w:t>
      </w:r>
      <w:r>
        <w:t xml:space="preserve">policy excludes participant-to-participant claims for drivers, entrants or crew in competing vehicles.  However, this policy does not operate where </w:t>
      </w:r>
      <w:r w:rsidR="00261C00" w:rsidRPr="00512755">
        <w:rPr>
          <w:i/>
          <w:iCs/>
        </w:rPr>
        <w:t>Motor Accident Injuries Act 2019</w:t>
      </w:r>
      <w:r>
        <w:t xml:space="preserve"> insurance is in force, except where specifically excluded by law. The </w:t>
      </w:r>
      <w:r w:rsidR="00C56860">
        <w:t xml:space="preserve">Motorsport Australia </w:t>
      </w:r>
      <w:r>
        <w:t xml:space="preserve">liability insurance will </w:t>
      </w:r>
      <w:r w:rsidR="006C32CD">
        <w:t>assume</w:t>
      </w:r>
      <w:r>
        <w:t xml:space="preserve"> responsibility for any motor accident injury claims that may arise during the special stages of the event. At any other time, the </w:t>
      </w:r>
      <w:r w:rsidR="00261C00" w:rsidRPr="00512755">
        <w:rPr>
          <w:i/>
          <w:iCs/>
        </w:rPr>
        <w:t>Motor Accident Injuries Act 2019</w:t>
      </w:r>
      <w:r w:rsidR="00261C00">
        <w:t xml:space="preserve"> </w:t>
      </w:r>
      <w:r>
        <w:t xml:space="preserve">applies.  </w:t>
      </w:r>
    </w:p>
    <w:p w14:paraId="568C29B3" w14:textId="77777777" w:rsidR="006767A0" w:rsidRDefault="006767A0" w:rsidP="006767A0">
      <w:pPr>
        <w:pStyle w:val="BodyText"/>
      </w:pPr>
    </w:p>
    <w:p w14:paraId="33E25C8D" w14:textId="77777777" w:rsidR="00E2721C" w:rsidRDefault="00E2721C">
      <w:r>
        <w:br w:type="page"/>
      </w:r>
    </w:p>
    <w:p w14:paraId="5A28ABA4" w14:textId="654219BD" w:rsidR="006767A0" w:rsidRDefault="006767A0" w:rsidP="006767A0">
      <w:pPr>
        <w:pStyle w:val="BodyText"/>
      </w:pPr>
      <w:r>
        <w:lastRenderedPageBreak/>
        <w:t xml:space="preserve">Clause 4 </w:t>
      </w:r>
      <w:r w:rsidR="006C32CD">
        <w:t>provides that</w:t>
      </w:r>
      <w:r>
        <w:t xml:space="preserve"> several road transport acts (and regulations)</w:t>
      </w:r>
      <w:r w:rsidR="006C32CD">
        <w:t xml:space="preserve"> - </w:t>
      </w:r>
      <w:r>
        <w:t>dealing with vehicle registration and standards, driver licensing and road rules</w:t>
      </w:r>
      <w:r w:rsidR="003C630B">
        <w:t>, do not apply</w:t>
      </w:r>
      <w:r>
        <w:t xml:space="preserve"> to an entrant vehicle or the driver of an entrant vehicle while participating in a ‘special stage’ of the rally</w:t>
      </w:r>
      <w:r w:rsidR="006F5A1A">
        <w:t xml:space="preserve"> beginning on an event official </w:t>
      </w:r>
      <w:r w:rsidR="00EB333C">
        <w:t xml:space="preserve">declaring that a special stage </w:t>
      </w:r>
      <w:r w:rsidR="006F5A1A">
        <w:t>‘active’ and ending on an event official declaring the stage ‘inactive’.  In practice an event official may ‘declare’ an event stage to be active in a variety of ways, for example by waving a flag, or making a hand signal, or using signal lights</w:t>
      </w:r>
      <w:r>
        <w:t>.  The definition of entrant vehicle extends to official and promotional vehicles being used for official purposes during the rally.</w:t>
      </w:r>
    </w:p>
    <w:p w14:paraId="0A66F23F" w14:textId="77777777" w:rsidR="002F49AA" w:rsidRDefault="002F49AA" w:rsidP="006767A0"/>
    <w:p w14:paraId="71051DDF" w14:textId="30232725" w:rsidR="006767A0" w:rsidRDefault="00CD1D9F" w:rsidP="006767A0">
      <w:r>
        <w:t xml:space="preserve">Clause </w:t>
      </w:r>
      <w:r w:rsidR="0088068A">
        <w:t>5</w:t>
      </w:r>
      <w:r w:rsidR="006767A0">
        <w:t xml:space="preserve"> contains definitions for the instrument.</w:t>
      </w:r>
    </w:p>
    <w:p w14:paraId="6C57EF57" w14:textId="77777777" w:rsidR="006767A0" w:rsidRDefault="006767A0" w:rsidP="006767A0"/>
    <w:p w14:paraId="0485DC36" w14:textId="287AE958" w:rsidR="006767A0" w:rsidRDefault="00CD1D9F" w:rsidP="006767A0">
      <w:pPr>
        <w:pStyle w:val="BodyText"/>
      </w:pPr>
      <w:r>
        <w:t xml:space="preserve">Clause </w:t>
      </w:r>
      <w:r w:rsidR="0088068A">
        <w:t>6</w:t>
      </w:r>
      <w:r w:rsidR="00C76C73">
        <w:t xml:space="preserve"> </w:t>
      </w:r>
      <w:r w:rsidR="006767A0">
        <w:t xml:space="preserve">explains that the declaration expires </w:t>
      </w:r>
      <w:r w:rsidR="00675BE2">
        <w:t>at</w:t>
      </w:r>
      <w:r w:rsidR="006767A0">
        <w:t xml:space="preserve"> </w:t>
      </w:r>
      <w:r w:rsidR="0088068A">
        <w:t>5</w:t>
      </w:r>
      <w:r w:rsidR="00675BE2">
        <w:t xml:space="preserve">pm </w:t>
      </w:r>
      <w:r w:rsidR="00157E02">
        <w:t xml:space="preserve">on </w:t>
      </w:r>
      <w:r w:rsidR="0088068A">
        <w:t>2</w:t>
      </w:r>
      <w:r w:rsidR="00CF44E7">
        <w:t xml:space="preserve"> </w:t>
      </w:r>
      <w:r w:rsidR="0088068A">
        <w:t>July</w:t>
      </w:r>
      <w:r w:rsidR="008C0EDB">
        <w:t xml:space="preserve"> 2020</w:t>
      </w:r>
      <w:r w:rsidR="006767A0">
        <w:t>.</w:t>
      </w:r>
    </w:p>
    <w:p w14:paraId="1E5DC3FC" w14:textId="77777777" w:rsidR="007B3D46" w:rsidRDefault="007B3D46" w:rsidP="006767A0">
      <w:pPr>
        <w:pStyle w:val="BodyText"/>
      </w:pPr>
    </w:p>
    <w:p w14:paraId="0E344F26" w14:textId="77777777" w:rsidR="007B3D46" w:rsidRDefault="007B3D46" w:rsidP="006767A0">
      <w:pPr>
        <w:pStyle w:val="BodyText"/>
      </w:pPr>
      <w:r w:rsidRPr="007B3D46">
        <w:t>The Schedule pro</w:t>
      </w:r>
      <w:r>
        <w:t xml:space="preserve">vides </w:t>
      </w:r>
      <w:r w:rsidR="00493993">
        <w:t>a</w:t>
      </w:r>
      <w:r w:rsidR="008F5699">
        <w:t xml:space="preserve"> </w:t>
      </w:r>
      <w:r>
        <w:t>map that define</w:t>
      </w:r>
      <w:r w:rsidR="00493993">
        <w:t>s</w:t>
      </w:r>
      <w:r>
        <w:t xml:space="preserve"> the road or road related areas</w:t>
      </w:r>
      <w:r w:rsidRPr="007B3D46">
        <w:t xml:space="preserve"> which the instrument has effect.</w:t>
      </w:r>
    </w:p>
    <w:p w14:paraId="07CD2BEA" w14:textId="77777777" w:rsidR="006767A0" w:rsidRDefault="006767A0" w:rsidP="006767A0">
      <w:pPr>
        <w:pStyle w:val="BodyText"/>
      </w:pPr>
    </w:p>
    <w:sectPr w:rsidR="006767A0" w:rsidSect="00142857">
      <w:pgSz w:w="11907" w:h="16840" w:code="9"/>
      <w:pgMar w:top="1298" w:right="1701" w:bottom="1418" w:left="1701" w:header="851" w:footer="6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213FA" w14:textId="77777777" w:rsidR="000726CE" w:rsidRDefault="000726CE" w:rsidP="00142857">
      <w:r>
        <w:separator/>
      </w:r>
    </w:p>
  </w:endnote>
  <w:endnote w:type="continuationSeparator" w:id="0">
    <w:p w14:paraId="3BBDC6EE" w14:textId="77777777" w:rsidR="000726CE" w:rsidRDefault="000726CE" w:rsidP="0014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70227" w14:textId="77777777" w:rsidR="00760886" w:rsidRDefault="00760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5299B" w14:textId="0792FBCF" w:rsidR="00760886" w:rsidRPr="00760886" w:rsidRDefault="00760886" w:rsidP="00760886">
    <w:pPr>
      <w:pStyle w:val="Footer"/>
      <w:jc w:val="center"/>
      <w:rPr>
        <w:rFonts w:ascii="Arial" w:hAnsi="Arial" w:cs="Arial"/>
        <w:sz w:val="14"/>
      </w:rPr>
    </w:pPr>
    <w:r w:rsidRPr="00760886">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20627" w14:textId="77777777" w:rsidR="00760886" w:rsidRDefault="00760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37AAB" w14:textId="77777777" w:rsidR="000726CE" w:rsidRDefault="000726CE" w:rsidP="00142857">
      <w:r>
        <w:separator/>
      </w:r>
    </w:p>
  </w:footnote>
  <w:footnote w:type="continuationSeparator" w:id="0">
    <w:p w14:paraId="036CD6E3" w14:textId="77777777" w:rsidR="000726CE" w:rsidRDefault="000726CE" w:rsidP="0014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CE2A9" w14:textId="77777777" w:rsidR="00760886" w:rsidRDefault="00760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2D790" w14:textId="77777777" w:rsidR="00760886" w:rsidRDefault="007608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A8DA1" w14:textId="77777777" w:rsidR="00760886" w:rsidRDefault="00760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2687E"/>
    <w:lvl w:ilvl="0">
      <w:numFmt w:val="decimal"/>
      <w:lvlText w:val="*"/>
      <w:lvlJc w:val="left"/>
      <w:rPr>
        <w:rFonts w:cs="Times New Roman"/>
      </w:rPr>
    </w:lvl>
  </w:abstractNum>
  <w:abstractNum w:abstractNumId="1" w15:restartNumberingAfterBreak="0">
    <w:nsid w:val="2E704CEE"/>
    <w:multiLevelType w:val="singleLevel"/>
    <w:tmpl w:val="28EEA426"/>
    <w:lvl w:ilvl="0">
      <w:start w:val="1"/>
      <w:numFmt w:val="lowerLetter"/>
      <w:lvlText w:val="(%1)"/>
      <w:legacy w:legacy="1" w:legacySpace="0" w:legacyIndent="360"/>
      <w:lvlJc w:val="left"/>
      <w:pPr>
        <w:ind w:left="360" w:hanging="360"/>
      </w:pPr>
      <w:rPr>
        <w:rFonts w:cs="Times New Roman"/>
      </w:rPr>
    </w:lvl>
  </w:abstractNum>
  <w:abstractNum w:abstractNumId="2" w15:restartNumberingAfterBreak="0">
    <w:nsid w:val="37335B35"/>
    <w:multiLevelType w:val="hybridMultilevel"/>
    <w:tmpl w:val="9C166508"/>
    <w:lvl w:ilvl="0" w:tplc="4038252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955EF5"/>
    <w:multiLevelType w:val="hybridMultilevel"/>
    <w:tmpl w:val="570029DE"/>
    <w:lvl w:ilvl="0" w:tplc="04090017">
      <w:start w:val="1"/>
      <w:numFmt w:val="lowerLetter"/>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1F8062A"/>
    <w:multiLevelType w:val="hybridMultilevel"/>
    <w:tmpl w:val="321CB85C"/>
    <w:lvl w:ilvl="0" w:tplc="3D0C5984">
      <w:start w:val="1"/>
      <w:numFmt w:val="lowerLetter"/>
      <w:lvlText w:val="%1)"/>
      <w:lvlJc w:val="left"/>
      <w:pPr>
        <w:tabs>
          <w:tab w:val="num" w:pos="1613"/>
        </w:tabs>
        <w:ind w:left="1613" w:hanging="360"/>
      </w:pPr>
      <w:rPr>
        <w:rFonts w:cs="Times New Roman" w:hint="default"/>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5" w15:restartNumberingAfterBreak="0">
    <w:nsid w:val="55D5D1C0"/>
    <w:multiLevelType w:val="hybridMultilevel"/>
    <w:tmpl w:val="7C9EAC3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lvlOverride w:ilvl="0">
      <w:lvl w:ilvl="0">
        <w:start w:val="1"/>
        <w:numFmt w:val="bullet"/>
        <w:lvlText w:val=""/>
        <w:legacy w:legacy="1" w:legacySpace="0" w:legacyIndent="709"/>
        <w:lvlJc w:val="left"/>
        <w:pPr>
          <w:ind w:left="709" w:hanging="709"/>
        </w:pPr>
        <w:rPr>
          <w:rFonts w:ascii="Symbol" w:hAnsi="Symbol" w:hint="default"/>
        </w:rPr>
      </w:lvl>
    </w:lvlOverride>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588"/>
    <w:rsid w:val="000141E4"/>
    <w:rsid w:val="00030E73"/>
    <w:rsid w:val="00044772"/>
    <w:rsid w:val="00047BBF"/>
    <w:rsid w:val="00060E8F"/>
    <w:rsid w:val="000726CE"/>
    <w:rsid w:val="00094BEC"/>
    <w:rsid w:val="00095DD5"/>
    <w:rsid w:val="000A0FE8"/>
    <w:rsid w:val="000A728F"/>
    <w:rsid w:val="000D59D2"/>
    <w:rsid w:val="000D69A8"/>
    <w:rsid w:val="000E05C2"/>
    <w:rsid w:val="000F3208"/>
    <w:rsid w:val="000F61B9"/>
    <w:rsid w:val="00112EFB"/>
    <w:rsid w:val="00131623"/>
    <w:rsid w:val="00142857"/>
    <w:rsid w:val="00153274"/>
    <w:rsid w:val="00153608"/>
    <w:rsid w:val="00157E02"/>
    <w:rsid w:val="00167A93"/>
    <w:rsid w:val="00171B43"/>
    <w:rsid w:val="001A2127"/>
    <w:rsid w:val="001A4F36"/>
    <w:rsid w:val="001B7B3A"/>
    <w:rsid w:val="001C566D"/>
    <w:rsid w:val="001C6A7F"/>
    <w:rsid w:val="001D7CD9"/>
    <w:rsid w:val="001F3A16"/>
    <w:rsid w:val="0020165C"/>
    <w:rsid w:val="0021418C"/>
    <w:rsid w:val="00216C8C"/>
    <w:rsid w:val="00223279"/>
    <w:rsid w:val="00261C00"/>
    <w:rsid w:val="00264E92"/>
    <w:rsid w:val="002910F6"/>
    <w:rsid w:val="002A6DA3"/>
    <w:rsid w:val="002B5222"/>
    <w:rsid w:val="002C077F"/>
    <w:rsid w:val="002C50E1"/>
    <w:rsid w:val="002D1BE6"/>
    <w:rsid w:val="002D7F33"/>
    <w:rsid w:val="002E0C61"/>
    <w:rsid w:val="002F49AA"/>
    <w:rsid w:val="00312702"/>
    <w:rsid w:val="00323779"/>
    <w:rsid w:val="00344D73"/>
    <w:rsid w:val="0034568F"/>
    <w:rsid w:val="0035084B"/>
    <w:rsid w:val="00355D3C"/>
    <w:rsid w:val="00360B6D"/>
    <w:rsid w:val="0036718A"/>
    <w:rsid w:val="003835E8"/>
    <w:rsid w:val="00386FA5"/>
    <w:rsid w:val="00394BEC"/>
    <w:rsid w:val="00395F9D"/>
    <w:rsid w:val="003A5041"/>
    <w:rsid w:val="003C630B"/>
    <w:rsid w:val="003D1549"/>
    <w:rsid w:val="003E3CDF"/>
    <w:rsid w:val="003F0080"/>
    <w:rsid w:val="003F464F"/>
    <w:rsid w:val="003F754E"/>
    <w:rsid w:val="00402FD7"/>
    <w:rsid w:val="00420268"/>
    <w:rsid w:val="00422E78"/>
    <w:rsid w:val="0044286B"/>
    <w:rsid w:val="00444686"/>
    <w:rsid w:val="00445DBF"/>
    <w:rsid w:val="004875A0"/>
    <w:rsid w:val="00493993"/>
    <w:rsid w:val="004A650A"/>
    <w:rsid w:val="004B2940"/>
    <w:rsid w:val="004B59A8"/>
    <w:rsid w:val="004C70A1"/>
    <w:rsid w:val="00521F42"/>
    <w:rsid w:val="00546411"/>
    <w:rsid w:val="00576E1A"/>
    <w:rsid w:val="0059202F"/>
    <w:rsid w:val="0059236B"/>
    <w:rsid w:val="005A1C84"/>
    <w:rsid w:val="005A5702"/>
    <w:rsid w:val="005D61CD"/>
    <w:rsid w:val="00620DE4"/>
    <w:rsid w:val="00636C79"/>
    <w:rsid w:val="00654E76"/>
    <w:rsid w:val="006678C5"/>
    <w:rsid w:val="00671A30"/>
    <w:rsid w:val="00675BE2"/>
    <w:rsid w:val="006767A0"/>
    <w:rsid w:val="00687B16"/>
    <w:rsid w:val="0069111E"/>
    <w:rsid w:val="006C32CD"/>
    <w:rsid w:val="006C78B0"/>
    <w:rsid w:val="006E2B7D"/>
    <w:rsid w:val="006F5A1A"/>
    <w:rsid w:val="00701D60"/>
    <w:rsid w:val="00711FF0"/>
    <w:rsid w:val="00740322"/>
    <w:rsid w:val="00742AF5"/>
    <w:rsid w:val="0075596B"/>
    <w:rsid w:val="00756C1E"/>
    <w:rsid w:val="00760886"/>
    <w:rsid w:val="007727A7"/>
    <w:rsid w:val="007B3D46"/>
    <w:rsid w:val="007C261E"/>
    <w:rsid w:val="007C268B"/>
    <w:rsid w:val="00801583"/>
    <w:rsid w:val="00806898"/>
    <w:rsid w:val="00807407"/>
    <w:rsid w:val="00810E5D"/>
    <w:rsid w:val="00815732"/>
    <w:rsid w:val="00830085"/>
    <w:rsid w:val="00843B6D"/>
    <w:rsid w:val="0084602E"/>
    <w:rsid w:val="00865236"/>
    <w:rsid w:val="008757A9"/>
    <w:rsid w:val="00876BC5"/>
    <w:rsid w:val="0088068A"/>
    <w:rsid w:val="00892361"/>
    <w:rsid w:val="00894C95"/>
    <w:rsid w:val="008B5B8B"/>
    <w:rsid w:val="008C0EDB"/>
    <w:rsid w:val="008D15F4"/>
    <w:rsid w:val="008D1925"/>
    <w:rsid w:val="008E17BE"/>
    <w:rsid w:val="008F2F8F"/>
    <w:rsid w:val="008F5699"/>
    <w:rsid w:val="00935EA8"/>
    <w:rsid w:val="00936F33"/>
    <w:rsid w:val="009528A1"/>
    <w:rsid w:val="00957B14"/>
    <w:rsid w:val="00962E30"/>
    <w:rsid w:val="00977E6A"/>
    <w:rsid w:val="0099582A"/>
    <w:rsid w:val="009A0AA4"/>
    <w:rsid w:val="009C30FA"/>
    <w:rsid w:val="009C78E7"/>
    <w:rsid w:val="009E1DAC"/>
    <w:rsid w:val="009E4588"/>
    <w:rsid w:val="009F23BD"/>
    <w:rsid w:val="00A0527C"/>
    <w:rsid w:val="00A36F82"/>
    <w:rsid w:val="00A653EF"/>
    <w:rsid w:val="00A71FA5"/>
    <w:rsid w:val="00A73B35"/>
    <w:rsid w:val="00A76FA4"/>
    <w:rsid w:val="00A804E2"/>
    <w:rsid w:val="00A86415"/>
    <w:rsid w:val="00A864D8"/>
    <w:rsid w:val="00A86C0D"/>
    <w:rsid w:val="00AA1F9F"/>
    <w:rsid w:val="00AD58C9"/>
    <w:rsid w:val="00B033EA"/>
    <w:rsid w:val="00B15224"/>
    <w:rsid w:val="00B236B5"/>
    <w:rsid w:val="00B26197"/>
    <w:rsid w:val="00B26BCF"/>
    <w:rsid w:val="00B300B2"/>
    <w:rsid w:val="00B3761C"/>
    <w:rsid w:val="00B4136E"/>
    <w:rsid w:val="00B45E43"/>
    <w:rsid w:val="00B645B4"/>
    <w:rsid w:val="00B6521D"/>
    <w:rsid w:val="00B90C23"/>
    <w:rsid w:val="00B91A92"/>
    <w:rsid w:val="00B9506F"/>
    <w:rsid w:val="00BA4EDB"/>
    <w:rsid w:val="00BA7307"/>
    <w:rsid w:val="00BA7783"/>
    <w:rsid w:val="00BC44AB"/>
    <w:rsid w:val="00BC4AC2"/>
    <w:rsid w:val="00BE4DDC"/>
    <w:rsid w:val="00BE7D8E"/>
    <w:rsid w:val="00BF0568"/>
    <w:rsid w:val="00BF1121"/>
    <w:rsid w:val="00BF402C"/>
    <w:rsid w:val="00C11781"/>
    <w:rsid w:val="00C12778"/>
    <w:rsid w:val="00C13EBC"/>
    <w:rsid w:val="00C231DB"/>
    <w:rsid w:val="00C44917"/>
    <w:rsid w:val="00C4764C"/>
    <w:rsid w:val="00C5044A"/>
    <w:rsid w:val="00C55859"/>
    <w:rsid w:val="00C56860"/>
    <w:rsid w:val="00C57098"/>
    <w:rsid w:val="00C65067"/>
    <w:rsid w:val="00C76C73"/>
    <w:rsid w:val="00C7777F"/>
    <w:rsid w:val="00C929C3"/>
    <w:rsid w:val="00CA6E10"/>
    <w:rsid w:val="00CB3BAB"/>
    <w:rsid w:val="00CB672D"/>
    <w:rsid w:val="00CC297A"/>
    <w:rsid w:val="00CD1D9F"/>
    <w:rsid w:val="00CF189A"/>
    <w:rsid w:val="00CF44E7"/>
    <w:rsid w:val="00D037F0"/>
    <w:rsid w:val="00D15375"/>
    <w:rsid w:val="00D1728B"/>
    <w:rsid w:val="00D23BDD"/>
    <w:rsid w:val="00D30341"/>
    <w:rsid w:val="00D35165"/>
    <w:rsid w:val="00D401B4"/>
    <w:rsid w:val="00D5044D"/>
    <w:rsid w:val="00D50816"/>
    <w:rsid w:val="00D576AF"/>
    <w:rsid w:val="00D6309A"/>
    <w:rsid w:val="00D67BF1"/>
    <w:rsid w:val="00DA1105"/>
    <w:rsid w:val="00DA296B"/>
    <w:rsid w:val="00DB635B"/>
    <w:rsid w:val="00DB7A5A"/>
    <w:rsid w:val="00DC2B5C"/>
    <w:rsid w:val="00DD67A5"/>
    <w:rsid w:val="00DE1DC8"/>
    <w:rsid w:val="00DF2227"/>
    <w:rsid w:val="00DF39DC"/>
    <w:rsid w:val="00DF6F24"/>
    <w:rsid w:val="00E051D9"/>
    <w:rsid w:val="00E2721C"/>
    <w:rsid w:val="00E57231"/>
    <w:rsid w:val="00E6707F"/>
    <w:rsid w:val="00E71385"/>
    <w:rsid w:val="00E73799"/>
    <w:rsid w:val="00E83371"/>
    <w:rsid w:val="00E914AD"/>
    <w:rsid w:val="00E93632"/>
    <w:rsid w:val="00E95C86"/>
    <w:rsid w:val="00E964A8"/>
    <w:rsid w:val="00EB333C"/>
    <w:rsid w:val="00ED053E"/>
    <w:rsid w:val="00ED15CA"/>
    <w:rsid w:val="00EE781C"/>
    <w:rsid w:val="00EF5716"/>
    <w:rsid w:val="00EF5BFC"/>
    <w:rsid w:val="00F0162C"/>
    <w:rsid w:val="00F038BF"/>
    <w:rsid w:val="00F044E4"/>
    <w:rsid w:val="00F04AE2"/>
    <w:rsid w:val="00F142D1"/>
    <w:rsid w:val="00F2373F"/>
    <w:rsid w:val="00F33500"/>
    <w:rsid w:val="00F3457B"/>
    <w:rsid w:val="00F34AB8"/>
    <w:rsid w:val="00F362C3"/>
    <w:rsid w:val="00F7759A"/>
    <w:rsid w:val="00F77FDB"/>
    <w:rsid w:val="00F85992"/>
    <w:rsid w:val="00F860DB"/>
    <w:rsid w:val="00FA43E7"/>
    <w:rsid w:val="00FB1082"/>
    <w:rsid w:val="00FB7113"/>
    <w:rsid w:val="00FC3C0B"/>
    <w:rsid w:val="00FF48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5C8D277"/>
  <w15:docId w15:val="{4DE20F06-2B69-408A-A9CD-6CAAB514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5CA"/>
    <w:rPr>
      <w:sz w:val="24"/>
      <w:lang w:eastAsia="en-US"/>
    </w:rPr>
  </w:style>
  <w:style w:type="paragraph" w:styleId="Heading1">
    <w:name w:val="heading 1"/>
    <w:basedOn w:val="Normal"/>
    <w:next w:val="Normal"/>
    <w:link w:val="Heading1Char"/>
    <w:uiPriority w:val="9"/>
    <w:qFormat/>
    <w:rsid w:val="00ED15CA"/>
    <w:pPr>
      <w:keepNext/>
      <w:spacing w:before="240" w:after="60"/>
      <w:ind w:left="720" w:hanging="720"/>
      <w:outlineLvl w:val="0"/>
    </w:pPr>
    <w:rPr>
      <w:rFonts w:ascii="Arial" w:hAnsi="Arial" w:cs="Arial"/>
      <w:b/>
      <w:bCs/>
    </w:rPr>
  </w:style>
  <w:style w:type="paragraph" w:styleId="Heading2">
    <w:name w:val="heading 2"/>
    <w:basedOn w:val="Normal"/>
    <w:next w:val="Normal"/>
    <w:link w:val="Heading2Char"/>
    <w:uiPriority w:val="9"/>
    <w:qFormat/>
    <w:rsid w:val="00ED15CA"/>
    <w:pPr>
      <w:keepNext/>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5C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D15CA"/>
    <w:rPr>
      <w:rFonts w:asciiTheme="majorHAnsi" w:eastAsiaTheme="majorEastAsia" w:hAnsiTheme="majorHAnsi" w:cstheme="majorBidi"/>
      <w:b/>
      <w:bCs/>
      <w:i/>
      <w:iCs/>
      <w:sz w:val="28"/>
      <w:szCs w:val="28"/>
      <w:lang w:eastAsia="en-US"/>
    </w:rPr>
  </w:style>
  <w:style w:type="paragraph" w:customStyle="1" w:styleId="01Contents">
    <w:name w:val="01Contents"/>
    <w:basedOn w:val="Normal"/>
    <w:rsid w:val="00ED15CA"/>
    <w:pPr>
      <w:tabs>
        <w:tab w:val="left" w:pos="2880"/>
      </w:tabs>
      <w:overflowPunct w:val="0"/>
      <w:autoSpaceDE w:val="0"/>
      <w:autoSpaceDN w:val="0"/>
      <w:adjustRightInd w:val="0"/>
      <w:textAlignment w:val="baseline"/>
    </w:pPr>
    <w:rPr>
      <w:lang w:val="en-US"/>
    </w:rPr>
  </w:style>
  <w:style w:type="paragraph" w:styleId="Header">
    <w:name w:val="header"/>
    <w:basedOn w:val="Normal"/>
    <w:link w:val="HeaderChar"/>
    <w:uiPriority w:val="99"/>
    <w:rsid w:val="00ED15CA"/>
    <w:pPr>
      <w:tabs>
        <w:tab w:val="left" w:pos="2880"/>
        <w:tab w:val="center" w:pos="4153"/>
        <w:tab w:val="right" w:pos="8306"/>
      </w:tabs>
      <w:overflowPunct w:val="0"/>
      <w:autoSpaceDE w:val="0"/>
      <w:autoSpaceDN w:val="0"/>
      <w:adjustRightInd w:val="0"/>
      <w:textAlignment w:val="baseline"/>
    </w:pPr>
    <w:rPr>
      <w:lang w:val="en-US"/>
    </w:rPr>
  </w:style>
  <w:style w:type="character" w:customStyle="1" w:styleId="HeaderChar">
    <w:name w:val="Header Char"/>
    <w:basedOn w:val="DefaultParagraphFont"/>
    <w:link w:val="Header"/>
    <w:uiPriority w:val="99"/>
    <w:semiHidden/>
    <w:rsid w:val="00ED15CA"/>
    <w:rPr>
      <w:sz w:val="24"/>
      <w:lang w:eastAsia="en-US"/>
    </w:rPr>
  </w:style>
  <w:style w:type="paragraph" w:customStyle="1" w:styleId="Billname">
    <w:name w:val="Billname"/>
    <w:basedOn w:val="Normal"/>
    <w:rsid w:val="00ED15CA"/>
    <w:pPr>
      <w:tabs>
        <w:tab w:val="left" w:pos="2400"/>
        <w:tab w:val="left" w:pos="2880"/>
      </w:tabs>
      <w:overflowPunct w:val="0"/>
      <w:autoSpaceDE w:val="0"/>
      <w:autoSpaceDN w:val="0"/>
      <w:adjustRightInd w:val="0"/>
      <w:spacing w:before="1220" w:after="100"/>
      <w:textAlignment w:val="baseline"/>
    </w:pPr>
    <w:rPr>
      <w:rFonts w:ascii="Arial" w:hAnsi="Arial"/>
      <w:b/>
      <w:sz w:val="40"/>
    </w:rPr>
  </w:style>
  <w:style w:type="paragraph" w:customStyle="1" w:styleId="N-line3">
    <w:name w:val="N-line3"/>
    <w:basedOn w:val="Normal"/>
    <w:next w:val="Normal"/>
    <w:rsid w:val="00ED15CA"/>
    <w:pPr>
      <w:pBdr>
        <w:bottom w:val="single" w:sz="12" w:space="1" w:color="auto"/>
      </w:pBdr>
      <w:overflowPunct w:val="0"/>
      <w:autoSpaceDE w:val="0"/>
      <w:autoSpaceDN w:val="0"/>
      <w:adjustRightInd w:val="0"/>
      <w:jc w:val="both"/>
      <w:textAlignment w:val="baseline"/>
    </w:pPr>
  </w:style>
  <w:style w:type="paragraph" w:customStyle="1" w:styleId="madeunder">
    <w:name w:val="made under"/>
    <w:basedOn w:val="Normal"/>
    <w:rsid w:val="00ED15CA"/>
    <w:pPr>
      <w:overflowPunct w:val="0"/>
      <w:autoSpaceDE w:val="0"/>
      <w:autoSpaceDN w:val="0"/>
      <w:adjustRightInd w:val="0"/>
      <w:spacing w:before="180" w:after="60"/>
      <w:jc w:val="both"/>
      <w:textAlignment w:val="baseline"/>
    </w:pPr>
  </w:style>
  <w:style w:type="paragraph" w:customStyle="1" w:styleId="CoverActName">
    <w:name w:val="CoverActName"/>
    <w:basedOn w:val="Normal"/>
    <w:rsid w:val="00ED15CA"/>
    <w:pPr>
      <w:tabs>
        <w:tab w:val="left" w:pos="2600"/>
      </w:tabs>
      <w:overflowPunct w:val="0"/>
      <w:autoSpaceDE w:val="0"/>
      <w:autoSpaceDN w:val="0"/>
      <w:adjustRightInd w:val="0"/>
      <w:spacing w:before="200" w:after="60"/>
      <w:jc w:val="both"/>
      <w:textAlignment w:val="baseline"/>
    </w:pPr>
    <w:rPr>
      <w:rFonts w:ascii="Arial" w:hAnsi="Arial"/>
      <w:b/>
    </w:rPr>
  </w:style>
  <w:style w:type="paragraph" w:styleId="BodyTextIndent2">
    <w:name w:val="Body Text Indent 2"/>
    <w:basedOn w:val="Normal"/>
    <w:link w:val="BodyTextIndent2Char"/>
    <w:uiPriority w:val="99"/>
    <w:rsid w:val="00ED15CA"/>
    <w:pPr>
      <w:tabs>
        <w:tab w:val="left" w:pos="5670"/>
      </w:tabs>
      <w:overflowPunct w:val="0"/>
      <w:autoSpaceDE w:val="0"/>
      <w:autoSpaceDN w:val="0"/>
      <w:adjustRightInd w:val="0"/>
      <w:ind w:left="5670" w:hanging="5670"/>
      <w:textAlignment w:val="baseline"/>
    </w:pPr>
    <w:rPr>
      <w:rFonts w:ascii="Arial" w:hAnsi="Arial"/>
    </w:rPr>
  </w:style>
  <w:style w:type="character" w:customStyle="1" w:styleId="BodyTextIndent2Char">
    <w:name w:val="Body Text Indent 2 Char"/>
    <w:basedOn w:val="DefaultParagraphFont"/>
    <w:link w:val="BodyTextIndent2"/>
    <w:uiPriority w:val="99"/>
    <w:semiHidden/>
    <w:rsid w:val="00ED15CA"/>
    <w:rPr>
      <w:sz w:val="24"/>
      <w:lang w:eastAsia="en-US"/>
    </w:rPr>
  </w:style>
  <w:style w:type="paragraph" w:styleId="BodyTextIndent">
    <w:name w:val="Body Text Indent"/>
    <w:basedOn w:val="Normal"/>
    <w:link w:val="BodyTextIndentChar"/>
    <w:uiPriority w:val="99"/>
    <w:rsid w:val="00ED15CA"/>
    <w:pPr>
      <w:spacing w:before="240" w:after="60"/>
      <w:ind w:left="720" w:hanging="720"/>
    </w:pPr>
  </w:style>
  <w:style w:type="character" w:customStyle="1" w:styleId="BodyTextIndentChar">
    <w:name w:val="Body Text Indent Char"/>
    <w:basedOn w:val="DefaultParagraphFont"/>
    <w:link w:val="BodyTextIndent"/>
    <w:uiPriority w:val="99"/>
    <w:semiHidden/>
    <w:rsid w:val="00ED15CA"/>
    <w:rPr>
      <w:sz w:val="24"/>
      <w:lang w:eastAsia="en-US"/>
    </w:rPr>
  </w:style>
  <w:style w:type="paragraph" w:styleId="BodyText">
    <w:name w:val="Body Text"/>
    <w:basedOn w:val="Normal"/>
    <w:link w:val="BodyTextChar"/>
    <w:uiPriority w:val="99"/>
    <w:rsid w:val="00ED15CA"/>
  </w:style>
  <w:style w:type="character" w:customStyle="1" w:styleId="BodyTextChar">
    <w:name w:val="Body Text Char"/>
    <w:basedOn w:val="DefaultParagraphFont"/>
    <w:link w:val="BodyText"/>
    <w:uiPriority w:val="99"/>
    <w:semiHidden/>
    <w:rsid w:val="00ED15CA"/>
    <w:rPr>
      <w:sz w:val="24"/>
      <w:lang w:eastAsia="en-US"/>
    </w:rPr>
  </w:style>
  <w:style w:type="paragraph" w:styleId="BalloonText">
    <w:name w:val="Balloon Text"/>
    <w:basedOn w:val="Normal"/>
    <w:link w:val="BalloonTextChar"/>
    <w:uiPriority w:val="99"/>
    <w:semiHidden/>
    <w:rsid w:val="009E4588"/>
    <w:rPr>
      <w:rFonts w:ascii="Tahoma" w:hAnsi="Tahoma" w:cs="Tahoma"/>
      <w:sz w:val="16"/>
      <w:szCs w:val="16"/>
    </w:rPr>
  </w:style>
  <w:style w:type="character" w:customStyle="1" w:styleId="BalloonTextChar">
    <w:name w:val="Balloon Text Char"/>
    <w:basedOn w:val="DefaultParagraphFont"/>
    <w:link w:val="BalloonText"/>
    <w:uiPriority w:val="99"/>
    <w:semiHidden/>
    <w:rsid w:val="00ED15CA"/>
    <w:rPr>
      <w:rFonts w:ascii="Tahoma" w:hAnsi="Tahoma" w:cs="Tahoma"/>
      <w:sz w:val="16"/>
      <w:szCs w:val="16"/>
      <w:lang w:eastAsia="en-US"/>
    </w:rPr>
  </w:style>
  <w:style w:type="paragraph" w:styleId="Footer">
    <w:name w:val="footer"/>
    <w:basedOn w:val="Normal"/>
    <w:link w:val="FooterChar"/>
    <w:uiPriority w:val="99"/>
    <w:rsid w:val="00142857"/>
    <w:pPr>
      <w:tabs>
        <w:tab w:val="center" w:pos="4513"/>
        <w:tab w:val="right" w:pos="9026"/>
      </w:tabs>
    </w:pPr>
  </w:style>
  <w:style w:type="character" w:customStyle="1" w:styleId="FooterChar">
    <w:name w:val="Footer Char"/>
    <w:basedOn w:val="DefaultParagraphFont"/>
    <w:link w:val="Footer"/>
    <w:uiPriority w:val="99"/>
    <w:locked/>
    <w:rsid w:val="00142857"/>
    <w:rPr>
      <w:rFonts w:cs="Times New Roman"/>
      <w:sz w:val="24"/>
      <w:lang w:eastAsia="en-US"/>
    </w:rPr>
  </w:style>
  <w:style w:type="character" w:styleId="CommentReference">
    <w:name w:val="annotation reference"/>
    <w:basedOn w:val="DefaultParagraphFont"/>
    <w:semiHidden/>
    <w:unhideWhenUsed/>
    <w:rsid w:val="008C0EDB"/>
    <w:rPr>
      <w:sz w:val="16"/>
      <w:szCs w:val="16"/>
    </w:rPr>
  </w:style>
  <w:style w:type="paragraph" w:styleId="CommentText">
    <w:name w:val="annotation text"/>
    <w:basedOn w:val="Normal"/>
    <w:link w:val="CommentTextChar"/>
    <w:semiHidden/>
    <w:unhideWhenUsed/>
    <w:rsid w:val="008C0EDB"/>
    <w:rPr>
      <w:sz w:val="20"/>
    </w:rPr>
  </w:style>
  <w:style w:type="character" w:customStyle="1" w:styleId="CommentTextChar">
    <w:name w:val="Comment Text Char"/>
    <w:basedOn w:val="DefaultParagraphFont"/>
    <w:link w:val="CommentText"/>
    <w:semiHidden/>
    <w:rsid w:val="008C0EDB"/>
    <w:rPr>
      <w:lang w:eastAsia="en-US"/>
    </w:rPr>
  </w:style>
  <w:style w:type="paragraph" w:styleId="CommentSubject">
    <w:name w:val="annotation subject"/>
    <w:basedOn w:val="CommentText"/>
    <w:next w:val="CommentText"/>
    <w:link w:val="CommentSubjectChar"/>
    <w:semiHidden/>
    <w:unhideWhenUsed/>
    <w:rsid w:val="008C0EDB"/>
    <w:rPr>
      <w:b/>
      <w:bCs/>
    </w:rPr>
  </w:style>
  <w:style w:type="character" w:customStyle="1" w:styleId="CommentSubjectChar">
    <w:name w:val="Comment Subject Char"/>
    <w:basedOn w:val="CommentTextChar"/>
    <w:link w:val="CommentSubject"/>
    <w:semiHidden/>
    <w:rsid w:val="008C0EDB"/>
    <w:rPr>
      <w:b/>
      <w:bCs/>
      <w:lang w:eastAsia="en-US"/>
    </w:rPr>
  </w:style>
  <w:style w:type="paragraph" w:customStyle="1" w:styleId="Default">
    <w:name w:val="Default"/>
    <w:rsid w:val="00F362C3"/>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8D39F-32DE-4A72-8682-9B76EB7CB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4231</Characters>
  <Application>Microsoft Office Word</Application>
  <DocSecurity>0</DocSecurity>
  <Lines>98</Lines>
  <Paragraphs>30</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DUS, Road Transport Policy</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creator>ACT Government</dc:creator>
  <cp:lastModifiedBy>Moxon, KarenL</cp:lastModifiedBy>
  <cp:revision>4</cp:revision>
  <cp:lastPrinted>2020-02-24T23:42:00Z</cp:lastPrinted>
  <dcterms:created xsi:type="dcterms:W3CDTF">2020-06-29T06:37:00Z</dcterms:created>
  <dcterms:modified xsi:type="dcterms:W3CDTF">2020-06-29T06:37:00Z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A25705244</vt:lpwstr>
  </property>
  <property fmtid="{D5CDD505-2E9C-101B-9397-08002B2CF9AE}" pid="4" name="Objective-Title">
    <vt:lpwstr>Attachment B - Active Rally Sport Test Day - Explanatory Statement</vt:lpwstr>
  </property>
  <property fmtid="{D5CDD505-2E9C-101B-9397-08002B2CF9AE}" pid="5" name="Objective-Comment">
    <vt:lpwstr/>
  </property>
  <property fmtid="{D5CDD505-2E9C-101B-9397-08002B2CF9AE}" pid="6" name="Objective-CreationStamp">
    <vt:filetime>2020-06-04T12:43:57Z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2020-06-19T03:52:49Z</vt:filetime>
  </property>
  <property fmtid="{D5CDD505-2E9C-101B-9397-08002B2CF9AE}" pid="10" name="Objective-ModificationStamp">
    <vt:filetime>2020-06-19T03:52:49Z</vt:filetime>
  </property>
  <property fmtid="{D5CDD505-2E9C-101B-9397-08002B2CF9AE}" pid="11" name="Objective-Owner">
    <vt:lpwstr>Nathan Buckley</vt:lpwstr>
  </property>
  <property fmtid="{D5CDD505-2E9C-101B-9397-08002B2CF9AE}" pid="12" name="Objective-Path">
    <vt:lpwstr>Whole of ACT Government:AC - Access Canberra:12. BRANCH - Customer Coordination:SECTION - Service Planning &amp; Design:UNIT - Complaints Management Team:04. Complaints Management Team - Ministerials:2020:Customer Coordination:Briefs:20/36159 - Ministerial Br</vt:lpwstr>
  </property>
  <property fmtid="{D5CDD505-2E9C-101B-9397-08002B2CF9AE}" pid="13" name="Objective-Parent">
    <vt:lpwstr>20/36159 - Ministerial Brief -  Minister Rattenbury - Active Rally Sport Test Day (Kowen Forest)</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1-2020/36159</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ACCESS CANBERRA</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