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98C7"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0190FBF7" w14:textId="2EB7FFAC" w:rsidR="006815C9" w:rsidRDefault="00830726">
      <w:pPr>
        <w:pStyle w:val="Billname"/>
        <w:spacing w:before="700"/>
      </w:pPr>
      <w:r>
        <w:t>Work Health and Safety Amendment Regulation 2020</w:t>
      </w:r>
      <w:r w:rsidR="006815C9">
        <w:t xml:space="preserve"> (No </w:t>
      </w:r>
      <w:r>
        <w:t>1</w:t>
      </w:r>
      <w:r w:rsidR="006815C9">
        <w:t>)</w:t>
      </w:r>
    </w:p>
    <w:p w14:paraId="321ED4F9" w14:textId="5FAD3723" w:rsidR="006815C9" w:rsidRDefault="00F5371D" w:rsidP="00091D34">
      <w:pPr>
        <w:spacing w:before="340"/>
        <w:rPr>
          <w:rFonts w:ascii="Arial" w:hAnsi="Arial" w:cs="Arial"/>
          <w:b/>
          <w:bCs/>
        </w:rPr>
      </w:pPr>
      <w:r>
        <w:rPr>
          <w:rFonts w:ascii="Arial" w:hAnsi="Arial" w:cs="Arial"/>
          <w:b/>
          <w:bCs/>
        </w:rPr>
        <w:t>Subordinate law SL</w:t>
      </w:r>
      <w:r w:rsidR="00830726">
        <w:rPr>
          <w:rFonts w:ascii="Arial" w:hAnsi="Arial" w:cs="Arial"/>
          <w:b/>
          <w:bCs/>
        </w:rPr>
        <w:t>2020</w:t>
      </w:r>
      <w:r w:rsidR="006815C9">
        <w:rPr>
          <w:rFonts w:ascii="Arial" w:hAnsi="Arial" w:cs="Arial"/>
          <w:b/>
          <w:bCs/>
        </w:rPr>
        <w:t>–</w:t>
      </w:r>
      <w:r w:rsidR="00736A67">
        <w:rPr>
          <w:rFonts w:ascii="Arial" w:hAnsi="Arial" w:cs="Arial"/>
          <w:b/>
          <w:bCs/>
        </w:rPr>
        <w:t>27</w:t>
      </w:r>
    </w:p>
    <w:p w14:paraId="63DD2EAC" w14:textId="77777777" w:rsidR="006815C9" w:rsidRDefault="006815C9" w:rsidP="00091D34">
      <w:pPr>
        <w:pStyle w:val="madeunder"/>
        <w:spacing w:before="300" w:after="0"/>
      </w:pPr>
      <w:r>
        <w:t xml:space="preserve">made under the  </w:t>
      </w:r>
    </w:p>
    <w:p w14:paraId="37545623" w14:textId="47C8DBA5" w:rsidR="006815C9" w:rsidRDefault="00830726" w:rsidP="00091D34">
      <w:pPr>
        <w:pStyle w:val="CoverActName"/>
        <w:spacing w:before="320" w:after="0"/>
        <w:rPr>
          <w:rFonts w:cs="Arial"/>
          <w:sz w:val="20"/>
        </w:rPr>
      </w:pPr>
      <w:r>
        <w:rPr>
          <w:rFonts w:cs="Arial"/>
          <w:i/>
          <w:iCs/>
          <w:sz w:val="20"/>
        </w:rPr>
        <w:t>Work Health and Safety Act 2011</w:t>
      </w:r>
      <w:r w:rsidR="006815C9">
        <w:rPr>
          <w:rFonts w:cs="Arial"/>
          <w:sz w:val="20"/>
        </w:rPr>
        <w:t xml:space="preserve">, </w:t>
      </w:r>
      <w:r>
        <w:rPr>
          <w:rFonts w:cs="Arial"/>
          <w:sz w:val="20"/>
        </w:rPr>
        <w:t>section 276</w:t>
      </w:r>
      <w:r w:rsidR="006815C9">
        <w:rPr>
          <w:rFonts w:cs="Arial"/>
          <w:sz w:val="20"/>
        </w:rPr>
        <w:t xml:space="preserve"> (</w:t>
      </w:r>
      <w:r>
        <w:rPr>
          <w:rFonts w:cs="Arial"/>
          <w:sz w:val="20"/>
        </w:rPr>
        <w:t>Regulation-making powers</w:t>
      </w:r>
      <w:r w:rsidR="006815C9">
        <w:rPr>
          <w:rFonts w:cs="Arial"/>
          <w:sz w:val="20"/>
        </w:rPr>
        <w:t>)</w:t>
      </w:r>
    </w:p>
    <w:p w14:paraId="39795030"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7E06023F" w14:textId="77777777" w:rsidR="006815C9" w:rsidRDefault="006815C9">
      <w:pPr>
        <w:pStyle w:val="N-line3"/>
        <w:pBdr>
          <w:bottom w:val="none" w:sz="0" w:space="0" w:color="auto"/>
        </w:pBdr>
      </w:pPr>
    </w:p>
    <w:p w14:paraId="47912FA9" w14:textId="77777777" w:rsidR="006815C9" w:rsidRDefault="006815C9">
      <w:pPr>
        <w:pStyle w:val="N-line3"/>
        <w:pBdr>
          <w:top w:val="single" w:sz="12" w:space="1" w:color="auto"/>
          <w:bottom w:val="none" w:sz="0" w:space="0" w:color="auto"/>
        </w:pBdr>
      </w:pPr>
    </w:p>
    <w:bookmarkEnd w:id="0"/>
    <w:p w14:paraId="151C0786" w14:textId="384D168E" w:rsidR="00830726" w:rsidRPr="000C3361" w:rsidRDefault="000C3361" w:rsidP="00830726">
      <w:pPr>
        <w:rPr>
          <w:rFonts w:ascii="Arial" w:hAnsi="Arial" w:cs="Arial"/>
          <w:b/>
          <w:bCs/>
          <w:szCs w:val="24"/>
        </w:rPr>
      </w:pPr>
      <w:r w:rsidRPr="000C3361">
        <w:rPr>
          <w:rFonts w:ascii="Arial" w:hAnsi="Arial" w:cs="Arial"/>
          <w:b/>
          <w:bCs/>
          <w:szCs w:val="24"/>
        </w:rPr>
        <w:t>PURPOSE AND OUTLINE</w:t>
      </w:r>
    </w:p>
    <w:p w14:paraId="6F596775" w14:textId="77777777" w:rsidR="00830726" w:rsidRDefault="00830726" w:rsidP="00830726"/>
    <w:p w14:paraId="53E2F428" w14:textId="47EC1A32" w:rsidR="00830726" w:rsidRDefault="00830726" w:rsidP="00830726">
      <w:pPr>
        <w:rPr>
          <w:rFonts w:asciiTheme="minorHAnsi" w:hAnsiTheme="minorHAnsi" w:cstheme="minorHAnsi"/>
          <w:szCs w:val="24"/>
        </w:rPr>
      </w:pPr>
      <w:r w:rsidRPr="00153836">
        <w:rPr>
          <w:rFonts w:asciiTheme="minorHAnsi" w:hAnsiTheme="minorHAnsi" w:cstheme="minorHAnsi"/>
          <w:szCs w:val="24"/>
        </w:rPr>
        <w:t xml:space="preserve">The purpose of this Regulation is to amend the </w:t>
      </w:r>
      <w:r w:rsidRPr="00153836">
        <w:rPr>
          <w:rFonts w:asciiTheme="minorHAnsi" w:hAnsiTheme="minorHAnsi" w:cstheme="minorHAnsi"/>
          <w:i/>
          <w:iCs/>
          <w:szCs w:val="24"/>
        </w:rPr>
        <w:t>Work Health Safety Regulation 2011</w:t>
      </w:r>
      <w:r w:rsidRPr="00153836">
        <w:rPr>
          <w:rFonts w:asciiTheme="minorHAnsi" w:hAnsiTheme="minorHAnsi" w:cstheme="minorHAnsi"/>
          <w:szCs w:val="24"/>
        </w:rPr>
        <w:t xml:space="preserve"> (WHS Regulation) to adopt recent amendments made to the </w:t>
      </w:r>
      <w:r w:rsidR="0021296C">
        <w:rPr>
          <w:rFonts w:asciiTheme="minorHAnsi" w:hAnsiTheme="minorHAnsi" w:cstheme="minorHAnsi"/>
          <w:szCs w:val="24"/>
        </w:rPr>
        <w:t xml:space="preserve">national </w:t>
      </w:r>
      <w:r w:rsidRPr="00153836">
        <w:rPr>
          <w:rFonts w:asciiTheme="minorHAnsi" w:hAnsiTheme="minorHAnsi" w:cstheme="minorHAnsi"/>
          <w:szCs w:val="24"/>
        </w:rPr>
        <w:t>model WHS regulations</w:t>
      </w:r>
      <w:r w:rsidR="00FC7C74">
        <w:rPr>
          <w:rFonts w:asciiTheme="minorHAnsi" w:hAnsiTheme="minorHAnsi" w:cstheme="minorHAnsi"/>
          <w:szCs w:val="24"/>
        </w:rPr>
        <w:t xml:space="preserve"> and make other amendments</w:t>
      </w:r>
      <w:r w:rsidRPr="00153836">
        <w:rPr>
          <w:rFonts w:asciiTheme="minorHAnsi" w:hAnsiTheme="minorHAnsi" w:cstheme="minorHAnsi"/>
          <w:szCs w:val="24"/>
        </w:rPr>
        <w:t xml:space="preserve">. </w:t>
      </w:r>
    </w:p>
    <w:p w14:paraId="44BD77BA" w14:textId="77777777" w:rsidR="00830726" w:rsidRDefault="00830726" w:rsidP="00830726">
      <w:pPr>
        <w:rPr>
          <w:rFonts w:asciiTheme="minorHAnsi" w:hAnsiTheme="minorHAnsi" w:cstheme="minorHAnsi"/>
          <w:szCs w:val="24"/>
        </w:rPr>
      </w:pPr>
    </w:p>
    <w:p w14:paraId="33A6E234" w14:textId="6CAF391C" w:rsidR="00830726" w:rsidRPr="00EB0ABB" w:rsidRDefault="00830726" w:rsidP="00830726">
      <w:pPr>
        <w:rPr>
          <w:rFonts w:asciiTheme="minorHAnsi" w:hAnsiTheme="minorHAnsi" w:cstheme="minorHAnsi"/>
          <w:szCs w:val="24"/>
        </w:rPr>
      </w:pPr>
      <w:r w:rsidRPr="00EB0ABB">
        <w:rPr>
          <w:rFonts w:asciiTheme="minorHAnsi" w:hAnsiTheme="minorHAnsi" w:cstheme="minorHAnsi"/>
          <w:szCs w:val="24"/>
        </w:rPr>
        <w:t>The WHS Regulation</w:t>
      </w:r>
      <w:r>
        <w:rPr>
          <w:rFonts w:asciiTheme="minorHAnsi" w:hAnsiTheme="minorHAnsi" w:cstheme="minorHAnsi"/>
          <w:szCs w:val="24"/>
        </w:rPr>
        <w:t xml:space="preserve"> adopts the nationally agreed model WHS laws and</w:t>
      </w:r>
      <w:r w:rsidRPr="00EB0ABB">
        <w:rPr>
          <w:rFonts w:asciiTheme="minorHAnsi" w:hAnsiTheme="minorHAnsi" w:cstheme="minorHAnsi"/>
          <w:szCs w:val="24"/>
        </w:rPr>
        <w:t xml:space="preserve"> sets out the framework for securing the health and safety of workers and workplaces</w:t>
      </w:r>
      <w:r>
        <w:rPr>
          <w:rFonts w:asciiTheme="minorHAnsi" w:hAnsiTheme="minorHAnsi" w:cstheme="minorHAnsi"/>
          <w:szCs w:val="24"/>
        </w:rPr>
        <w:t xml:space="preserve"> in the Territory.</w:t>
      </w:r>
    </w:p>
    <w:p w14:paraId="60DC74E2" w14:textId="77777777" w:rsidR="00830726" w:rsidRDefault="00830726" w:rsidP="00830726">
      <w:pPr>
        <w:rPr>
          <w:rFonts w:asciiTheme="minorHAnsi" w:hAnsiTheme="minorHAnsi" w:cstheme="minorHAnsi"/>
          <w:szCs w:val="24"/>
        </w:rPr>
      </w:pPr>
    </w:p>
    <w:p w14:paraId="047CE862" w14:textId="5C28E5DE" w:rsidR="00830726" w:rsidRDefault="00FC7C74" w:rsidP="00830726">
      <w:pPr>
        <w:rPr>
          <w:rFonts w:asciiTheme="minorHAnsi" w:hAnsiTheme="minorHAnsi" w:cstheme="minorHAnsi"/>
          <w:szCs w:val="24"/>
        </w:rPr>
      </w:pPr>
      <w:r>
        <w:rPr>
          <w:rFonts w:asciiTheme="minorHAnsi" w:hAnsiTheme="minorHAnsi" w:cstheme="minorHAnsi"/>
          <w:szCs w:val="24"/>
        </w:rPr>
        <w:t xml:space="preserve">This </w:t>
      </w:r>
      <w:r w:rsidR="00830726">
        <w:rPr>
          <w:rFonts w:asciiTheme="minorHAnsi" w:hAnsiTheme="minorHAnsi" w:cstheme="minorHAnsi"/>
          <w:szCs w:val="24"/>
        </w:rPr>
        <w:t xml:space="preserve">Amendment Regulation </w:t>
      </w:r>
      <w:r>
        <w:rPr>
          <w:rFonts w:asciiTheme="minorHAnsi" w:hAnsiTheme="minorHAnsi" w:cstheme="minorHAnsi"/>
          <w:szCs w:val="24"/>
        </w:rPr>
        <w:t>makes amendments to the WHS Regulation to</w:t>
      </w:r>
      <w:r w:rsidR="00830726">
        <w:rPr>
          <w:rFonts w:asciiTheme="minorHAnsi" w:hAnsiTheme="minorHAnsi" w:cstheme="minorHAnsi"/>
          <w:szCs w:val="24"/>
        </w:rPr>
        <w:t>:</w:t>
      </w:r>
    </w:p>
    <w:p w14:paraId="46EBA8C1" w14:textId="38DE4F43" w:rsidR="00830726" w:rsidRDefault="00FC7C74" w:rsidP="00830726">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facilitate the </w:t>
      </w:r>
      <w:r w:rsidR="00830726">
        <w:rPr>
          <w:rFonts w:asciiTheme="minorHAnsi" w:hAnsiTheme="minorHAnsi" w:cstheme="minorHAnsi"/>
          <w:szCs w:val="24"/>
        </w:rPr>
        <w:t>adopt</w:t>
      </w:r>
      <w:r>
        <w:rPr>
          <w:rFonts w:asciiTheme="minorHAnsi" w:hAnsiTheme="minorHAnsi" w:cstheme="minorHAnsi"/>
          <w:szCs w:val="24"/>
        </w:rPr>
        <w:t>ion</w:t>
      </w:r>
      <w:r w:rsidR="00830726">
        <w:rPr>
          <w:rFonts w:asciiTheme="minorHAnsi" w:hAnsiTheme="minorHAnsi" w:cstheme="minorHAnsi"/>
          <w:szCs w:val="24"/>
        </w:rPr>
        <w:t xml:space="preserve"> </w:t>
      </w:r>
      <w:r w:rsidR="00DA00D2">
        <w:rPr>
          <w:rFonts w:asciiTheme="minorHAnsi" w:hAnsiTheme="minorHAnsi" w:cstheme="minorHAnsi"/>
          <w:szCs w:val="24"/>
        </w:rPr>
        <w:t xml:space="preserve">of </w:t>
      </w:r>
      <w:r w:rsidR="00830726">
        <w:rPr>
          <w:rFonts w:asciiTheme="minorHAnsi" w:hAnsiTheme="minorHAnsi" w:cstheme="minorHAnsi"/>
          <w:szCs w:val="24"/>
        </w:rPr>
        <w:t xml:space="preserve">the recent republication of exposure limits published by Safe Work Australia in the </w:t>
      </w:r>
      <w:r w:rsidR="00830726" w:rsidRPr="00340C7B">
        <w:rPr>
          <w:rFonts w:asciiTheme="minorHAnsi" w:hAnsiTheme="minorHAnsi" w:cstheme="minorHAnsi"/>
          <w:i/>
          <w:iCs/>
          <w:szCs w:val="24"/>
        </w:rPr>
        <w:t>Workplace Exposure Standard for Airborne Contaminants</w:t>
      </w:r>
      <w:r w:rsidR="00830726">
        <w:rPr>
          <w:rFonts w:asciiTheme="minorHAnsi" w:hAnsiTheme="minorHAnsi" w:cstheme="minorHAnsi"/>
          <w:szCs w:val="24"/>
        </w:rPr>
        <w:t xml:space="preserve"> as agreed by jurisdictions under the model WHS framework;</w:t>
      </w:r>
    </w:p>
    <w:p w14:paraId="59B5D3F2" w14:textId="1197D726" w:rsidR="00830726" w:rsidRDefault="00830726" w:rsidP="00830726">
      <w:pPr>
        <w:pStyle w:val="ListParagraph"/>
        <w:numPr>
          <w:ilvl w:val="0"/>
          <w:numId w:val="13"/>
        </w:numPr>
        <w:rPr>
          <w:rFonts w:asciiTheme="minorHAnsi" w:hAnsiTheme="minorHAnsi" w:cstheme="minorHAnsi"/>
          <w:szCs w:val="24"/>
        </w:rPr>
      </w:pPr>
      <w:r>
        <w:rPr>
          <w:rFonts w:asciiTheme="minorHAnsi" w:hAnsiTheme="minorHAnsi" w:cstheme="minorHAnsi"/>
          <w:szCs w:val="24"/>
        </w:rPr>
        <w:t>align</w:t>
      </w:r>
      <w:r w:rsidR="000C3361">
        <w:rPr>
          <w:rFonts w:asciiTheme="minorHAnsi" w:hAnsiTheme="minorHAnsi" w:cstheme="minorHAnsi"/>
          <w:szCs w:val="24"/>
        </w:rPr>
        <w:t xml:space="preserve"> the WHS Regulation</w:t>
      </w:r>
      <w:r>
        <w:rPr>
          <w:rFonts w:asciiTheme="minorHAnsi" w:hAnsiTheme="minorHAnsi" w:cstheme="minorHAnsi"/>
          <w:szCs w:val="24"/>
        </w:rPr>
        <w:t xml:space="preserve"> with recent amendments to the blood lead level thresholds</w:t>
      </w:r>
      <w:r w:rsidR="000C3361">
        <w:rPr>
          <w:rFonts w:asciiTheme="minorHAnsi" w:hAnsiTheme="minorHAnsi" w:cstheme="minorHAnsi"/>
          <w:szCs w:val="24"/>
        </w:rPr>
        <w:t xml:space="preserve"> adopted</w:t>
      </w:r>
      <w:r>
        <w:rPr>
          <w:rFonts w:asciiTheme="minorHAnsi" w:hAnsiTheme="minorHAnsi" w:cstheme="minorHAnsi"/>
          <w:szCs w:val="24"/>
        </w:rPr>
        <w:t xml:space="preserve"> in the nationally agreed model WHS laws;</w:t>
      </w:r>
    </w:p>
    <w:p w14:paraId="2F90D0F8" w14:textId="2F50463F" w:rsidR="00830726" w:rsidRDefault="00830726" w:rsidP="00830726">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align </w:t>
      </w:r>
      <w:r w:rsidR="000C3361">
        <w:rPr>
          <w:rFonts w:asciiTheme="minorHAnsi" w:hAnsiTheme="minorHAnsi" w:cstheme="minorHAnsi"/>
          <w:szCs w:val="24"/>
        </w:rPr>
        <w:t xml:space="preserve">the WHS Regulation </w:t>
      </w:r>
      <w:r>
        <w:rPr>
          <w:rFonts w:asciiTheme="minorHAnsi" w:hAnsiTheme="minorHAnsi" w:cstheme="minorHAnsi"/>
          <w:szCs w:val="24"/>
        </w:rPr>
        <w:t>with technical amendments to diving provisions to correct outdated references to training courses</w:t>
      </w:r>
      <w:r w:rsidR="000C3361">
        <w:rPr>
          <w:rFonts w:asciiTheme="minorHAnsi" w:hAnsiTheme="minorHAnsi" w:cstheme="minorHAnsi"/>
          <w:szCs w:val="24"/>
        </w:rPr>
        <w:t xml:space="preserve"> as adopted in the nationally agreed model WHS laws</w:t>
      </w:r>
      <w:r>
        <w:rPr>
          <w:rFonts w:asciiTheme="minorHAnsi" w:hAnsiTheme="minorHAnsi" w:cstheme="minorHAnsi"/>
          <w:szCs w:val="24"/>
        </w:rPr>
        <w:t>; and</w:t>
      </w:r>
    </w:p>
    <w:p w14:paraId="61AD7CB4" w14:textId="35A3ABFD" w:rsidR="00830726" w:rsidRPr="00340C7B" w:rsidRDefault="00830726" w:rsidP="00830726">
      <w:pPr>
        <w:pStyle w:val="ListParagraph"/>
        <w:numPr>
          <w:ilvl w:val="0"/>
          <w:numId w:val="13"/>
        </w:numPr>
        <w:rPr>
          <w:rFonts w:asciiTheme="minorHAnsi" w:hAnsiTheme="minorHAnsi" w:cstheme="minorHAnsi"/>
          <w:szCs w:val="24"/>
        </w:rPr>
      </w:pPr>
      <w:r>
        <w:rPr>
          <w:rFonts w:asciiTheme="minorHAnsi" w:hAnsiTheme="minorHAnsi" w:cstheme="minorHAnsi"/>
          <w:szCs w:val="24"/>
        </w:rPr>
        <w:t xml:space="preserve">establish a public register of infringement notices issued </w:t>
      </w:r>
      <w:r w:rsidR="000C3361">
        <w:rPr>
          <w:rFonts w:asciiTheme="minorHAnsi" w:hAnsiTheme="minorHAnsi" w:cstheme="minorHAnsi"/>
          <w:szCs w:val="24"/>
        </w:rPr>
        <w:t xml:space="preserve">on WHS licence holders </w:t>
      </w:r>
      <w:r>
        <w:rPr>
          <w:rFonts w:asciiTheme="minorHAnsi" w:hAnsiTheme="minorHAnsi" w:cstheme="minorHAnsi"/>
          <w:szCs w:val="24"/>
        </w:rPr>
        <w:t>under the WHS laws.</w:t>
      </w:r>
    </w:p>
    <w:p w14:paraId="5795F196" w14:textId="77777777" w:rsidR="00830726" w:rsidRDefault="00830726" w:rsidP="00830726">
      <w:pPr>
        <w:rPr>
          <w:rFonts w:asciiTheme="minorHAnsi" w:hAnsiTheme="minorHAnsi" w:cstheme="minorHAnsi"/>
          <w:szCs w:val="24"/>
        </w:rPr>
      </w:pPr>
    </w:p>
    <w:p w14:paraId="2E61EC6C" w14:textId="77777777" w:rsidR="00830726" w:rsidRPr="00153836" w:rsidRDefault="00830726" w:rsidP="00830726">
      <w:pPr>
        <w:rPr>
          <w:rFonts w:asciiTheme="minorHAnsi" w:hAnsiTheme="minorHAnsi" w:cstheme="minorHAnsi"/>
          <w:szCs w:val="24"/>
        </w:rPr>
      </w:pPr>
      <w:r>
        <w:rPr>
          <w:rFonts w:asciiTheme="minorHAnsi" w:hAnsiTheme="minorHAnsi" w:cstheme="minorHAnsi"/>
          <w:szCs w:val="24"/>
        </w:rPr>
        <w:t>The objectives of the above amendments are to ensure the health and safety standards adopted in the Territory maintain alignment with the nationally agreed model WHS laws and current evidence and information on health risks.</w:t>
      </w:r>
    </w:p>
    <w:p w14:paraId="4BBBCEFB" w14:textId="5C05EF02" w:rsidR="00830726" w:rsidRDefault="00830726" w:rsidP="00830726">
      <w:pPr>
        <w:rPr>
          <w:rFonts w:asciiTheme="minorHAnsi" w:hAnsiTheme="minorHAnsi" w:cstheme="minorHAnsi"/>
          <w:szCs w:val="24"/>
        </w:rPr>
      </w:pPr>
    </w:p>
    <w:p w14:paraId="5EF22CFA" w14:textId="0BB46816" w:rsidR="000C3361" w:rsidRDefault="000C3361" w:rsidP="00830726">
      <w:pPr>
        <w:rPr>
          <w:rFonts w:asciiTheme="minorHAnsi" w:hAnsiTheme="minorHAnsi" w:cstheme="minorHAnsi"/>
          <w:szCs w:val="24"/>
        </w:rPr>
      </w:pPr>
    </w:p>
    <w:p w14:paraId="2309D1BC" w14:textId="4ABFE68C" w:rsidR="000C3361" w:rsidRDefault="000C3361" w:rsidP="00830726">
      <w:pPr>
        <w:rPr>
          <w:rFonts w:asciiTheme="minorHAnsi" w:hAnsiTheme="minorHAnsi" w:cstheme="minorHAnsi"/>
          <w:szCs w:val="24"/>
        </w:rPr>
      </w:pPr>
    </w:p>
    <w:p w14:paraId="3EFC6D1D" w14:textId="74F2CCB8" w:rsidR="000C3361" w:rsidRDefault="000C3361" w:rsidP="00830726">
      <w:pPr>
        <w:rPr>
          <w:rFonts w:asciiTheme="minorHAnsi" w:hAnsiTheme="minorHAnsi" w:cstheme="minorHAnsi"/>
          <w:szCs w:val="24"/>
        </w:rPr>
      </w:pPr>
    </w:p>
    <w:p w14:paraId="21A4B139" w14:textId="77777777" w:rsidR="000C3361" w:rsidRPr="00153836" w:rsidRDefault="000C3361" w:rsidP="00830726">
      <w:pPr>
        <w:rPr>
          <w:rFonts w:asciiTheme="minorHAnsi" w:hAnsiTheme="minorHAnsi" w:cstheme="minorHAnsi"/>
          <w:szCs w:val="24"/>
        </w:rPr>
      </w:pPr>
    </w:p>
    <w:p w14:paraId="7F005FD3" w14:textId="39D789EB" w:rsidR="00830726" w:rsidRPr="000C3361" w:rsidRDefault="000C3361" w:rsidP="00830726">
      <w:pPr>
        <w:rPr>
          <w:rFonts w:ascii="Arial" w:hAnsi="Arial" w:cs="Arial"/>
          <w:b/>
          <w:bCs/>
          <w:szCs w:val="24"/>
        </w:rPr>
      </w:pPr>
      <w:r w:rsidRPr="000C3361">
        <w:rPr>
          <w:rFonts w:ascii="Arial" w:hAnsi="Arial" w:cs="Arial"/>
          <w:b/>
          <w:bCs/>
          <w:szCs w:val="24"/>
        </w:rPr>
        <w:t>CONSISTENCY WITH HUMAN RIGHTS</w:t>
      </w:r>
    </w:p>
    <w:p w14:paraId="4C693064" w14:textId="77777777" w:rsidR="00830726" w:rsidRDefault="00830726" w:rsidP="00830726">
      <w:pPr>
        <w:rPr>
          <w:rFonts w:asciiTheme="minorHAnsi" w:hAnsiTheme="minorHAnsi" w:cstheme="minorHAnsi"/>
          <w:b/>
          <w:bCs/>
          <w:szCs w:val="24"/>
        </w:rPr>
      </w:pPr>
    </w:p>
    <w:p w14:paraId="7A724737" w14:textId="77777777" w:rsidR="00830726" w:rsidRDefault="00830726" w:rsidP="00830726">
      <w:pPr>
        <w:pStyle w:val="ESText"/>
        <w:spacing w:line="240" w:lineRule="auto"/>
        <w:rPr>
          <w:rFonts w:ascii="Calibri" w:hAnsi="Calibri"/>
          <w:szCs w:val="24"/>
        </w:rPr>
      </w:pPr>
      <w:r>
        <w:rPr>
          <w:rFonts w:ascii="Calibri" w:hAnsi="Calibri"/>
          <w:szCs w:val="24"/>
        </w:rPr>
        <w:t>This section provides an overview of the human rights which may be engaged by the Regulation Amendment, together with a discussion of the reasonableness of any possible limitations.</w:t>
      </w:r>
    </w:p>
    <w:p w14:paraId="0D22EF7C" w14:textId="77777777" w:rsidR="00830726" w:rsidRDefault="00830726" w:rsidP="00830726">
      <w:pPr>
        <w:rPr>
          <w:rFonts w:asciiTheme="minorHAnsi" w:hAnsiTheme="minorHAnsi" w:cstheme="minorHAnsi"/>
          <w:b/>
          <w:bCs/>
          <w:szCs w:val="24"/>
        </w:rPr>
      </w:pPr>
    </w:p>
    <w:p w14:paraId="104A2E1C" w14:textId="77777777" w:rsidR="00830726" w:rsidRPr="00153836" w:rsidRDefault="00830726" w:rsidP="00830726">
      <w:pPr>
        <w:rPr>
          <w:rFonts w:asciiTheme="minorHAnsi" w:hAnsiTheme="minorHAnsi" w:cstheme="minorHAnsi"/>
          <w:b/>
          <w:bCs/>
          <w:szCs w:val="24"/>
        </w:rPr>
      </w:pPr>
      <w:r>
        <w:rPr>
          <w:rFonts w:asciiTheme="minorHAnsi" w:hAnsiTheme="minorHAnsi" w:cstheme="minorHAnsi"/>
          <w:b/>
          <w:bCs/>
          <w:szCs w:val="24"/>
        </w:rPr>
        <w:t>Rights engaged</w:t>
      </w:r>
    </w:p>
    <w:p w14:paraId="08D79548" w14:textId="4676EC96" w:rsidR="00830726" w:rsidRDefault="00830726" w:rsidP="00830726">
      <w:pPr>
        <w:rPr>
          <w:rFonts w:asciiTheme="minorHAnsi" w:hAnsiTheme="minorHAnsi" w:cstheme="minorHAnsi"/>
          <w:szCs w:val="24"/>
        </w:rPr>
      </w:pPr>
      <w:r>
        <w:rPr>
          <w:rFonts w:asciiTheme="minorHAnsi" w:hAnsiTheme="minorHAnsi" w:cstheme="minorHAnsi"/>
          <w:szCs w:val="24"/>
        </w:rPr>
        <w:t xml:space="preserve">Broadly, the Amendment Regulation may engage and </w:t>
      </w:r>
      <w:r>
        <w:rPr>
          <w:rFonts w:asciiTheme="minorHAnsi" w:hAnsiTheme="minorHAnsi" w:cstheme="minorHAnsi"/>
          <w:b/>
          <w:bCs/>
          <w:i/>
          <w:iCs/>
          <w:szCs w:val="24"/>
        </w:rPr>
        <w:t>limit</w:t>
      </w:r>
      <w:r>
        <w:rPr>
          <w:rFonts w:asciiTheme="minorHAnsi" w:hAnsiTheme="minorHAnsi" w:cstheme="minorHAnsi"/>
          <w:szCs w:val="24"/>
        </w:rPr>
        <w:t xml:space="preserve"> the following </w:t>
      </w:r>
      <w:r>
        <w:rPr>
          <w:rFonts w:asciiTheme="minorHAnsi" w:hAnsiTheme="minorHAnsi" w:cstheme="minorHAnsi"/>
          <w:i/>
          <w:iCs/>
          <w:szCs w:val="24"/>
        </w:rPr>
        <w:t>Human Rights Act 2004</w:t>
      </w:r>
      <w:r>
        <w:rPr>
          <w:rFonts w:asciiTheme="minorHAnsi" w:hAnsiTheme="minorHAnsi" w:cstheme="minorHAnsi"/>
          <w:szCs w:val="24"/>
        </w:rPr>
        <w:t xml:space="preserve"> (HR Act) rights:</w:t>
      </w:r>
    </w:p>
    <w:p w14:paraId="5186ABF8" w14:textId="77777777" w:rsidR="00830726" w:rsidRDefault="00830726" w:rsidP="00830726">
      <w:pPr>
        <w:pStyle w:val="ListParagraph"/>
        <w:numPr>
          <w:ilvl w:val="0"/>
          <w:numId w:val="14"/>
        </w:numPr>
        <w:rPr>
          <w:rFonts w:asciiTheme="minorHAnsi" w:hAnsiTheme="minorHAnsi" w:cstheme="minorHAnsi"/>
          <w:szCs w:val="24"/>
        </w:rPr>
      </w:pPr>
      <w:r>
        <w:rPr>
          <w:rFonts w:asciiTheme="minorHAnsi" w:hAnsiTheme="minorHAnsi" w:cstheme="minorHAnsi"/>
          <w:szCs w:val="24"/>
        </w:rPr>
        <w:t>section 12 – right to privacy; and</w:t>
      </w:r>
    </w:p>
    <w:p w14:paraId="36802781" w14:textId="77777777" w:rsidR="00830726" w:rsidRPr="004940D0" w:rsidRDefault="00830726" w:rsidP="000C3361">
      <w:pPr>
        <w:pStyle w:val="ListParagraph"/>
        <w:numPr>
          <w:ilvl w:val="0"/>
          <w:numId w:val="14"/>
        </w:numPr>
        <w:rPr>
          <w:rFonts w:asciiTheme="minorHAnsi" w:hAnsiTheme="minorHAnsi" w:cstheme="minorHAnsi"/>
          <w:szCs w:val="24"/>
        </w:rPr>
      </w:pPr>
      <w:r>
        <w:rPr>
          <w:rFonts w:asciiTheme="minorHAnsi" w:hAnsiTheme="minorHAnsi" w:cstheme="minorHAnsi"/>
          <w:szCs w:val="24"/>
        </w:rPr>
        <w:t>section 22 – rights in criminal proceedings.</w:t>
      </w:r>
    </w:p>
    <w:p w14:paraId="4A24BEC9" w14:textId="77777777" w:rsidR="00830726" w:rsidRPr="004940D0" w:rsidRDefault="00830726" w:rsidP="00830726">
      <w:pPr>
        <w:rPr>
          <w:rFonts w:asciiTheme="minorHAnsi" w:hAnsiTheme="minorHAnsi" w:cstheme="minorHAnsi"/>
          <w:szCs w:val="24"/>
        </w:rPr>
      </w:pPr>
    </w:p>
    <w:p w14:paraId="7EB80E11" w14:textId="678F8F3B" w:rsidR="00830726" w:rsidRDefault="00830726" w:rsidP="00830726">
      <w:pPr>
        <w:rPr>
          <w:rFonts w:asciiTheme="minorHAnsi" w:hAnsiTheme="minorHAnsi" w:cstheme="minorHAnsi"/>
          <w:szCs w:val="24"/>
        </w:rPr>
      </w:pPr>
      <w:r w:rsidRPr="004940D0">
        <w:rPr>
          <w:rFonts w:asciiTheme="minorHAnsi" w:hAnsiTheme="minorHAnsi" w:cstheme="minorHAnsi"/>
          <w:szCs w:val="24"/>
        </w:rPr>
        <w:t>Section 28 (1) of the HR</w:t>
      </w:r>
      <w:r>
        <w:rPr>
          <w:rFonts w:asciiTheme="minorHAnsi" w:hAnsiTheme="minorHAnsi" w:cstheme="minorHAnsi"/>
          <w:szCs w:val="24"/>
        </w:rPr>
        <w:t xml:space="preserve"> </w:t>
      </w:r>
      <w:r w:rsidRPr="004940D0">
        <w:rPr>
          <w:rFonts w:asciiTheme="minorHAnsi" w:hAnsiTheme="minorHAnsi" w:cstheme="minorHAnsi"/>
          <w:szCs w:val="24"/>
        </w:rPr>
        <w:t>A</w:t>
      </w:r>
      <w:r>
        <w:rPr>
          <w:rFonts w:asciiTheme="minorHAnsi" w:hAnsiTheme="minorHAnsi" w:cstheme="minorHAnsi"/>
          <w:szCs w:val="24"/>
        </w:rPr>
        <w:t>ct</w:t>
      </w:r>
      <w:r w:rsidRPr="004940D0">
        <w:rPr>
          <w:rFonts w:asciiTheme="minorHAnsi" w:hAnsiTheme="minorHAnsi" w:cstheme="minorHAnsi"/>
          <w:szCs w:val="24"/>
        </w:rPr>
        <w:t xml:space="preserve"> provides that human rights may be subject only to reasonable limits set by laws that can be demonstrably justified in a free and democratic society. </w:t>
      </w:r>
    </w:p>
    <w:p w14:paraId="76009556" w14:textId="77777777" w:rsidR="00830726" w:rsidRPr="004940D0" w:rsidRDefault="00830726" w:rsidP="00830726">
      <w:pPr>
        <w:rPr>
          <w:rFonts w:asciiTheme="minorHAnsi" w:hAnsiTheme="minorHAnsi" w:cstheme="minorHAnsi"/>
          <w:szCs w:val="24"/>
        </w:rPr>
      </w:pPr>
    </w:p>
    <w:p w14:paraId="0F6E0B7E" w14:textId="77777777" w:rsidR="00830726" w:rsidRPr="004940D0" w:rsidRDefault="00830726" w:rsidP="00830726">
      <w:pPr>
        <w:rPr>
          <w:rFonts w:asciiTheme="minorHAnsi" w:hAnsiTheme="minorHAnsi" w:cstheme="minorHAnsi"/>
          <w:szCs w:val="24"/>
        </w:rPr>
      </w:pPr>
      <w:r w:rsidRPr="004940D0">
        <w:rPr>
          <w:rFonts w:asciiTheme="minorHAnsi" w:hAnsiTheme="minorHAnsi" w:cstheme="minorHAnsi"/>
          <w:szCs w:val="24"/>
        </w:rPr>
        <w:t xml:space="preserve">Section 28 (2) provides that, in deciding whether a limit on a human right is reasonable, all relevant factors must be considered, including: </w:t>
      </w:r>
    </w:p>
    <w:p w14:paraId="0BBB8F02" w14:textId="6F2992A6" w:rsidR="00830726" w:rsidRPr="000C3361" w:rsidRDefault="000C3361" w:rsidP="000C3361">
      <w:pPr>
        <w:pStyle w:val="ListParagraph"/>
        <w:numPr>
          <w:ilvl w:val="0"/>
          <w:numId w:val="16"/>
        </w:numPr>
        <w:rPr>
          <w:rFonts w:asciiTheme="minorHAnsi" w:hAnsiTheme="minorHAnsi" w:cstheme="minorHAnsi"/>
          <w:szCs w:val="24"/>
        </w:rPr>
      </w:pPr>
      <w:r>
        <w:rPr>
          <w:rFonts w:asciiTheme="minorHAnsi" w:hAnsiTheme="minorHAnsi" w:cstheme="minorHAnsi"/>
          <w:szCs w:val="24"/>
        </w:rPr>
        <w:t>t</w:t>
      </w:r>
      <w:r w:rsidR="00830726" w:rsidRPr="000C3361">
        <w:rPr>
          <w:rFonts w:asciiTheme="minorHAnsi" w:hAnsiTheme="minorHAnsi" w:cstheme="minorHAnsi"/>
          <w:szCs w:val="24"/>
        </w:rPr>
        <w:t xml:space="preserve">he nature of the right affected; </w:t>
      </w:r>
    </w:p>
    <w:p w14:paraId="3569F5FA" w14:textId="7CFDB57E" w:rsidR="00830726" w:rsidRPr="000C3361" w:rsidRDefault="000C3361" w:rsidP="000C3361">
      <w:pPr>
        <w:pStyle w:val="ListParagraph"/>
        <w:numPr>
          <w:ilvl w:val="0"/>
          <w:numId w:val="16"/>
        </w:numPr>
        <w:rPr>
          <w:rFonts w:asciiTheme="minorHAnsi" w:hAnsiTheme="minorHAnsi" w:cstheme="minorHAnsi"/>
          <w:szCs w:val="24"/>
        </w:rPr>
      </w:pPr>
      <w:r>
        <w:rPr>
          <w:rFonts w:asciiTheme="minorHAnsi" w:hAnsiTheme="minorHAnsi" w:cstheme="minorHAnsi"/>
          <w:szCs w:val="24"/>
        </w:rPr>
        <w:t>t</w:t>
      </w:r>
      <w:r w:rsidR="00830726" w:rsidRPr="000C3361">
        <w:rPr>
          <w:rFonts w:asciiTheme="minorHAnsi" w:hAnsiTheme="minorHAnsi" w:cstheme="minorHAnsi"/>
          <w:szCs w:val="24"/>
        </w:rPr>
        <w:t xml:space="preserve">he importance of the purpose of the limitation; </w:t>
      </w:r>
    </w:p>
    <w:p w14:paraId="3D0E3EC7" w14:textId="2AF065F3" w:rsidR="00830726" w:rsidRPr="000C3361" w:rsidRDefault="000C3361" w:rsidP="000C3361">
      <w:pPr>
        <w:pStyle w:val="ListParagraph"/>
        <w:numPr>
          <w:ilvl w:val="0"/>
          <w:numId w:val="16"/>
        </w:numPr>
        <w:rPr>
          <w:rFonts w:asciiTheme="minorHAnsi" w:hAnsiTheme="minorHAnsi" w:cstheme="minorHAnsi"/>
          <w:szCs w:val="24"/>
        </w:rPr>
      </w:pPr>
      <w:r>
        <w:rPr>
          <w:rFonts w:asciiTheme="minorHAnsi" w:hAnsiTheme="minorHAnsi" w:cstheme="minorHAnsi"/>
          <w:szCs w:val="24"/>
        </w:rPr>
        <w:t>t</w:t>
      </w:r>
      <w:r w:rsidR="00830726" w:rsidRPr="000C3361">
        <w:rPr>
          <w:rFonts w:asciiTheme="minorHAnsi" w:hAnsiTheme="minorHAnsi" w:cstheme="minorHAnsi"/>
          <w:szCs w:val="24"/>
        </w:rPr>
        <w:t xml:space="preserve">he nature and extent of the limitation; </w:t>
      </w:r>
    </w:p>
    <w:p w14:paraId="668B32A8" w14:textId="568506E8" w:rsidR="00830726" w:rsidRPr="000C3361" w:rsidRDefault="000C3361" w:rsidP="000C3361">
      <w:pPr>
        <w:pStyle w:val="ListParagraph"/>
        <w:numPr>
          <w:ilvl w:val="0"/>
          <w:numId w:val="16"/>
        </w:numPr>
        <w:rPr>
          <w:rFonts w:asciiTheme="minorHAnsi" w:hAnsiTheme="minorHAnsi" w:cstheme="minorHAnsi"/>
          <w:szCs w:val="24"/>
        </w:rPr>
      </w:pPr>
      <w:r>
        <w:rPr>
          <w:rFonts w:asciiTheme="minorHAnsi" w:hAnsiTheme="minorHAnsi" w:cstheme="minorHAnsi"/>
          <w:szCs w:val="24"/>
        </w:rPr>
        <w:t>t</w:t>
      </w:r>
      <w:r w:rsidR="00830726" w:rsidRPr="000C3361">
        <w:rPr>
          <w:rFonts w:asciiTheme="minorHAnsi" w:hAnsiTheme="minorHAnsi" w:cstheme="minorHAnsi"/>
          <w:szCs w:val="24"/>
        </w:rPr>
        <w:t xml:space="preserve">he relationship between the limitation and its purposes; and </w:t>
      </w:r>
    </w:p>
    <w:p w14:paraId="0523331F" w14:textId="2ECAC3BB" w:rsidR="00830726" w:rsidRPr="000C3361" w:rsidRDefault="000C3361" w:rsidP="000C3361">
      <w:pPr>
        <w:pStyle w:val="ListParagraph"/>
        <w:numPr>
          <w:ilvl w:val="0"/>
          <w:numId w:val="16"/>
        </w:numPr>
        <w:rPr>
          <w:rFonts w:asciiTheme="minorHAnsi" w:hAnsiTheme="minorHAnsi" w:cstheme="minorHAnsi"/>
          <w:szCs w:val="24"/>
        </w:rPr>
      </w:pPr>
      <w:r>
        <w:rPr>
          <w:rFonts w:asciiTheme="minorHAnsi" w:hAnsiTheme="minorHAnsi" w:cstheme="minorHAnsi"/>
          <w:szCs w:val="24"/>
        </w:rPr>
        <w:t>a</w:t>
      </w:r>
      <w:r w:rsidR="00830726" w:rsidRPr="000C3361">
        <w:rPr>
          <w:rFonts w:asciiTheme="minorHAnsi" w:hAnsiTheme="minorHAnsi" w:cstheme="minorHAnsi"/>
          <w:szCs w:val="24"/>
        </w:rPr>
        <w:t xml:space="preserve">ny less restrictive means reasonably available to achieve the purpose the limitation seeks to achieve. </w:t>
      </w:r>
    </w:p>
    <w:p w14:paraId="326CE8CE" w14:textId="77777777" w:rsidR="00830726" w:rsidRDefault="00830726" w:rsidP="00830726">
      <w:pPr>
        <w:rPr>
          <w:rFonts w:asciiTheme="minorHAnsi" w:hAnsiTheme="minorHAnsi" w:cstheme="minorHAnsi"/>
          <w:szCs w:val="24"/>
        </w:rPr>
      </w:pPr>
    </w:p>
    <w:p w14:paraId="172BF7B0" w14:textId="34FCF247" w:rsidR="00830726" w:rsidRDefault="00830726" w:rsidP="00830726">
      <w:pPr>
        <w:rPr>
          <w:rFonts w:asciiTheme="minorHAnsi" w:hAnsiTheme="minorHAnsi" w:cstheme="minorHAnsi"/>
          <w:szCs w:val="24"/>
        </w:rPr>
      </w:pPr>
      <w:r w:rsidRPr="004940D0">
        <w:rPr>
          <w:rFonts w:asciiTheme="minorHAnsi" w:hAnsiTheme="minorHAnsi" w:cstheme="minorHAnsi"/>
          <w:szCs w:val="24"/>
        </w:rPr>
        <w:t xml:space="preserve">The limits that are placed on human rights by the </w:t>
      </w:r>
      <w:r>
        <w:rPr>
          <w:rFonts w:asciiTheme="minorHAnsi" w:hAnsiTheme="minorHAnsi" w:cstheme="minorHAnsi"/>
          <w:szCs w:val="24"/>
        </w:rPr>
        <w:t>Amendment</w:t>
      </w:r>
      <w:r w:rsidRPr="004940D0">
        <w:rPr>
          <w:rFonts w:asciiTheme="minorHAnsi" w:hAnsiTheme="minorHAnsi" w:cstheme="minorHAnsi"/>
          <w:szCs w:val="24"/>
        </w:rPr>
        <w:t xml:space="preserve"> </w:t>
      </w:r>
      <w:r w:rsidR="00275CA9">
        <w:rPr>
          <w:rFonts w:asciiTheme="minorHAnsi" w:hAnsiTheme="minorHAnsi" w:cstheme="minorHAnsi"/>
          <w:szCs w:val="24"/>
        </w:rPr>
        <w:t xml:space="preserve">Regulation are </w:t>
      </w:r>
      <w:r w:rsidRPr="004940D0">
        <w:rPr>
          <w:rFonts w:asciiTheme="minorHAnsi" w:hAnsiTheme="minorHAnsi" w:cstheme="minorHAnsi"/>
          <w:szCs w:val="24"/>
        </w:rPr>
        <w:t xml:space="preserve">reasonable and justifiable in a free and democratic society. An assessment of the </w:t>
      </w:r>
      <w:r>
        <w:rPr>
          <w:rFonts w:asciiTheme="minorHAnsi" w:hAnsiTheme="minorHAnsi" w:cstheme="minorHAnsi"/>
          <w:szCs w:val="24"/>
        </w:rPr>
        <w:t>Regulation’s</w:t>
      </w:r>
      <w:r w:rsidRPr="004940D0">
        <w:rPr>
          <w:rFonts w:asciiTheme="minorHAnsi" w:hAnsiTheme="minorHAnsi" w:cstheme="minorHAnsi"/>
          <w:szCs w:val="24"/>
        </w:rPr>
        <w:t xml:space="preserve"> impact on relevant provisions of the HR</w:t>
      </w:r>
      <w:r>
        <w:rPr>
          <w:rFonts w:asciiTheme="minorHAnsi" w:hAnsiTheme="minorHAnsi" w:cstheme="minorHAnsi"/>
          <w:szCs w:val="24"/>
        </w:rPr>
        <w:t xml:space="preserve"> </w:t>
      </w:r>
      <w:r w:rsidRPr="004940D0">
        <w:rPr>
          <w:rFonts w:asciiTheme="minorHAnsi" w:hAnsiTheme="minorHAnsi" w:cstheme="minorHAnsi"/>
          <w:szCs w:val="24"/>
        </w:rPr>
        <w:t>A</w:t>
      </w:r>
      <w:r>
        <w:rPr>
          <w:rFonts w:asciiTheme="minorHAnsi" w:hAnsiTheme="minorHAnsi" w:cstheme="minorHAnsi"/>
          <w:szCs w:val="24"/>
        </w:rPr>
        <w:t>ct</w:t>
      </w:r>
      <w:r w:rsidRPr="004940D0">
        <w:rPr>
          <w:rFonts w:asciiTheme="minorHAnsi" w:hAnsiTheme="minorHAnsi" w:cstheme="minorHAnsi"/>
          <w:szCs w:val="24"/>
        </w:rPr>
        <w:t>, against all factors in section 28 (2), is provided below.</w:t>
      </w:r>
    </w:p>
    <w:p w14:paraId="0CC9CE0B" w14:textId="77777777" w:rsidR="00830726" w:rsidRDefault="00830726" w:rsidP="00830726">
      <w:pPr>
        <w:rPr>
          <w:rFonts w:asciiTheme="minorHAnsi" w:hAnsiTheme="minorHAnsi" w:cstheme="minorHAnsi"/>
          <w:szCs w:val="24"/>
        </w:rPr>
      </w:pPr>
    </w:p>
    <w:p w14:paraId="34F22AD4" w14:textId="77777777" w:rsidR="00830726" w:rsidRPr="000C3361" w:rsidRDefault="00830726" w:rsidP="00830726">
      <w:pPr>
        <w:rPr>
          <w:rFonts w:asciiTheme="minorHAnsi" w:hAnsiTheme="minorHAnsi" w:cstheme="minorHAnsi"/>
          <w:b/>
          <w:bCs/>
          <w:szCs w:val="24"/>
        </w:rPr>
      </w:pPr>
      <w:r w:rsidRPr="000C3361">
        <w:rPr>
          <w:rFonts w:asciiTheme="minorHAnsi" w:hAnsiTheme="minorHAnsi" w:cstheme="minorHAnsi"/>
          <w:b/>
          <w:bCs/>
          <w:szCs w:val="24"/>
        </w:rPr>
        <w:t xml:space="preserve">Detailed </w:t>
      </w:r>
      <w:r>
        <w:rPr>
          <w:rFonts w:asciiTheme="minorHAnsi" w:hAnsiTheme="minorHAnsi" w:cstheme="minorHAnsi"/>
          <w:b/>
          <w:bCs/>
          <w:szCs w:val="24"/>
        </w:rPr>
        <w:t>human rights discussion</w:t>
      </w:r>
    </w:p>
    <w:p w14:paraId="484182A8" w14:textId="77777777" w:rsidR="00830726" w:rsidRDefault="00830726" w:rsidP="00830726">
      <w:pPr>
        <w:pStyle w:val="ESText"/>
        <w:spacing w:line="240" w:lineRule="auto"/>
        <w:rPr>
          <w:rFonts w:ascii="Calibri" w:hAnsi="Calibri"/>
          <w:b/>
          <w:bCs/>
          <w:szCs w:val="24"/>
        </w:rPr>
      </w:pPr>
    </w:p>
    <w:p w14:paraId="0C3EA6D2" w14:textId="0139E56B" w:rsidR="006D1B6D" w:rsidRPr="000915F7" w:rsidRDefault="006D1B6D" w:rsidP="00830726">
      <w:pPr>
        <w:pStyle w:val="ESText"/>
        <w:spacing w:line="240" w:lineRule="auto"/>
        <w:rPr>
          <w:rFonts w:ascii="Calibri" w:hAnsi="Calibri"/>
          <w:b/>
          <w:bCs/>
          <w:szCs w:val="24"/>
        </w:rPr>
      </w:pPr>
      <w:r w:rsidRPr="000915F7">
        <w:rPr>
          <w:rFonts w:ascii="Calibri" w:hAnsi="Calibri"/>
          <w:b/>
          <w:bCs/>
          <w:szCs w:val="24"/>
        </w:rPr>
        <w:t>Section</w:t>
      </w:r>
      <w:r>
        <w:rPr>
          <w:rFonts w:ascii="Calibri" w:hAnsi="Calibri"/>
          <w:b/>
          <w:bCs/>
          <w:szCs w:val="24"/>
        </w:rPr>
        <w:t xml:space="preserve"> 22 – rights in criminal proceedings</w:t>
      </w:r>
      <w:r w:rsidR="00CE26C7">
        <w:rPr>
          <w:rFonts w:ascii="Calibri" w:hAnsi="Calibri"/>
          <w:b/>
          <w:bCs/>
          <w:szCs w:val="24"/>
        </w:rPr>
        <w:t xml:space="preserve"> – strict liability offences</w:t>
      </w:r>
    </w:p>
    <w:p w14:paraId="30E88FD3" w14:textId="4FEE83AF" w:rsidR="00830726" w:rsidRDefault="00830726" w:rsidP="00830726">
      <w:pPr>
        <w:pStyle w:val="ESText"/>
        <w:spacing w:line="240" w:lineRule="auto"/>
        <w:rPr>
          <w:rFonts w:ascii="Calibri" w:hAnsi="Calibri"/>
          <w:szCs w:val="24"/>
        </w:rPr>
      </w:pPr>
      <w:r>
        <w:rPr>
          <w:rFonts w:ascii="Calibri" w:hAnsi="Calibri"/>
          <w:szCs w:val="24"/>
        </w:rPr>
        <w:t xml:space="preserve">Section 22 (1) of the HR Act states that everyone charged with a criminal offence has the right to be presumed innocent until proven guilty according to law. </w:t>
      </w:r>
    </w:p>
    <w:p w14:paraId="5E288819" w14:textId="6D369C6E" w:rsidR="00830726" w:rsidRDefault="00830726" w:rsidP="00830726">
      <w:pPr>
        <w:rPr>
          <w:rFonts w:asciiTheme="minorHAnsi" w:hAnsiTheme="minorHAnsi" w:cstheme="minorHAnsi"/>
          <w:szCs w:val="24"/>
        </w:rPr>
      </w:pPr>
    </w:p>
    <w:p w14:paraId="476385DA" w14:textId="77777777" w:rsidR="00CE26C7" w:rsidRPr="000915F7" w:rsidRDefault="00CE26C7" w:rsidP="00CE26C7">
      <w:pPr>
        <w:rPr>
          <w:rFonts w:asciiTheme="minorHAnsi" w:hAnsiTheme="minorHAnsi" w:cstheme="minorHAnsi"/>
          <w:i/>
          <w:iCs/>
          <w:szCs w:val="24"/>
          <w:u w:val="single"/>
        </w:rPr>
      </w:pPr>
      <w:r w:rsidRPr="000915F7">
        <w:rPr>
          <w:rFonts w:asciiTheme="minorHAnsi" w:hAnsiTheme="minorHAnsi" w:cstheme="minorHAnsi"/>
          <w:i/>
          <w:iCs/>
          <w:szCs w:val="24"/>
          <w:u w:val="single"/>
        </w:rPr>
        <w:t>The nature of the right affected and the limitation (s28 (2) (a) and (c))</w:t>
      </w:r>
    </w:p>
    <w:p w14:paraId="2DC78172" w14:textId="6F5801BD" w:rsidR="00931D47" w:rsidRDefault="00830726" w:rsidP="00830726">
      <w:pPr>
        <w:rPr>
          <w:rFonts w:asciiTheme="minorHAnsi" w:hAnsiTheme="minorHAnsi" w:cstheme="minorHAnsi"/>
          <w:szCs w:val="24"/>
        </w:rPr>
      </w:pPr>
      <w:r>
        <w:rPr>
          <w:rFonts w:asciiTheme="minorHAnsi" w:hAnsiTheme="minorHAnsi" w:cstheme="minorHAnsi"/>
          <w:szCs w:val="24"/>
        </w:rPr>
        <w:t xml:space="preserve">The Amendment Regulation </w:t>
      </w:r>
      <w:r w:rsidR="002724D7">
        <w:rPr>
          <w:rFonts w:asciiTheme="minorHAnsi" w:hAnsiTheme="minorHAnsi" w:cstheme="minorHAnsi"/>
          <w:szCs w:val="24"/>
        </w:rPr>
        <w:t>introduces a new licence condition</w:t>
      </w:r>
      <w:r w:rsidR="00CE26C7">
        <w:rPr>
          <w:rFonts w:asciiTheme="minorHAnsi" w:hAnsiTheme="minorHAnsi" w:cstheme="minorHAnsi"/>
          <w:szCs w:val="24"/>
        </w:rPr>
        <w:t>.</w:t>
      </w:r>
      <w:r w:rsidR="00DC2925">
        <w:rPr>
          <w:rFonts w:asciiTheme="minorHAnsi" w:hAnsiTheme="minorHAnsi" w:cstheme="minorHAnsi"/>
          <w:szCs w:val="24"/>
        </w:rPr>
        <w:t xml:space="preserve"> </w:t>
      </w:r>
      <w:r w:rsidR="00471AC1">
        <w:rPr>
          <w:rFonts w:asciiTheme="minorHAnsi" w:hAnsiTheme="minorHAnsi" w:cstheme="minorHAnsi"/>
          <w:szCs w:val="24"/>
        </w:rPr>
        <w:t xml:space="preserve">Namely, </w:t>
      </w:r>
      <w:r w:rsidR="00CE26C7">
        <w:rPr>
          <w:rFonts w:asciiTheme="minorHAnsi" w:hAnsiTheme="minorHAnsi" w:cstheme="minorHAnsi"/>
          <w:szCs w:val="24"/>
        </w:rPr>
        <w:t xml:space="preserve">clauses 5, 27 and 28, apply a new licence condition on </w:t>
      </w:r>
      <w:r w:rsidR="004D7B9B">
        <w:rPr>
          <w:rFonts w:asciiTheme="minorHAnsi" w:hAnsiTheme="minorHAnsi" w:cstheme="minorHAnsi"/>
          <w:szCs w:val="24"/>
        </w:rPr>
        <w:t xml:space="preserve">those who hold a licence </w:t>
      </w:r>
      <w:r w:rsidR="00CE26C7">
        <w:rPr>
          <w:rFonts w:asciiTheme="minorHAnsi" w:hAnsiTheme="minorHAnsi" w:cstheme="minorHAnsi"/>
          <w:szCs w:val="24"/>
        </w:rPr>
        <w:t xml:space="preserve">under the WHS Regulation </w:t>
      </w:r>
      <w:r w:rsidR="00471AC1">
        <w:rPr>
          <w:rFonts w:asciiTheme="minorHAnsi" w:hAnsiTheme="minorHAnsi" w:cstheme="minorHAnsi"/>
          <w:szCs w:val="24"/>
        </w:rPr>
        <w:t>for</w:t>
      </w:r>
      <w:r w:rsidR="00931D47">
        <w:rPr>
          <w:rFonts w:asciiTheme="minorHAnsi" w:hAnsiTheme="minorHAnsi" w:cstheme="minorHAnsi"/>
          <w:szCs w:val="24"/>
        </w:rPr>
        <w:t>:</w:t>
      </w:r>
    </w:p>
    <w:p w14:paraId="2E6E21A5" w14:textId="3FD20E39" w:rsidR="00931D47" w:rsidRDefault="00931D47" w:rsidP="000915F7">
      <w:pPr>
        <w:pStyle w:val="ListParagraph"/>
        <w:numPr>
          <w:ilvl w:val="0"/>
          <w:numId w:val="22"/>
        </w:numPr>
        <w:rPr>
          <w:rFonts w:asciiTheme="minorHAnsi" w:hAnsiTheme="minorHAnsi" w:cstheme="minorHAnsi"/>
          <w:szCs w:val="24"/>
        </w:rPr>
      </w:pPr>
      <w:r>
        <w:rPr>
          <w:rFonts w:asciiTheme="minorHAnsi" w:hAnsiTheme="minorHAnsi" w:cstheme="minorHAnsi"/>
          <w:szCs w:val="24"/>
        </w:rPr>
        <w:t>high risk work;</w:t>
      </w:r>
    </w:p>
    <w:p w14:paraId="3C2B5B04" w14:textId="77777777" w:rsidR="00931D47" w:rsidRPr="000915F7" w:rsidRDefault="00931D47" w:rsidP="000915F7">
      <w:pPr>
        <w:pStyle w:val="ListParagraph"/>
        <w:numPr>
          <w:ilvl w:val="0"/>
          <w:numId w:val="22"/>
        </w:numPr>
        <w:rPr>
          <w:rFonts w:asciiTheme="minorHAnsi" w:hAnsiTheme="minorHAnsi" w:cstheme="minorHAnsi"/>
          <w:szCs w:val="24"/>
        </w:rPr>
      </w:pPr>
      <w:r>
        <w:rPr>
          <w:rFonts w:asciiTheme="minorHAnsi" w:hAnsiTheme="minorHAnsi" w:cstheme="minorHAnsi"/>
          <w:szCs w:val="24"/>
        </w:rPr>
        <w:t xml:space="preserve">class </w:t>
      </w:r>
      <w:r w:rsidRPr="00633C92">
        <w:rPr>
          <w:rFonts w:asciiTheme="minorHAnsi" w:hAnsiTheme="minorHAnsi" w:cstheme="minorHAnsi"/>
          <w:szCs w:val="24"/>
        </w:rPr>
        <w:t>B</w:t>
      </w:r>
      <w:r>
        <w:rPr>
          <w:rFonts w:asciiTheme="minorHAnsi" w:hAnsiTheme="minorHAnsi" w:cstheme="minorHAnsi"/>
          <w:b/>
          <w:bCs/>
          <w:szCs w:val="24"/>
        </w:rPr>
        <w:t xml:space="preserve"> </w:t>
      </w:r>
      <w:r w:rsidRPr="000915F7">
        <w:rPr>
          <w:rFonts w:asciiTheme="minorHAnsi" w:hAnsiTheme="minorHAnsi" w:cstheme="minorHAnsi"/>
          <w:szCs w:val="24"/>
        </w:rPr>
        <w:t xml:space="preserve">asbestos removal; and </w:t>
      </w:r>
    </w:p>
    <w:p w14:paraId="781AEFBD" w14:textId="12A7CFA2" w:rsidR="00931D47" w:rsidRPr="000915F7" w:rsidRDefault="004D7B9B" w:rsidP="000915F7">
      <w:pPr>
        <w:pStyle w:val="ListParagraph"/>
        <w:numPr>
          <w:ilvl w:val="0"/>
          <w:numId w:val="22"/>
        </w:numPr>
        <w:rPr>
          <w:rFonts w:asciiTheme="minorHAnsi" w:hAnsiTheme="minorHAnsi" w:cstheme="minorHAnsi"/>
          <w:szCs w:val="24"/>
        </w:rPr>
      </w:pPr>
      <w:r>
        <w:rPr>
          <w:rFonts w:asciiTheme="minorHAnsi" w:hAnsiTheme="minorHAnsi" w:cstheme="minorHAnsi"/>
          <w:szCs w:val="24"/>
        </w:rPr>
        <w:t xml:space="preserve">a </w:t>
      </w:r>
      <w:r w:rsidR="00931D47" w:rsidRPr="000915F7">
        <w:rPr>
          <w:rFonts w:asciiTheme="minorHAnsi" w:hAnsiTheme="minorHAnsi" w:cstheme="minorHAnsi"/>
          <w:szCs w:val="24"/>
        </w:rPr>
        <w:t>major hazard facility</w:t>
      </w:r>
      <w:r w:rsidR="00931D47">
        <w:rPr>
          <w:rFonts w:asciiTheme="minorHAnsi" w:hAnsiTheme="minorHAnsi" w:cstheme="minorHAnsi"/>
          <w:szCs w:val="24"/>
        </w:rPr>
        <w:t>.</w:t>
      </w:r>
    </w:p>
    <w:p w14:paraId="1A3AB4F3" w14:textId="77777777" w:rsidR="00931D47" w:rsidRDefault="00931D47" w:rsidP="000915F7">
      <w:pPr>
        <w:pStyle w:val="ListParagraph"/>
        <w:rPr>
          <w:rFonts w:asciiTheme="minorHAnsi" w:hAnsiTheme="minorHAnsi" w:cstheme="minorHAnsi"/>
          <w:szCs w:val="24"/>
        </w:rPr>
      </w:pPr>
    </w:p>
    <w:p w14:paraId="75F6E826" w14:textId="1BA1A523" w:rsidR="00BE3F56" w:rsidRDefault="00BE3F56" w:rsidP="00931D47">
      <w:pPr>
        <w:rPr>
          <w:rFonts w:asciiTheme="minorHAnsi" w:hAnsiTheme="minorHAnsi" w:cstheme="minorHAnsi"/>
          <w:szCs w:val="24"/>
        </w:rPr>
      </w:pPr>
      <w:r>
        <w:rPr>
          <w:rFonts w:asciiTheme="minorHAnsi" w:hAnsiTheme="minorHAnsi" w:cstheme="minorHAnsi"/>
          <w:szCs w:val="24"/>
        </w:rPr>
        <w:t xml:space="preserve">Specifically, the new licence condition will make it a condition on the above licence holders that should the </w:t>
      </w:r>
      <w:r w:rsidR="00DC2925" w:rsidRPr="000915F7">
        <w:rPr>
          <w:rFonts w:asciiTheme="minorHAnsi" w:hAnsiTheme="minorHAnsi" w:cstheme="minorHAnsi"/>
          <w:szCs w:val="24"/>
        </w:rPr>
        <w:t xml:space="preserve">licensee </w:t>
      </w:r>
      <w:r>
        <w:rPr>
          <w:rFonts w:asciiTheme="minorHAnsi" w:hAnsiTheme="minorHAnsi" w:cstheme="minorHAnsi"/>
          <w:szCs w:val="24"/>
        </w:rPr>
        <w:t xml:space="preserve">be </w:t>
      </w:r>
      <w:r w:rsidR="00006C99">
        <w:rPr>
          <w:rFonts w:asciiTheme="minorHAnsi" w:hAnsiTheme="minorHAnsi" w:cstheme="minorHAnsi"/>
          <w:szCs w:val="24"/>
        </w:rPr>
        <w:t xml:space="preserve">issued with an infringement notice under the </w:t>
      </w:r>
      <w:r w:rsidR="00006C99" w:rsidRPr="000915F7">
        <w:rPr>
          <w:rFonts w:asciiTheme="minorHAnsi" w:hAnsiTheme="minorHAnsi" w:cstheme="minorHAnsi"/>
          <w:i/>
          <w:iCs/>
          <w:szCs w:val="24"/>
        </w:rPr>
        <w:lastRenderedPageBreak/>
        <w:t>Magistrates Court (Work Health and Safety Infringement Notices) Regulation 2011</w:t>
      </w:r>
      <w:r>
        <w:rPr>
          <w:rFonts w:asciiTheme="minorHAnsi" w:hAnsiTheme="minorHAnsi" w:cstheme="minorHAnsi"/>
          <w:szCs w:val="24"/>
        </w:rPr>
        <w:t xml:space="preserve"> for an offence under the WHS laws,</w:t>
      </w:r>
      <w:r w:rsidR="00AD0719">
        <w:rPr>
          <w:rFonts w:asciiTheme="minorHAnsi" w:hAnsiTheme="minorHAnsi" w:cstheme="minorHAnsi"/>
          <w:i/>
          <w:iCs/>
          <w:szCs w:val="24"/>
        </w:rPr>
        <w:t xml:space="preserve"> </w:t>
      </w:r>
      <w:r w:rsidR="00AD0719" w:rsidRPr="000915F7">
        <w:rPr>
          <w:rFonts w:asciiTheme="minorHAnsi" w:hAnsiTheme="minorHAnsi" w:cstheme="minorHAnsi"/>
          <w:szCs w:val="24"/>
        </w:rPr>
        <w:t>information about the infringement notice</w:t>
      </w:r>
      <w:r w:rsidR="00006C99" w:rsidRPr="000915F7">
        <w:rPr>
          <w:rFonts w:asciiTheme="minorHAnsi" w:hAnsiTheme="minorHAnsi" w:cstheme="minorHAnsi"/>
          <w:i/>
          <w:iCs/>
          <w:szCs w:val="24"/>
        </w:rPr>
        <w:t xml:space="preserve"> </w:t>
      </w:r>
      <w:r w:rsidR="00DC2925" w:rsidRPr="000915F7">
        <w:rPr>
          <w:rFonts w:asciiTheme="minorHAnsi" w:hAnsiTheme="minorHAnsi" w:cstheme="minorHAnsi"/>
          <w:szCs w:val="24"/>
        </w:rPr>
        <w:t xml:space="preserve">must </w:t>
      </w:r>
      <w:r w:rsidR="00AD0719">
        <w:rPr>
          <w:rFonts w:asciiTheme="minorHAnsi" w:hAnsiTheme="minorHAnsi" w:cstheme="minorHAnsi"/>
          <w:szCs w:val="24"/>
        </w:rPr>
        <w:t>be included in a public</w:t>
      </w:r>
      <w:r w:rsidR="00DC2925" w:rsidRPr="000915F7">
        <w:rPr>
          <w:rFonts w:asciiTheme="minorHAnsi" w:hAnsiTheme="minorHAnsi" w:cstheme="minorHAnsi"/>
          <w:szCs w:val="24"/>
        </w:rPr>
        <w:t xml:space="preserve"> </w:t>
      </w:r>
      <w:r w:rsidR="00830726" w:rsidRPr="000915F7">
        <w:rPr>
          <w:rFonts w:asciiTheme="minorHAnsi" w:hAnsiTheme="minorHAnsi" w:cstheme="minorHAnsi"/>
          <w:szCs w:val="24"/>
        </w:rPr>
        <w:t xml:space="preserve">register </w:t>
      </w:r>
      <w:r w:rsidR="00AD0719">
        <w:rPr>
          <w:rFonts w:asciiTheme="minorHAnsi" w:hAnsiTheme="minorHAnsi" w:cstheme="minorHAnsi"/>
          <w:szCs w:val="24"/>
        </w:rPr>
        <w:t>in accordance with section 698A</w:t>
      </w:r>
      <w:r w:rsidR="00DC2925" w:rsidRPr="000915F7">
        <w:rPr>
          <w:rFonts w:asciiTheme="minorHAnsi" w:hAnsiTheme="minorHAnsi" w:cstheme="minorHAnsi"/>
          <w:szCs w:val="24"/>
        </w:rPr>
        <w:t>.</w:t>
      </w:r>
    </w:p>
    <w:p w14:paraId="342935ED" w14:textId="77777777" w:rsidR="00BE3F56" w:rsidRDefault="00BE3F56" w:rsidP="00931D47">
      <w:pPr>
        <w:rPr>
          <w:rFonts w:asciiTheme="minorHAnsi" w:hAnsiTheme="minorHAnsi" w:cstheme="minorHAnsi"/>
          <w:szCs w:val="24"/>
        </w:rPr>
      </w:pPr>
    </w:p>
    <w:p w14:paraId="1781CDC0" w14:textId="6D6D72C5" w:rsidR="00BE3F56" w:rsidRDefault="00830726" w:rsidP="00931D47">
      <w:pPr>
        <w:rPr>
          <w:rFonts w:asciiTheme="minorHAnsi" w:hAnsiTheme="minorHAnsi" w:cstheme="minorHAnsi"/>
          <w:szCs w:val="24"/>
        </w:rPr>
      </w:pPr>
      <w:bookmarkStart w:id="2" w:name="_Hlk43990324"/>
      <w:r w:rsidRPr="00730C60">
        <w:rPr>
          <w:rFonts w:asciiTheme="minorHAnsi" w:hAnsiTheme="minorHAnsi" w:cstheme="minorHAnsi"/>
          <w:szCs w:val="24"/>
        </w:rPr>
        <w:t xml:space="preserve">Like any other licence condition imposed </w:t>
      </w:r>
      <w:r w:rsidR="00BE3F56" w:rsidRPr="00730C60">
        <w:rPr>
          <w:rFonts w:asciiTheme="minorHAnsi" w:hAnsiTheme="minorHAnsi" w:cstheme="minorHAnsi"/>
          <w:szCs w:val="24"/>
        </w:rPr>
        <w:t>under</w:t>
      </w:r>
      <w:r w:rsidRPr="00730C60">
        <w:rPr>
          <w:rFonts w:asciiTheme="minorHAnsi" w:hAnsiTheme="minorHAnsi" w:cstheme="minorHAnsi"/>
          <w:szCs w:val="24"/>
        </w:rPr>
        <w:t xml:space="preserve"> the </w:t>
      </w:r>
      <w:r w:rsidR="00023577" w:rsidRPr="00730C60">
        <w:rPr>
          <w:rFonts w:asciiTheme="minorHAnsi" w:hAnsiTheme="minorHAnsi" w:cstheme="minorHAnsi"/>
          <w:szCs w:val="24"/>
        </w:rPr>
        <w:t xml:space="preserve">WHS </w:t>
      </w:r>
      <w:r w:rsidRPr="00730C60">
        <w:rPr>
          <w:rFonts w:asciiTheme="minorHAnsi" w:hAnsiTheme="minorHAnsi" w:cstheme="minorHAnsi"/>
          <w:szCs w:val="24"/>
        </w:rPr>
        <w:t>Regulations, non</w:t>
      </w:r>
      <w:r w:rsidR="00BE3F56" w:rsidRPr="00730C60">
        <w:rPr>
          <w:rFonts w:asciiTheme="minorHAnsi" w:hAnsiTheme="minorHAnsi" w:cstheme="minorHAnsi"/>
          <w:szCs w:val="24"/>
        </w:rPr>
        <w:noBreakHyphen/>
      </w:r>
      <w:r w:rsidRPr="00730C60">
        <w:rPr>
          <w:rFonts w:asciiTheme="minorHAnsi" w:hAnsiTheme="minorHAnsi" w:cstheme="minorHAnsi"/>
          <w:szCs w:val="24"/>
        </w:rPr>
        <w:t xml:space="preserve">compliance </w:t>
      </w:r>
      <w:r w:rsidR="00BE3F56" w:rsidRPr="00730C60">
        <w:rPr>
          <w:rFonts w:asciiTheme="minorHAnsi" w:hAnsiTheme="minorHAnsi" w:cstheme="minorHAnsi"/>
          <w:szCs w:val="24"/>
        </w:rPr>
        <w:t xml:space="preserve">is an </w:t>
      </w:r>
      <w:r w:rsidRPr="00730C60">
        <w:rPr>
          <w:rFonts w:asciiTheme="minorHAnsi" w:hAnsiTheme="minorHAnsi" w:cstheme="minorHAnsi"/>
          <w:szCs w:val="24"/>
        </w:rPr>
        <w:t xml:space="preserve">offence on a PCBU </w:t>
      </w:r>
      <w:r w:rsidR="00DC2925" w:rsidRPr="00730C60">
        <w:rPr>
          <w:rFonts w:asciiTheme="minorHAnsi" w:hAnsiTheme="minorHAnsi" w:cstheme="minorHAnsi"/>
          <w:szCs w:val="24"/>
        </w:rPr>
        <w:t>under section 45 of the WHS Act</w:t>
      </w:r>
      <w:r w:rsidR="00BE3F56" w:rsidRPr="00730C60">
        <w:rPr>
          <w:rFonts w:asciiTheme="minorHAnsi" w:hAnsiTheme="minorHAnsi" w:cstheme="minorHAnsi"/>
          <w:szCs w:val="24"/>
        </w:rPr>
        <w:t>.</w:t>
      </w:r>
      <w:r w:rsidR="00BE3F56">
        <w:rPr>
          <w:rFonts w:asciiTheme="minorHAnsi" w:hAnsiTheme="minorHAnsi" w:cstheme="minorHAnsi"/>
          <w:szCs w:val="24"/>
        </w:rPr>
        <w:t xml:space="preserve"> As with all offences under the WHS Act, section 12A applies strict liability to each physical element of an offence.</w:t>
      </w:r>
    </w:p>
    <w:bookmarkEnd w:id="2"/>
    <w:p w14:paraId="5C84F692" w14:textId="77777777" w:rsidR="00BE3F56" w:rsidRDefault="00BE3F56" w:rsidP="00931D47">
      <w:pPr>
        <w:rPr>
          <w:rFonts w:asciiTheme="minorHAnsi" w:hAnsiTheme="minorHAnsi" w:cstheme="minorHAnsi"/>
          <w:szCs w:val="24"/>
        </w:rPr>
      </w:pPr>
    </w:p>
    <w:p w14:paraId="0112EE0B" w14:textId="08FE8FD9" w:rsidR="00BE3F56" w:rsidRPr="00BE3F56" w:rsidRDefault="00BE3F56" w:rsidP="00BE3F56">
      <w:pPr>
        <w:rPr>
          <w:rFonts w:asciiTheme="minorHAnsi" w:hAnsiTheme="minorHAnsi" w:cstheme="minorHAnsi"/>
        </w:rPr>
      </w:pPr>
      <w:r w:rsidRPr="00BE3F56">
        <w:rPr>
          <w:rFonts w:asciiTheme="minorHAnsi" w:hAnsiTheme="minorHAnsi" w:cstheme="minorHAnsi"/>
        </w:rPr>
        <w:t xml:space="preserve">Strict liability offences engage the right to be presumed innocent under section 21(1) of the HR Act by removing the fault elements of an offence which, in turn, requires the defendant to prove mistake of fact, (a defence to all ACT offences under the Criminal Code 2002 (the Code)), or other defences available under the Code for strict liability offences. </w:t>
      </w:r>
    </w:p>
    <w:p w14:paraId="4E42CC66" w14:textId="77777777" w:rsidR="00BE3F56" w:rsidRPr="00BE3F56" w:rsidRDefault="00BE3F56" w:rsidP="00BE3F56">
      <w:pPr>
        <w:rPr>
          <w:rFonts w:asciiTheme="minorHAnsi" w:hAnsiTheme="minorHAnsi" w:cstheme="minorHAnsi"/>
        </w:rPr>
      </w:pPr>
    </w:p>
    <w:p w14:paraId="73A84BEE" w14:textId="77777777" w:rsidR="00BE3F56" w:rsidRPr="00BE3F56" w:rsidRDefault="00BE3F56" w:rsidP="00BE3F56">
      <w:pPr>
        <w:rPr>
          <w:rFonts w:asciiTheme="minorHAnsi" w:hAnsiTheme="minorHAnsi" w:cstheme="minorHAnsi"/>
        </w:rPr>
      </w:pPr>
      <w:r w:rsidRPr="00BE3F56">
        <w:rPr>
          <w:rFonts w:asciiTheme="minorHAnsi" w:hAnsiTheme="minorHAnsi" w:cstheme="minorHAnsi"/>
        </w:rPr>
        <w:t>Strict liability can be reasonably justified in certain circumstances:</w:t>
      </w:r>
    </w:p>
    <w:p w14:paraId="1A75DDD4" w14:textId="5C56EA6F" w:rsidR="00BE3F56" w:rsidRPr="000915F7" w:rsidRDefault="00BE3F56" w:rsidP="000915F7">
      <w:pPr>
        <w:pStyle w:val="ListParagraph"/>
        <w:numPr>
          <w:ilvl w:val="0"/>
          <w:numId w:val="23"/>
        </w:numPr>
        <w:rPr>
          <w:rFonts w:asciiTheme="minorHAnsi" w:hAnsiTheme="minorHAnsi" w:cstheme="minorHAnsi"/>
        </w:rPr>
      </w:pPr>
      <w:r w:rsidRPr="000915F7">
        <w:rPr>
          <w:rFonts w:asciiTheme="minorHAnsi" w:hAnsiTheme="minorHAnsi" w:cstheme="minorHAnsi"/>
        </w:rPr>
        <w:t>strict liability offences should only be used where a person knows, or ought to know, their legal obligations;</w:t>
      </w:r>
    </w:p>
    <w:p w14:paraId="36CBC4F0" w14:textId="3CBFC3D6" w:rsidR="00BE3F56" w:rsidRPr="000915F7" w:rsidRDefault="00BE3F56" w:rsidP="000915F7">
      <w:pPr>
        <w:pStyle w:val="ListParagraph"/>
        <w:numPr>
          <w:ilvl w:val="0"/>
          <w:numId w:val="23"/>
        </w:numPr>
        <w:rPr>
          <w:rFonts w:asciiTheme="minorHAnsi" w:hAnsiTheme="minorHAnsi" w:cstheme="minorHAnsi"/>
        </w:rPr>
      </w:pPr>
      <w:r w:rsidRPr="000915F7">
        <w:rPr>
          <w:rFonts w:asciiTheme="minorHAnsi" w:hAnsiTheme="minorHAnsi" w:cstheme="minorHAnsi"/>
        </w:rPr>
        <w:t>strict liability offences must be relevant, rational and proportionate to their objective; and</w:t>
      </w:r>
    </w:p>
    <w:p w14:paraId="424F0A7F" w14:textId="6F7B225A" w:rsidR="00BE3F56" w:rsidRPr="000915F7" w:rsidRDefault="00BE3F56" w:rsidP="000915F7">
      <w:pPr>
        <w:pStyle w:val="ListParagraph"/>
        <w:numPr>
          <w:ilvl w:val="0"/>
          <w:numId w:val="23"/>
        </w:numPr>
        <w:rPr>
          <w:rFonts w:asciiTheme="minorHAnsi" w:hAnsiTheme="minorHAnsi" w:cstheme="minorHAnsi"/>
        </w:rPr>
      </w:pPr>
      <w:r w:rsidRPr="000915F7">
        <w:rPr>
          <w:rFonts w:asciiTheme="minorHAnsi" w:hAnsiTheme="minorHAnsi" w:cstheme="minorHAnsi"/>
        </w:rPr>
        <w:t>examples of where strict liability offences are considered to be appropriate include regulatory regimes such as work health and safety, to support the integrity of the legislation and regulations, and where offences are minor with no custodial penalty.</w:t>
      </w:r>
    </w:p>
    <w:p w14:paraId="038C638D" w14:textId="4238E1BB" w:rsidR="00830726" w:rsidRDefault="00830726" w:rsidP="00830726">
      <w:pPr>
        <w:pStyle w:val="ESText"/>
        <w:spacing w:line="240" w:lineRule="auto"/>
        <w:rPr>
          <w:rFonts w:ascii="Calibri" w:hAnsi="Calibri"/>
          <w:szCs w:val="24"/>
        </w:rPr>
      </w:pPr>
    </w:p>
    <w:p w14:paraId="4B2A0033" w14:textId="04BCF8B6" w:rsidR="00AA0292" w:rsidRPr="000915F7" w:rsidRDefault="00AA0292" w:rsidP="00AA0292">
      <w:pPr>
        <w:pStyle w:val="ESText"/>
        <w:spacing w:line="240" w:lineRule="auto"/>
        <w:rPr>
          <w:rFonts w:ascii="Calibri" w:hAnsi="Calibri"/>
          <w:i/>
          <w:iCs/>
          <w:szCs w:val="24"/>
          <w:u w:val="single"/>
        </w:rPr>
      </w:pPr>
      <w:r w:rsidRPr="000915F7">
        <w:rPr>
          <w:rFonts w:ascii="Calibri" w:hAnsi="Calibri"/>
          <w:i/>
          <w:iCs/>
          <w:szCs w:val="24"/>
          <w:u w:val="single"/>
        </w:rPr>
        <w:t>The importance of the purpose of the limitation (s28 (2) (b)</w:t>
      </w:r>
      <w:r w:rsidR="00DA5E5F" w:rsidRPr="000915F7">
        <w:rPr>
          <w:rFonts w:ascii="Calibri" w:hAnsi="Calibri"/>
          <w:i/>
          <w:iCs/>
          <w:szCs w:val="24"/>
          <w:u w:val="single"/>
        </w:rPr>
        <w:t>)</w:t>
      </w:r>
    </w:p>
    <w:p w14:paraId="5E0C2019" w14:textId="74041EB9" w:rsidR="00AA0292" w:rsidRPr="000915F7" w:rsidRDefault="00AA0292" w:rsidP="00AA0292">
      <w:pPr>
        <w:pStyle w:val="ESText"/>
        <w:spacing w:line="240" w:lineRule="auto"/>
        <w:rPr>
          <w:rFonts w:ascii="Calibri" w:hAnsi="Calibri"/>
          <w:szCs w:val="24"/>
        </w:rPr>
      </w:pPr>
      <w:r w:rsidRPr="000915F7">
        <w:rPr>
          <w:rFonts w:ascii="Calibri" w:hAnsi="Calibri"/>
          <w:szCs w:val="24"/>
        </w:rPr>
        <w:t xml:space="preserve">The purpose of the limitation is to </w:t>
      </w:r>
      <w:r w:rsidR="00004BC9">
        <w:rPr>
          <w:rFonts w:ascii="Calibri" w:hAnsi="Calibri"/>
          <w:szCs w:val="24"/>
        </w:rPr>
        <w:t xml:space="preserve">support compliance with WHS obligations and duties by </w:t>
      </w:r>
      <w:r w:rsidRPr="000915F7">
        <w:rPr>
          <w:rFonts w:ascii="Calibri" w:hAnsi="Calibri"/>
          <w:szCs w:val="24"/>
        </w:rPr>
        <w:t>PCBUs</w:t>
      </w:r>
      <w:r w:rsidR="00DA5E5F">
        <w:rPr>
          <w:rFonts w:ascii="Calibri" w:hAnsi="Calibri"/>
          <w:szCs w:val="24"/>
        </w:rPr>
        <w:t xml:space="preserve"> and act as a better deterrence tool</w:t>
      </w:r>
      <w:r w:rsidRPr="000915F7">
        <w:rPr>
          <w:rFonts w:ascii="Calibri" w:hAnsi="Calibri"/>
          <w:szCs w:val="24"/>
        </w:rPr>
        <w:t xml:space="preserve">. </w:t>
      </w:r>
    </w:p>
    <w:p w14:paraId="1B38A026" w14:textId="77777777" w:rsidR="00AA0292" w:rsidRPr="00F718AB" w:rsidRDefault="00AA0292" w:rsidP="00830726">
      <w:pPr>
        <w:pStyle w:val="ESText"/>
        <w:spacing w:line="240" w:lineRule="auto"/>
        <w:rPr>
          <w:rFonts w:ascii="Calibri" w:hAnsi="Calibri"/>
          <w:szCs w:val="24"/>
        </w:rPr>
      </w:pPr>
    </w:p>
    <w:p w14:paraId="4BE6D79C" w14:textId="7F3E9302" w:rsidR="00D20850" w:rsidRDefault="00004BC9" w:rsidP="00004BC9">
      <w:pPr>
        <w:rPr>
          <w:rFonts w:asciiTheme="minorHAnsi" w:hAnsiTheme="minorHAnsi" w:cstheme="minorHAnsi"/>
        </w:rPr>
      </w:pPr>
      <w:r w:rsidRPr="00BE3F56">
        <w:rPr>
          <w:rFonts w:asciiTheme="minorHAnsi" w:hAnsiTheme="minorHAnsi" w:cstheme="minorHAnsi"/>
        </w:rPr>
        <w:t>Th</w:t>
      </w:r>
      <w:r>
        <w:rPr>
          <w:rFonts w:asciiTheme="minorHAnsi" w:hAnsiTheme="minorHAnsi" w:cstheme="minorHAnsi"/>
        </w:rPr>
        <w:t>e</w:t>
      </w:r>
      <w:r w:rsidRPr="00BE3F56">
        <w:rPr>
          <w:rFonts w:asciiTheme="minorHAnsi" w:hAnsiTheme="minorHAnsi" w:cstheme="minorHAnsi"/>
        </w:rPr>
        <w:t xml:space="preserve"> strict liability offence </w:t>
      </w:r>
      <w:r>
        <w:rPr>
          <w:rFonts w:asciiTheme="minorHAnsi" w:hAnsiTheme="minorHAnsi" w:cstheme="minorHAnsi"/>
        </w:rPr>
        <w:t xml:space="preserve">attaching to the new licence condition </w:t>
      </w:r>
      <w:r w:rsidRPr="00BE3F56">
        <w:rPr>
          <w:rFonts w:asciiTheme="minorHAnsi" w:hAnsiTheme="minorHAnsi" w:cstheme="minorHAnsi"/>
        </w:rPr>
        <w:t xml:space="preserve">arises in </w:t>
      </w:r>
      <w:r>
        <w:rPr>
          <w:rFonts w:asciiTheme="minorHAnsi" w:hAnsiTheme="minorHAnsi" w:cstheme="minorHAnsi"/>
        </w:rPr>
        <w:t>a</w:t>
      </w:r>
      <w:r w:rsidRPr="00BE3F56">
        <w:rPr>
          <w:rFonts w:asciiTheme="minorHAnsi" w:hAnsiTheme="minorHAnsi" w:cstheme="minorHAnsi"/>
        </w:rPr>
        <w:t xml:space="preserve"> regulatory context where, for reasons such as worker and public safety, and in the interest of ensuring that regulatory schemes are observed, the sanction of a criminal penalty is justified. The offence also arises in a context where a PCBU</w:t>
      </w:r>
      <w:r w:rsidR="00DA5E5F">
        <w:rPr>
          <w:rFonts w:asciiTheme="minorHAnsi" w:hAnsiTheme="minorHAnsi" w:cstheme="minorHAnsi"/>
        </w:rPr>
        <w:t xml:space="preserve"> (licence holder)</w:t>
      </w:r>
      <w:r w:rsidRPr="00BE3F56">
        <w:rPr>
          <w:rFonts w:asciiTheme="minorHAnsi" w:hAnsiTheme="minorHAnsi" w:cstheme="minorHAnsi"/>
        </w:rPr>
        <w:t xml:space="preserve"> can be reasonably expected, because of </w:t>
      </w:r>
      <w:r w:rsidR="00DA5E5F">
        <w:rPr>
          <w:rFonts w:asciiTheme="minorHAnsi" w:hAnsiTheme="minorHAnsi" w:cstheme="minorHAnsi"/>
        </w:rPr>
        <w:t>the regulatory scheme they participate in</w:t>
      </w:r>
      <w:r w:rsidRPr="00BE3F56">
        <w:rPr>
          <w:rFonts w:asciiTheme="minorHAnsi" w:hAnsiTheme="minorHAnsi" w:cstheme="minorHAnsi"/>
        </w:rPr>
        <w:t>, to know the requirements of the law.</w:t>
      </w:r>
      <w:r w:rsidR="00DA5E5F">
        <w:rPr>
          <w:rFonts w:asciiTheme="minorHAnsi" w:hAnsiTheme="minorHAnsi" w:cstheme="minorHAnsi"/>
        </w:rPr>
        <w:t xml:space="preserve"> </w:t>
      </w:r>
      <w:r w:rsidRPr="00BE3F56">
        <w:rPr>
          <w:rFonts w:asciiTheme="minorHAnsi" w:hAnsiTheme="minorHAnsi" w:cstheme="minorHAnsi"/>
        </w:rPr>
        <w:t>As such, the mental or fault element can justifiably be excluded.</w:t>
      </w:r>
    </w:p>
    <w:p w14:paraId="36A8E73E" w14:textId="77777777" w:rsidR="00830726" w:rsidRDefault="00830726" w:rsidP="00830726">
      <w:pPr>
        <w:rPr>
          <w:rFonts w:asciiTheme="minorHAnsi" w:hAnsiTheme="minorHAnsi" w:cstheme="minorHAnsi"/>
          <w:szCs w:val="24"/>
        </w:rPr>
      </w:pPr>
    </w:p>
    <w:p w14:paraId="08BC16DC" w14:textId="2E8C2C56" w:rsidR="00830726" w:rsidRPr="000915F7" w:rsidRDefault="00830726" w:rsidP="00830726">
      <w:pPr>
        <w:rPr>
          <w:rFonts w:asciiTheme="minorHAnsi" w:hAnsiTheme="minorHAnsi" w:cstheme="minorHAnsi"/>
          <w:i/>
          <w:iCs/>
          <w:szCs w:val="24"/>
          <w:u w:val="single"/>
        </w:rPr>
      </w:pPr>
      <w:r w:rsidRPr="000915F7">
        <w:rPr>
          <w:rFonts w:asciiTheme="minorHAnsi" w:hAnsiTheme="minorHAnsi" w:cstheme="minorHAnsi"/>
          <w:i/>
          <w:iCs/>
          <w:szCs w:val="24"/>
          <w:u w:val="single"/>
        </w:rPr>
        <w:t>Legitimate purpose (s28 (2) (b))</w:t>
      </w:r>
      <w:r w:rsidR="00D20850" w:rsidRPr="000915F7">
        <w:rPr>
          <w:rFonts w:asciiTheme="minorHAnsi" w:hAnsiTheme="minorHAnsi" w:cstheme="minorHAnsi"/>
          <w:i/>
          <w:iCs/>
          <w:szCs w:val="24"/>
          <w:u w:val="single"/>
        </w:rPr>
        <w:t>,</w:t>
      </w:r>
      <w:r w:rsidRPr="000915F7">
        <w:rPr>
          <w:rFonts w:asciiTheme="minorHAnsi" w:hAnsiTheme="minorHAnsi" w:cstheme="minorHAnsi"/>
          <w:i/>
          <w:iCs/>
          <w:szCs w:val="24"/>
          <w:u w:val="single"/>
        </w:rPr>
        <w:t xml:space="preserve"> rational connection (s28 (2) (d))</w:t>
      </w:r>
      <w:r w:rsidR="00D20850" w:rsidRPr="000915F7">
        <w:rPr>
          <w:rFonts w:asciiTheme="minorHAnsi" w:hAnsiTheme="minorHAnsi" w:cstheme="minorHAnsi"/>
          <w:i/>
          <w:iCs/>
          <w:szCs w:val="24"/>
          <w:u w:val="single"/>
        </w:rPr>
        <w:t xml:space="preserve"> and proportionality (s28 (2) (e))</w:t>
      </w:r>
    </w:p>
    <w:p w14:paraId="2CF325DE" w14:textId="3FDF72A9" w:rsidR="007C3095" w:rsidRDefault="00DA5E5F" w:rsidP="00830726">
      <w:pPr>
        <w:rPr>
          <w:rFonts w:asciiTheme="minorHAnsi" w:hAnsiTheme="minorHAnsi" w:cstheme="minorHAnsi"/>
          <w:szCs w:val="24"/>
        </w:rPr>
      </w:pPr>
      <w:r>
        <w:rPr>
          <w:rFonts w:asciiTheme="minorHAnsi" w:hAnsiTheme="minorHAnsi" w:cstheme="minorHAnsi"/>
          <w:szCs w:val="24"/>
        </w:rPr>
        <w:t xml:space="preserve">The application of a licence condition </w:t>
      </w:r>
      <w:r w:rsidR="00D20850">
        <w:rPr>
          <w:rFonts w:asciiTheme="minorHAnsi" w:hAnsiTheme="minorHAnsi" w:cstheme="minorHAnsi"/>
          <w:szCs w:val="24"/>
        </w:rPr>
        <w:t>is a necessary regulatory tool to support compliance with the WHS laws</w:t>
      </w:r>
      <w:r w:rsidR="007C3095">
        <w:rPr>
          <w:rFonts w:asciiTheme="minorHAnsi" w:hAnsiTheme="minorHAnsi" w:cstheme="minorHAnsi"/>
          <w:szCs w:val="24"/>
        </w:rPr>
        <w:t xml:space="preserve"> by allowing the publication of infringement notices issued for non-compliance with WHS laws</w:t>
      </w:r>
      <w:r w:rsidR="00D20850">
        <w:rPr>
          <w:rFonts w:asciiTheme="minorHAnsi" w:hAnsiTheme="minorHAnsi" w:cstheme="minorHAnsi"/>
          <w:szCs w:val="24"/>
        </w:rPr>
        <w:t>. The publication of information about a licence holder’s non-compliance with their WHS obligations and duties as part of a condition of their licence will act as an important deterrence to systemic and repeat non</w:t>
      </w:r>
      <w:r w:rsidR="00D20850">
        <w:rPr>
          <w:rFonts w:asciiTheme="minorHAnsi" w:hAnsiTheme="minorHAnsi" w:cstheme="minorHAnsi"/>
          <w:szCs w:val="24"/>
        </w:rPr>
        <w:noBreakHyphen/>
        <w:t>compliance.</w:t>
      </w:r>
      <w:r w:rsidR="00830726">
        <w:rPr>
          <w:rFonts w:asciiTheme="minorHAnsi" w:hAnsiTheme="minorHAnsi" w:cstheme="minorHAnsi"/>
          <w:szCs w:val="24"/>
        </w:rPr>
        <w:t xml:space="preserve"> </w:t>
      </w:r>
    </w:p>
    <w:p w14:paraId="20AA7EB4" w14:textId="77777777" w:rsidR="007C3095" w:rsidRDefault="007C3095" w:rsidP="00830726">
      <w:pPr>
        <w:rPr>
          <w:rFonts w:asciiTheme="minorHAnsi" w:hAnsiTheme="minorHAnsi" w:cstheme="minorHAnsi"/>
          <w:szCs w:val="24"/>
        </w:rPr>
      </w:pPr>
    </w:p>
    <w:p w14:paraId="63B8A2F5" w14:textId="7791A61C" w:rsidR="00830726" w:rsidRDefault="007C3095" w:rsidP="00830726">
      <w:pPr>
        <w:rPr>
          <w:rFonts w:asciiTheme="minorHAnsi" w:hAnsiTheme="minorHAnsi" w:cstheme="minorHAnsi"/>
          <w:szCs w:val="24"/>
        </w:rPr>
      </w:pPr>
      <w:r>
        <w:rPr>
          <w:rFonts w:asciiTheme="minorHAnsi" w:hAnsiTheme="minorHAnsi" w:cstheme="minorHAnsi"/>
          <w:szCs w:val="24"/>
        </w:rPr>
        <w:lastRenderedPageBreak/>
        <w:t>Given the importance of ensuring compliance with WHS laws that protect the health and safety of workers and the community, and that there are unlikely to be circumstances in which the PCBU would breach the new licence conditions, the limitation</w:t>
      </w:r>
      <w:r w:rsidR="00D20850">
        <w:rPr>
          <w:rFonts w:asciiTheme="minorHAnsi" w:hAnsiTheme="minorHAnsi" w:cstheme="minorHAnsi"/>
          <w:szCs w:val="24"/>
        </w:rPr>
        <w:t xml:space="preserve"> is considered to be reasonable and proportionate</w:t>
      </w:r>
      <w:r>
        <w:rPr>
          <w:rFonts w:asciiTheme="minorHAnsi" w:hAnsiTheme="minorHAnsi" w:cstheme="minorHAnsi"/>
          <w:szCs w:val="24"/>
        </w:rPr>
        <w:t xml:space="preserve"> in a regulatory scheme to support the health and safety of workers and the public.</w:t>
      </w:r>
    </w:p>
    <w:p w14:paraId="0CD5BC22" w14:textId="77777777" w:rsidR="00830726" w:rsidRDefault="00830726" w:rsidP="00830726">
      <w:pPr>
        <w:rPr>
          <w:rFonts w:asciiTheme="minorHAnsi" w:hAnsiTheme="minorHAnsi" w:cstheme="minorHAnsi"/>
          <w:szCs w:val="24"/>
        </w:rPr>
      </w:pPr>
    </w:p>
    <w:p w14:paraId="055E8BF1" w14:textId="77777777" w:rsidR="00673158" w:rsidRPr="00EB0ABB" w:rsidRDefault="00673158" w:rsidP="000B7049">
      <w:pPr>
        <w:rPr>
          <w:rFonts w:asciiTheme="minorHAnsi" w:hAnsiTheme="minorHAnsi" w:cstheme="minorHAnsi"/>
        </w:rPr>
      </w:pPr>
    </w:p>
    <w:p w14:paraId="615AF55F" w14:textId="20A35283" w:rsidR="00855C85" w:rsidRDefault="00855C85" w:rsidP="00855C85">
      <w:pPr>
        <w:pStyle w:val="ESText"/>
        <w:spacing w:line="240" w:lineRule="auto"/>
        <w:rPr>
          <w:rFonts w:ascii="Calibri" w:hAnsi="Calibri"/>
          <w:b/>
          <w:bCs/>
          <w:szCs w:val="24"/>
        </w:rPr>
      </w:pPr>
      <w:r w:rsidRPr="0066347D">
        <w:rPr>
          <w:rFonts w:ascii="Calibri" w:hAnsi="Calibri"/>
          <w:b/>
          <w:bCs/>
          <w:szCs w:val="24"/>
        </w:rPr>
        <w:t>Section 12 (</w:t>
      </w:r>
      <w:r>
        <w:rPr>
          <w:rFonts w:ascii="Calibri" w:hAnsi="Calibri"/>
          <w:b/>
          <w:bCs/>
          <w:szCs w:val="24"/>
        </w:rPr>
        <w:t>P</w:t>
      </w:r>
      <w:r w:rsidRPr="0066347D">
        <w:rPr>
          <w:rFonts w:ascii="Calibri" w:hAnsi="Calibri"/>
          <w:b/>
          <w:bCs/>
          <w:szCs w:val="24"/>
        </w:rPr>
        <w:t>rivacy and reputation</w:t>
      </w:r>
      <w:r w:rsidR="00A40EC2">
        <w:rPr>
          <w:rFonts w:ascii="Calibri" w:hAnsi="Calibri"/>
          <w:b/>
          <w:bCs/>
          <w:szCs w:val="24"/>
        </w:rPr>
        <w:t>)</w:t>
      </w:r>
      <w:r w:rsidR="00CE26C7">
        <w:rPr>
          <w:rFonts w:ascii="Calibri" w:hAnsi="Calibri"/>
          <w:b/>
          <w:bCs/>
          <w:szCs w:val="24"/>
        </w:rPr>
        <w:t xml:space="preserve"> – establishing a licence register</w:t>
      </w:r>
    </w:p>
    <w:p w14:paraId="79842DAD" w14:textId="65413CAA" w:rsidR="00855C85" w:rsidRDefault="00855C85" w:rsidP="00855C85">
      <w:pPr>
        <w:pStyle w:val="ESText"/>
        <w:spacing w:line="240" w:lineRule="auto"/>
        <w:rPr>
          <w:rFonts w:ascii="Calibri" w:hAnsi="Calibri"/>
          <w:b/>
          <w:bCs/>
          <w:szCs w:val="24"/>
        </w:rPr>
      </w:pPr>
    </w:p>
    <w:p w14:paraId="0B40A096" w14:textId="49D34FB7" w:rsidR="00CE26C7" w:rsidRDefault="003D7B7B" w:rsidP="003D7B7B">
      <w:pPr>
        <w:pStyle w:val="ESText"/>
        <w:spacing w:line="240" w:lineRule="auto"/>
        <w:rPr>
          <w:rFonts w:ascii="Calibri" w:hAnsi="Calibri"/>
          <w:szCs w:val="24"/>
        </w:rPr>
      </w:pPr>
      <w:r>
        <w:rPr>
          <w:rFonts w:ascii="Calibri" w:hAnsi="Calibri"/>
          <w:szCs w:val="24"/>
        </w:rPr>
        <w:t xml:space="preserve">Section </w:t>
      </w:r>
      <w:r w:rsidRPr="00F23D09">
        <w:rPr>
          <w:rFonts w:ascii="Calibri" w:hAnsi="Calibri"/>
          <w:szCs w:val="24"/>
        </w:rPr>
        <w:t>12</w:t>
      </w:r>
      <w:r>
        <w:rPr>
          <w:rFonts w:ascii="Calibri" w:hAnsi="Calibri"/>
          <w:szCs w:val="24"/>
        </w:rPr>
        <w:t xml:space="preserve"> </w:t>
      </w:r>
      <w:r w:rsidRPr="00F23D09">
        <w:rPr>
          <w:rFonts w:ascii="Calibri" w:hAnsi="Calibri"/>
          <w:szCs w:val="24"/>
        </w:rPr>
        <w:t xml:space="preserve">of the </w:t>
      </w:r>
      <w:r>
        <w:rPr>
          <w:rFonts w:ascii="Calibri" w:hAnsi="Calibri"/>
          <w:szCs w:val="24"/>
        </w:rPr>
        <w:t>HR Act</w:t>
      </w:r>
      <w:r w:rsidRPr="00F23D09">
        <w:rPr>
          <w:rFonts w:ascii="Calibri" w:hAnsi="Calibri"/>
          <w:szCs w:val="24"/>
        </w:rPr>
        <w:t xml:space="preserve"> protects the right of individuals not to have </w:t>
      </w:r>
      <w:r>
        <w:rPr>
          <w:rFonts w:ascii="Calibri" w:hAnsi="Calibri"/>
          <w:szCs w:val="24"/>
        </w:rPr>
        <w:t>their</w:t>
      </w:r>
      <w:r w:rsidRPr="00F23D09">
        <w:rPr>
          <w:rFonts w:ascii="Calibri" w:hAnsi="Calibri"/>
          <w:szCs w:val="24"/>
        </w:rPr>
        <w:t xml:space="preserve"> privacy, family, home or correspondence interfered with unlawfully or arbitrarily.</w:t>
      </w:r>
      <w:r>
        <w:rPr>
          <w:rFonts w:ascii="Calibri" w:hAnsi="Calibri"/>
          <w:szCs w:val="24"/>
        </w:rPr>
        <w:t xml:space="preserve"> It further provides to protect the right of individuals not to have their reputation unlawfully attacked.</w:t>
      </w:r>
    </w:p>
    <w:p w14:paraId="20E824B0" w14:textId="04D42E76" w:rsidR="005A75F0" w:rsidRDefault="005A75F0" w:rsidP="003D7B7B">
      <w:pPr>
        <w:pStyle w:val="ESText"/>
        <w:spacing w:line="240" w:lineRule="auto"/>
        <w:rPr>
          <w:rFonts w:ascii="Calibri" w:hAnsi="Calibri"/>
          <w:szCs w:val="24"/>
        </w:rPr>
      </w:pPr>
    </w:p>
    <w:p w14:paraId="3971A2D3" w14:textId="77777777" w:rsidR="005A75F0" w:rsidRPr="00633C92" w:rsidRDefault="005A75F0" w:rsidP="005A75F0">
      <w:pPr>
        <w:rPr>
          <w:rFonts w:asciiTheme="minorHAnsi" w:hAnsiTheme="minorHAnsi" w:cstheme="minorHAnsi"/>
          <w:i/>
          <w:iCs/>
          <w:szCs w:val="24"/>
          <w:u w:val="single"/>
        </w:rPr>
      </w:pPr>
      <w:r w:rsidRPr="00633C92">
        <w:rPr>
          <w:rFonts w:asciiTheme="minorHAnsi" w:hAnsiTheme="minorHAnsi" w:cstheme="minorHAnsi"/>
          <w:i/>
          <w:iCs/>
          <w:szCs w:val="24"/>
          <w:u w:val="single"/>
        </w:rPr>
        <w:t>The nature of the right affected</w:t>
      </w:r>
      <w:r>
        <w:rPr>
          <w:rFonts w:asciiTheme="minorHAnsi" w:hAnsiTheme="minorHAnsi" w:cstheme="minorHAnsi"/>
          <w:i/>
          <w:iCs/>
          <w:szCs w:val="24"/>
          <w:u w:val="single"/>
        </w:rPr>
        <w:t xml:space="preserve"> and the limitation (s28 (2) (a) and (c))</w:t>
      </w:r>
    </w:p>
    <w:p w14:paraId="3D3C0F3A" w14:textId="77777777" w:rsidR="00982787" w:rsidRDefault="00ED4B17" w:rsidP="00ED4B17">
      <w:pPr>
        <w:pStyle w:val="ESText"/>
        <w:spacing w:line="240" w:lineRule="auto"/>
        <w:rPr>
          <w:rFonts w:ascii="Calibri" w:hAnsi="Calibri"/>
          <w:szCs w:val="24"/>
        </w:rPr>
      </w:pPr>
      <w:r>
        <w:rPr>
          <w:rFonts w:ascii="Calibri" w:hAnsi="Calibri"/>
          <w:szCs w:val="24"/>
        </w:rPr>
        <w:t>The right to privacy may be engaged by the Amendment Regulation in some instances where the PCBU is an individual.</w:t>
      </w:r>
    </w:p>
    <w:p w14:paraId="3D2D4E2F" w14:textId="77777777" w:rsidR="00982787" w:rsidRDefault="00982787" w:rsidP="00ED4B17">
      <w:pPr>
        <w:pStyle w:val="ESText"/>
        <w:spacing w:line="240" w:lineRule="auto"/>
        <w:rPr>
          <w:rFonts w:ascii="Calibri" w:hAnsi="Calibri"/>
          <w:szCs w:val="24"/>
        </w:rPr>
      </w:pPr>
    </w:p>
    <w:p w14:paraId="208AC941" w14:textId="7CF35CD8" w:rsidR="00ED4B17" w:rsidRDefault="00982787" w:rsidP="00ED4B17">
      <w:pPr>
        <w:pStyle w:val="ESText"/>
        <w:spacing w:line="240" w:lineRule="auto"/>
        <w:rPr>
          <w:rFonts w:ascii="Calibri" w:hAnsi="Calibri"/>
          <w:szCs w:val="24"/>
        </w:rPr>
      </w:pPr>
      <w:r>
        <w:rPr>
          <w:rFonts w:ascii="Calibri" w:hAnsi="Calibri"/>
          <w:szCs w:val="24"/>
        </w:rPr>
        <w:t xml:space="preserve">Specifically, clause 29 of the Amendment Regulation establishes a licence register for the purpose of allowing the publication of information about an infringement notice issued to a PCBU </w:t>
      </w:r>
      <w:r w:rsidR="00ED4B17">
        <w:rPr>
          <w:rFonts w:ascii="Calibri" w:hAnsi="Calibri"/>
          <w:szCs w:val="24"/>
        </w:rPr>
        <w:t xml:space="preserve">under the </w:t>
      </w:r>
      <w:r w:rsidR="00ED4B17" w:rsidRPr="00F85159">
        <w:rPr>
          <w:rFonts w:ascii="Calibri" w:hAnsi="Calibri"/>
          <w:i/>
          <w:iCs/>
          <w:szCs w:val="24"/>
        </w:rPr>
        <w:t xml:space="preserve">Magistrates Court (Work Health and Safety Infringement Notices) </w:t>
      </w:r>
      <w:r w:rsidR="00ED4B17">
        <w:rPr>
          <w:rFonts w:ascii="Calibri" w:hAnsi="Calibri"/>
          <w:i/>
          <w:iCs/>
          <w:szCs w:val="24"/>
        </w:rPr>
        <w:t>Regulation</w:t>
      </w:r>
      <w:r w:rsidR="00ED4B17" w:rsidRPr="00F85159">
        <w:rPr>
          <w:rFonts w:ascii="Calibri" w:hAnsi="Calibri"/>
          <w:i/>
          <w:iCs/>
          <w:szCs w:val="24"/>
        </w:rPr>
        <w:t xml:space="preserve"> 2011</w:t>
      </w:r>
      <w:r w:rsidR="00ED4B17">
        <w:rPr>
          <w:rFonts w:ascii="Calibri" w:hAnsi="Calibri"/>
          <w:szCs w:val="24"/>
        </w:rPr>
        <w:t xml:space="preserve"> </w:t>
      </w:r>
      <w:r>
        <w:rPr>
          <w:rFonts w:ascii="Calibri" w:hAnsi="Calibri"/>
          <w:szCs w:val="24"/>
        </w:rPr>
        <w:t xml:space="preserve">for non-compliance with WHS laws. In some instances the PCBU may be an individual, </w:t>
      </w:r>
      <w:r w:rsidR="00ED4B17">
        <w:rPr>
          <w:rFonts w:ascii="Calibri" w:hAnsi="Calibri"/>
          <w:szCs w:val="24"/>
        </w:rPr>
        <w:t>which may limit the individual’s right to privacy.</w:t>
      </w:r>
    </w:p>
    <w:p w14:paraId="075781A2" w14:textId="77777777" w:rsidR="00ED4B17" w:rsidRDefault="00ED4B17" w:rsidP="00ED4B17">
      <w:pPr>
        <w:pStyle w:val="ESText"/>
        <w:spacing w:line="240" w:lineRule="auto"/>
        <w:rPr>
          <w:rFonts w:ascii="Calibri" w:hAnsi="Calibri"/>
          <w:szCs w:val="24"/>
        </w:rPr>
      </w:pPr>
    </w:p>
    <w:p w14:paraId="6EB336EC" w14:textId="0552D6C4" w:rsidR="005A75F0" w:rsidRPr="009B2825" w:rsidRDefault="00982787" w:rsidP="009B2825">
      <w:pPr>
        <w:pStyle w:val="ESText"/>
        <w:spacing w:after="120" w:line="240" w:lineRule="auto"/>
        <w:rPr>
          <w:rFonts w:ascii="Calibri" w:hAnsi="Calibri"/>
          <w:szCs w:val="24"/>
        </w:rPr>
      </w:pPr>
      <w:r w:rsidRPr="009B2825">
        <w:rPr>
          <w:rFonts w:ascii="Calibri" w:hAnsi="Calibri"/>
          <w:szCs w:val="24"/>
        </w:rPr>
        <w:t>The public licence register will only apply to licensees under the WHS Regulation, specifically, the holder of a</w:t>
      </w:r>
      <w:r w:rsidR="005A75F0" w:rsidRPr="009B2825">
        <w:rPr>
          <w:rFonts w:ascii="Calibri" w:hAnsi="Calibri"/>
          <w:szCs w:val="24"/>
        </w:rPr>
        <w:t>:</w:t>
      </w:r>
    </w:p>
    <w:p w14:paraId="2841901E" w14:textId="77777777" w:rsidR="005A75F0" w:rsidRPr="009B2825" w:rsidRDefault="005A75F0" w:rsidP="009B2825">
      <w:pPr>
        <w:pStyle w:val="ESText"/>
        <w:numPr>
          <w:ilvl w:val="0"/>
          <w:numId w:val="19"/>
        </w:numPr>
        <w:spacing w:after="120" w:line="240" w:lineRule="auto"/>
        <w:rPr>
          <w:rFonts w:ascii="Calibri" w:hAnsi="Calibri"/>
          <w:szCs w:val="24"/>
        </w:rPr>
      </w:pPr>
      <w:r w:rsidRPr="009B2825">
        <w:rPr>
          <w:rFonts w:ascii="Calibri" w:hAnsi="Calibri"/>
          <w:szCs w:val="24"/>
        </w:rPr>
        <w:t>high risk work licence;</w:t>
      </w:r>
    </w:p>
    <w:p w14:paraId="76429DF2" w14:textId="39F7FFCE" w:rsidR="005A75F0" w:rsidRPr="009B2825" w:rsidRDefault="005A75F0" w:rsidP="009B2825">
      <w:pPr>
        <w:pStyle w:val="ESText"/>
        <w:numPr>
          <w:ilvl w:val="0"/>
          <w:numId w:val="19"/>
        </w:numPr>
        <w:spacing w:after="120" w:line="240" w:lineRule="auto"/>
        <w:rPr>
          <w:rFonts w:ascii="Calibri" w:hAnsi="Calibri"/>
          <w:szCs w:val="24"/>
        </w:rPr>
      </w:pPr>
      <w:r w:rsidRPr="009B2825">
        <w:rPr>
          <w:rFonts w:ascii="Calibri" w:hAnsi="Calibri"/>
          <w:szCs w:val="24"/>
        </w:rPr>
        <w:t xml:space="preserve">asbestos </w:t>
      </w:r>
      <w:r w:rsidR="00982787" w:rsidRPr="009B2825">
        <w:rPr>
          <w:rFonts w:ascii="Calibri" w:hAnsi="Calibri"/>
          <w:szCs w:val="24"/>
        </w:rPr>
        <w:t xml:space="preserve">assessor </w:t>
      </w:r>
      <w:r w:rsidRPr="009B2825">
        <w:rPr>
          <w:rFonts w:ascii="Calibri" w:hAnsi="Calibri"/>
          <w:szCs w:val="24"/>
        </w:rPr>
        <w:t xml:space="preserve">licence; and </w:t>
      </w:r>
    </w:p>
    <w:p w14:paraId="74B23EF4" w14:textId="77777777" w:rsidR="005A75F0" w:rsidRPr="009B2825" w:rsidRDefault="005A75F0" w:rsidP="009B2825">
      <w:pPr>
        <w:pStyle w:val="ESText"/>
        <w:numPr>
          <w:ilvl w:val="0"/>
          <w:numId w:val="19"/>
        </w:numPr>
        <w:spacing w:after="120" w:line="240" w:lineRule="auto"/>
        <w:rPr>
          <w:rFonts w:ascii="Calibri" w:hAnsi="Calibri"/>
          <w:szCs w:val="24"/>
        </w:rPr>
      </w:pPr>
      <w:r w:rsidRPr="009B2825">
        <w:rPr>
          <w:rFonts w:ascii="Calibri" w:hAnsi="Calibri"/>
          <w:szCs w:val="24"/>
        </w:rPr>
        <w:t xml:space="preserve">major hazard facility licence. </w:t>
      </w:r>
    </w:p>
    <w:p w14:paraId="75260229" w14:textId="77777777" w:rsidR="005A75F0" w:rsidRDefault="005A75F0" w:rsidP="005A75F0">
      <w:pPr>
        <w:rPr>
          <w:rFonts w:asciiTheme="minorHAnsi" w:hAnsiTheme="minorHAnsi" w:cstheme="minorHAnsi"/>
        </w:rPr>
      </w:pPr>
    </w:p>
    <w:p w14:paraId="4E2DD1E9" w14:textId="5053500D" w:rsidR="005A75F0" w:rsidRDefault="00982787" w:rsidP="005A75F0">
      <w:pPr>
        <w:pStyle w:val="ESText"/>
        <w:spacing w:after="120" w:line="240" w:lineRule="auto"/>
        <w:rPr>
          <w:rFonts w:ascii="Calibri" w:hAnsi="Calibri"/>
          <w:szCs w:val="24"/>
        </w:rPr>
      </w:pPr>
      <w:r>
        <w:rPr>
          <w:rFonts w:ascii="Calibri" w:hAnsi="Calibri"/>
          <w:szCs w:val="24"/>
        </w:rPr>
        <w:t>The information that is included on the register is limited to the business details of the licensee, namely:</w:t>
      </w:r>
    </w:p>
    <w:p w14:paraId="4EDAAA97" w14:textId="77777777" w:rsidR="005A75F0" w:rsidRDefault="005A75F0" w:rsidP="005A75F0">
      <w:pPr>
        <w:pStyle w:val="ESText"/>
        <w:numPr>
          <w:ilvl w:val="0"/>
          <w:numId w:val="19"/>
        </w:numPr>
        <w:spacing w:after="120" w:line="240" w:lineRule="auto"/>
        <w:rPr>
          <w:rFonts w:ascii="Calibri" w:hAnsi="Calibri"/>
          <w:szCs w:val="24"/>
        </w:rPr>
      </w:pPr>
      <w:r>
        <w:rPr>
          <w:rFonts w:ascii="Calibri" w:hAnsi="Calibri"/>
          <w:szCs w:val="24"/>
        </w:rPr>
        <w:t>the licensee’s registered business name;</w:t>
      </w:r>
    </w:p>
    <w:p w14:paraId="35CF3F9E" w14:textId="77777777" w:rsidR="005A75F0" w:rsidRDefault="005A75F0" w:rsidP="005A75F0">
      <w:pPr>
        <w:pStyle w:val="ESText"/>
        <w:numPr>
          <w:ilvl w:val="0"/>
          <w:numId w:val="19"/>
        </w:numPr>
        <w:spacing w:after="120" w:line="240" w:lineRule="auto"/>
        <w:rPr>
          <w:rFonts w:ascii="Calibri" w:hAnsi="Calibri"/>
          <w:szCs w:val="24"/>
        </w:rPr>
      </w:pPr>
      <w:r>
        <w:rPr>
          <w:rFonts w:ascii="Calibri" w:hAnsi="Calibri"/>
          <w:szCs w:val="24"/>
        </w:rPr>
        <w:t>the trading name – if different from the business name;</w:t>
      </w:r>
    </w:p>
    <w:p w14:paraId="6AC8654A" w14:textId="43B57169" w:rsidR="005A75F0" w:rsidRDefault="005A75F0" w:rsidP="005A75F0">
      <w:pPr>
        <w:pStyle w:val="ESText"/>
        <w:numPr>
          <w:ilvl w:val="0"/>
          <w:numId w:val="19"/>
        </w:numPr>
        <w:spacing w:after="120" w:line="240" w:lineRule="auto"/>
        <w:rPr>
          <w:rFonts w:ascii="Calibri" w:hAnsi="Calibri"/>
          <w:szCs w:val="24"/>
        </w:rPr>
      </w:pPr>
      <w:r>
        <w:rPr>
          <w:rFonts w:ascii="Calibri" w:hAnsi="Calibri"/>
          <w:szCs w:val="24"/>
        </w:rPr>
        <w:t>the licensee’s ABN or ACN;</w:t>
      </w:r>
      <w:r w:rsidR="00982787">
        <w:rPr>
          <w:rFonts w:ascii="Calibri" w:hAnsi="Calibri"/>
          <w:szCs w:val="24"/>
        </w:rPr>
        <w:t xml:space="preserve"> and</w:t>
      </w:r>
    </w:p>
    <w:p w14:paraId="1DBE046E" w14:textId="636167B6" w:rsidR="00982787" w:rsidRPr="000915F7" w:rsidRDefault="005A75F0" w:rsidP="000915F7">
      <w:pPr>
        <w:pStyle w:val="ESText"/>
        <w:numPr>
          <w:ilvl w:val="0"/>
          <w:numId w:val="19"/>
        </w:numPr>
        <w:spacing w:after="120" w:line="240" w:lineRule="auto"/>
        <w:rPr>
          <w:rFonts w:ascii="Calibri" w:hAnsi="Calibri"/>
          <w:szCs w:val="24"/>
        </w:rPr>
      </w:pPr>
      <w:r>
        <w:rPr>
          <w:rFonts w:ascii="Calibri" w:hAnsi="Calibri"/>
          <w:szCs w:val="24"/>
        </w:rPr>
        <w:t>the expiry date for the licence</w:t>
      </w:r>
      <w:r w:rsidR="00982787">
        <w:rPr>
          <w:rFonts w:ascii="Calibri" w:hAnsi="Calibri"/>
          <w:szCs w:val="24"/>
        </w:rPr>
        <w:t>.</w:t>
      </w:r>
    </w:p>
    <w:p w14:paraId="6C51E944" w14:textId="77777777" w:rsidR="00982787" w:rsidRDefault="00982787" w:rsidP="000915F7">
      <w:pPr>
        <w:pStyle w:val="ESText"/>
        <w:spacing w:line="240" w:lineRule="auto"/>
        <w:rPr>
          <w:rFonts w:ascii="Calibri" w:hAnsi="Calibri"/>
          <w:szCs w:val="24"/>
        </w:rPr>
      </w:pPr>
    </w:p>
    <w:p w14:paraId="29FAB2FC" w14:textId="37176859" w:rsidR="005A75F0" w:rsidRDefault="00982787" w:rsidP="000915F7">
      <w:pPr>
        <w:pStyle w:val="ESText"/>
        <w:spacing w:line="240" w:lineRule="auto"/>
        <w:rPr>
          <w:rFonts w:ascii="Calibri" w:hAnsi="Calibri"/>
          <w:szCs w:val="24"/>
        </w:rPr>
      </w:pPr>
      <w:r>
        <w:rPr>
          <w:rFonts w:ascii="Calibri" w:hAnsi="Calibri"/>
          <w:szCs w:val="24"/>
        </w:rPr>
        <w:t xml:space="preserve">Importantly, the licence register will include </w:t>
      </w:r>
      <w:r w:rsidR="00602EED">
        <w:rPr>
          <w:rFonts w:ascii="Calibri" w:hAnsi="Calibri"/>
          <w:szCs w:val="24"/>
        </w:rPr>
        <w:t xml:space="preserve">information about an </w:t>
      </w:r>
      <w:r w:rsidR="005A75F0">
        <w:rPr>
          <w:rFonts w:ascii="Calibri" w:hAnsi="Calibri"/>
          <w:szCs w:val="24"/>
        </w:rPr>
        <w:t xml:space="preserve">infringement notice </w:t>
      </w:r>
      <w:r w:rsidR="00602EED">
        <w:rPr>
          <w:rFonts w:ascii="Calibri" w:hAnsi="Calibri"/>
          <w:szCs w:val="24"/>
        </w:rPr>
        <w:t xml:space="preserve">given to a licensee </w:t>
      </w:r>
      <w:r w:rsidR="005A75F0">
        <w:rPr>
          <w:rFonts w:ascii="Calibri" w:hAnsi="Calibri"/>
          <w:szCs w:val="24"/>
        </w:rPr>
        <w:t>for</w:t>
      </w:r>
      <w:r w:rsidR="00602EED">
        <w:rPr>
          <w:rFonts w:ascii="Calibri" w:hAnsi="Calibri"/>
          <w:szCs w:val="24"/>
        </w:rPr>
        <w:t xml:space="preserve"> a</w:t>
      </w:r>
      <w:r w:rsidR="005A75F0">
        <w:rPr>
          <w:rFonts w:ascii="Calibri" w:hAnsi="Calibri"/>
          <w:szCs w:val="24"/>
        </w:rPr>
        <w:t xml:space="preserve"> WHS non-compliance</w:t>
      </w:r>
      <w:r w:rsidR="00602EED">
        <w:rPr>
          <w:rFonts w:ascii="Calibri" w:hAnsi="Calibri"/>
          <w:szCs w:val="24"/>
        </w:rPr>
        <w:t>. This information is publishable in accordance with guidelines to be determined via notifiable instrument by the Minister.</w:t>
      </w:r>
      <w:r w:rsidR="005A75F0">
        <w:rPr>
          <w:rFonts w:ascii="Calibri" w:hAnsi="Calibri"/>
          <w:szCs w:val="24"/>
        </w:rPr>
        <w:t xml:space="preserve"> </w:t>
      </w:r>
    </w:p>
    <w:p w14:paraId="5440B46F" w14:textId="1C48F55D" w:rsidR="00F03023" w:rsidRDefault="00F03023" w:rsidP="00F03023">
      <w:pPr>
        <w:pStyle w:val="ESText"/>
        <w:spacing w:line="240" w:lineRule="auto"/>
        <w:rPr>
          <w:rFonts w:ascii="Calibri" w:hAnsi="Calibri"/>
          <w:szCs w:val="24"/>
        </w:rPr>
      </w:pPr>
    </w:p>
    <w:p w14:paraId="47167961" w14:textId="77777777" w:rsidR="00F03023" w:rsidRPr="005A0B28" w:rsidRDefault="00F03023" w:rsidP="00F03023">
      <w:pPr>
        <w:pStyle w:val="ESText"/>
        <w:spacing w:line="240" w:lineRule="auto"/>
        <w:rPr>
          <w:rFonts w:ascii="Calibri" w:hAnsi="Calibri"/>
          <w:i/>
          <w:iCs/>
          <w:szCs w:val="24"/>
          <w:u w:val="single"/>
        </w:rPr>
      </w:pPr>
      <w:r w:rsidRPr="005A0B28">
        <w:rPr>
          <w:rFonts w:ascii="Calibri" w:hAnsi="Calibri"/>
          <w:i/>
          <w:iCs/>
          <w:szCs w:val="24"/>
          <w:u w:val="single"/>
        </w:rPr>
        <w:t>The importance of the purpose of the limitation (s28 (2) (b))</w:t>
      </w:r>
    </w:p>
    <w:p w14:paraId="35F9B160" w14:textId="3527A6C4" w:rsidR="00F03023" w:rsidRDefault="00F03023" w:rsidP="00F03023">
      <w:pPr>
        <w:pStyle w:val="ESText"/>
        <w:spacing w:line="240" w:lineRule="auto"/>
        <w:rPr>
          <w:rFonts w:ascii="Calibri" w:hAnsi="Calibri"/>
          <w:szCs w:val="24"/>
        </w:rPr>
      </w:pPr>
      <w:r>
        <w:rPr>
          <w:rFonts w:ascii="Calibri" w:hAnsi="Calibri"/>
          <w:szCs w:val="24"/>
        </w:rPr>
        <w:lastRenderedPageBreak/>
        <w:t>The purpose of the WHS Act is to protect the health and safety of workers and the community.</w:t>
      </w:r>
    </w:p>
    <w:p w14:paraId="4D358DB6" w14:textId="1A8A5729" w:rsidR="00F03023" w:rsidRDefault="00F03023" w:rsidP="00F03023">
      <w:pPr>
        <w:pStyle w:val="ESText"/>
        <w:spacing w:line="240" w:lineRule="auto"/>
        <w:rPr>
          <w:rFonts w:ascii="Calibri" w:hAnsi="Calibri"/>
          <w:szCs w:val="24"/>
        </w:rPr>
      </w:pPr>
    </w:p>
    <w:p w14:paraId="19E57768" w14:textId="4B1F41E9" w:rsidR="005F45A6" w:rsidRDefault="00DD3D27" w:rsidP="000915F7">
      <w:pPr>
        <w:pStyle w:val="ESText"/>
        <w:spacing w:line="240" w:lineRule="auto"/>
        <w:rPr>
          <w:rFonts w:ascii="Calibri" w:hAnsi="Calibri"/>
          <w:szCs w:val="24"/>
        </w:rPr>
      </w:pPr>
      <w:r>
        <w:rPr>
          <w:rFonts w:ascii="Calibri" w:hAnsi="Calibri"/>
          <w:szCs w:val="24"/>
        </w:rPr>
        <w:t>To achieve this</w:t>
      </w:r>
      <w:r w:rsidR="00F03023">
        <w:rPr>
          <w:rFonts w:ascii="Calibri" w:hAnsi="Calibri"/>
          <w:szCs w:val="24"/>
        </w:rPr>
        <w:t xml:space="preserve">, it is necessary to establish effective compliance and </w:t>
      </w:r>
      <w:r w:rsidR="005F45A6">
        <w:rPr>
          <w:rFonts w:ascii="Calibri" w:hAnsi="Calibri"/>
          <w:szCs w:val="24"/>
        </w:rPr>
        <w:t>enforcement mechanisms.</w:t>
      </w:r>
      <w:r>
        <w:rPr>
          <w:rFonts w:ascii="Calibri" w:hAnsi="Calibri"/>
          <w:szCs w:val="24"/>
        </w:rPr>
        <w:t xml:space="preserve"> </w:t>
      </w:r>
      <w:r w:rsidR="005F45A6">
        <w:rPr>
          <w:rFonts w:ascii="Calibri" w:hAnsi="Calibri"/>
          <w:szCs w:val="24"/>
        </w:rPr>
        <w:t>Licence holders under the WHS laws, in addition to the general duties and obligations on PCBUs, participate in a regulatory scheme that is responsive to the higher risks associated with those activities. In this way, by virtue of the</w:t>
      </w:r>
      <w:r w:rsidR="003C04CB">
        <w:rPr>
          <w:rFonts w:ascii="Calibri" w:hAnsi="Calibri"/>
          <w:szCs w:val="24"/>
        </w:rPr>
        <w:t>m</w:t>
      </w:r>
      <w:r w:rsidR="005F45A6">
        <w:rPr>
          <w:rFonts w:ascii="Calibri" w:hAnsi="Calibri"/>
          <w:szCs w:val="24"/>
        </w:rPr>
        <w:t xml:space="preserve"> holding a licence</w:t>
      </w:r>
      <w:r w:rsidR="003C04CB">
        <w:rPr>
          <w:rFonts w:ascii="Calibri" w:hAnsi="Calibri"/>
          <w:szCs w:val="24"/>
        </w:rPr>
        <w:t>,</w:t>
      </w:r>
      <w:r w:rsidR="005F45A6">
        <w:rPr>
          <w:rFonts w:ascii="Calibri" w:hAnsi="Calibri"/>
          <w:szCs w:val="24"/>
        </w:rPr>
        <w:t xml:space="preserve"> they are expected to know their WHS obligations and duties.</w:t>
      </w:r>
    </w:p>
    <w:p w14:paraId="1B872D21" w14:textId="77777777" w:rsidR="00B75DB7" w:rsidRDefault="00B75DB7" w:rsidP="00B75DB7">
      <w:pPr>
        <w:rPr>
          <w:rFonts w:asciiTheme="minorHAnsi" w:hAnsiTheme="minorHAnsi" w:cstheme="minorHAnsi"/>
          <w:szCs w:val="24"/>
        </w:rPr>
      </w:pPr>
    </w:p>
    <w:p w14:paraId="012821EF" w14:textId="6CD6BFA0" w:rsidR="003D7B7B" w:rsidRPr="000915F7" w:rsidRDefault="003D7B7B" w:rsidP="003D7B7B">
      <w:pPr>
        <w:rPr>
          <w:rFonts w:asciiTheme="minorHAnsi" w:hAnsiTheme="minorHAnsi" w:cstheme="minorHAnsi"/>
          <w:i/>
          <w:iCs/>
          <w:szCs w:val="24"/>
          <w:u w:val="single"/>
        </w:rPr>
      </w:pPr>
      <w:r w:rsidRPr="000915F7">
        <w:rPr>
          <w:rFonts w:asciiTheme="minorHAnsi" w:hAnsiTheme="minorHAnsi" w:cstheme="minorHAnsi"/>
          <w:i/>
          <w:iCs/>
          <w:szCs w:val="24"/>
          <w:u w:val="single"/>
        </w:rPr>
        <w:t>Legitimate purpose (s28 (2) (b)) and rational connection (s28 (2) (d))</w:t>
      </w:r>
      <w:r w:rsidR="005F45A6" w:rsidRPr="000915F7">
        <w:rPr>
          <w:rFonts w:asciiTheme="minorHAnsi" w:hAnsiTheme="minorHAnsi" w:cstheme="minorHAnsi"/>
          <w:i/>
          <w:iCs/>
          <w:szCs w:val="24"/>
          <w:u w:val="single"/>
        </w:rPr>
        <w:t xml:space="preserve"> and proportionality (s28 (2) (e))</w:t>
      </w:r>
    </w:p>
    <w:p w14:paraId="5F8CC564" w14:textId="43201EA3" w:rsidR="005F45A6" w:rsidRDefault="00023577" w:rsidP="00B75DB7">
      <w:pPr>
        <w:rPr>
          <w:rFonts w:asciiTheme="minorHAnsi" w:hAnsiTheme="minorHAnsi" w:cstheme="minorHAnsi"/>
          <w:szCs w:val="24"/>
        </w:rPr>
      </w:pPr>
      <w:r>
        <w:rPr>
          <w:rFonts w:asciiTheme="minorHAnsi" w:hAnsiTheme="minorHAnsi" w:cstheme="minorHAnsi"/>
          <w:szCs w:val="24"/>
        </w:rPr>
        <w:t xml:space="preserve">The purpose of </w:t>
      </w:r>
      <w:r w:rsidR="00F03023">
        <w:rPr>
          <w:rFonts w:asciiTheme="minorHAnsi" w:hAnsiTheme="minorHAnsi" w:cstheme="minorHAnsi"/>
          <w:szCs w:val="24"/>
        </w:rPr>
        <w:t xml:space="preserve">establishing a licence register for the publication of information about WHS infringement notices issued to PCBUs (licence holders) is to </w:t>
      </w:r>
      <w:r w:rsidR="005F45A6">
        <w:rPr>
          <w:rFonts w:asciiTheme="minorHAnsi" w:hAnsiTheme="minorHAnsi" w:cstheme="minorHAnsi"/>
          <w:szCs w:val="24"/>
        </w:rPr>
        <w:t xml:space="preserve">better </w:t>
      </w:r>
      <w:r w:rsidR="00F03023">
        <w:rPr>
          <w:rFonts w:asciiTheme="minorHAnsi" w:hAnsiTheme="minorHAnsi" w:cstheme="minorHAnsi"/>
          <w:szCs w:val="24"/>
        </w:rPr>
        <w:t xml:space="preserve">support compliance with the PCBUs health and safety duties to workers and the community. It serves as an important </w:t>
      </w:r>
      <w:r>
        <w:rPr>
          <w:rFonts w:asciiTheme="minorHAnsi" w:hAnsiTheme="minorHAnsi" w:cstheme="minorHAnsi"/>
          <w:szCs w:val="24"/>
        </w:rPr>
        <w:t>a</w:t>
      </w:r>
      <w:r w:rsidR="005F45A6">
        <w:rPr>
          <w:rFonts w:asciiTheme="minorHAnsi" w:hAnsiTheme="minorHAnsi" w:cstheme="minorHAnsi"/>
          <w:szCs w:val="24"/>
        </w:rPr>
        <w:t>nd public</w:t>
      </w:r>
      <w:r>
        <w:rPr>
          <w:rFonts w:asciiTheme="minorHAnsi" w:hAnsiTheme="minorHAnsi" w:cstheme="minorHAnsi"/>
          <w:szCs w:val="24"/>
        </w:rPr>
        <w:t xml:space="preserve"> deterrent to PCBUs for non</w:t>
      </w:r>
      <w:r w:rsidR="005F45A6">
        <w:rPr>
          <w:rFonts w:asciiTheme="minorHAnsi" w:hAnsiTheme="minorHAnsi" w:cstheme="minorHAnsi"/>
          <w:szCs w:val="24"/>
        </w:rPr>
        <w:noBreakHyphen/>
      </w:r>
      <w:r>
        <w:rPr>
          <w:rFonts w:asciiTheme="minorHAnsi" w:hAnsiTheme="minorHAnsi" w:cstheme="minorHAnsi"/>
          <w:szCs w:val="24"/>
        </w:rPr>
        <w:t xml:space="preserve">compliance </w:t>
      </w:r>
      <w:r w:rsidR="00F03023">
        <w:rPr>
          <w:rFonts w:asciiTheme="minorHAnsi" w:hAnsiTheme="minorHAnsi" w:cstheme="minorHAnsi"/>
          <w:szCs w:val="24"/>
        </w:rPr>
        <w:t xml:space="preserve">with </w:t>
      </w:r>
      <w:r>
        <w:rPr>
          <w:rFonts w:asciiTheme="minorHAnsi" w:hAnsiTheme="minorHAnsi" w:cstheme="minorHAnsi"/>
          <w:szCs w:val="24"/>
        </w:rPr>
        <w:t xml:space="preserve">WHS </w:t>
      </w:r>
      <w:r w:rsidR="00F03023">
        <w:rPr>
          <w:rFonts w:asciiTheme="minorHAnsi" w:hAnsiTheme="minorHAnsi" w:cstheme="minorHAnsi"/>
          <w:szCs w:val="24"/>
        </w:rPr>
        <w:t xml:space="preserve">laws. </w:t>
      </w:r>
      <w:r w:rsidR="005F45A6">
        <w:rPr>
          <w:rFonts w:asciiTheme="minorHAnsi" w:hAnsiTheme="minorHAnsi" w:cstheme="minorHAnsi"/>
          <w:szCs w:val="24"/>
        </w:rPr>
        <w:t>Specifically, it would deter systemic and repeat non-compliance by licence holders.</w:t>
      </w:r>
    </w:p>
    <w:p w14:paraId="0801FF39" w14:textId="77777777" w:rsidR="005F45A6" w:rsidRDefault="005F45A6" w:rsidP="00B75DB7">
      <w:pPr>
        <w:rPr>
          <w:rFonts w:asciiTheme="minorHAnsi" w:hAnsiTheme="minorHAnsi" w:cstheme="minorHAnsi"/>
          <w:szCs w:val="24"/>
        </w:rPr>
      </w:pPr>
    </w:p>
    <w:p w14:paraId="2D9474C1" w14:textId="630BDE54" w:rsidR="005A75F0" w:rsidRDefault="00F03023" w:rsidP="00B75DB7">
      <w:pPr>
        <w:rPr>
          <w:rFonts w:asciiTheme="minorHAnsi" w:hAnsiTheme="minorHAnsi" w:cstheme="minorHAnsi"/>
          <w:szCs w:val="24"/>
        </w:rPr>
      </w:pPr>
      <w:r>
        <w:rPr>
          <w:rFonts w:asciiTheme="minorHAnsi" w:hAnsiTheme="minorHAnsi" w:cstheme="minorHAnsi"/>
          <w:szCs w:val="24"/>
        </w:rPr>
        <w:t xml:space="preserve">The objective of better WHS compliance is to create </w:t>
      </w:r>
      <w:r w:rsidR="00023577">
        <w:rPr>
          <w:rFonts w:asciiTheme="minorHAnsi" w:hAnsiTheme="minorHAnsi" w:cstheme="minorHAnsi"/>
          <w:szCs w:val="24"/>
        </w:rPr>
        <w:t xml:space="preserve">safer workplaces and </w:t>
      </w:r>
      <w:r>
        <w:rPr>
          <w:rFonts w:asciiTheme="minorHAnsi" w:hAnsiTheme="minorHAnsi" w:cstheme="minorHAnsi"/>
          <w:szCs w:val="24"/>
        </w:rPr>
        <w:t xml:space="preserve">thereby reduce </w:t>
      </w:r>
      <w:r w:rsidR="00023577">
        <w:rPr>
          <w:rFonts w:asciiTheme="minorHAnsi" w:hAnsiTheme="minorHAnsi" w:cstheme="minorHAnsi"/>
          <w:szCs w:val="24"/>
        </w:rPr>
        <w:t xml:space="preserve">the </w:t>
      </w:r>
      <w:r>
        <w:rPr>
          <w:rFonts w:asciiTheme="minorHAnsi" w:hAnsiTheme="minorHAnsi" w:cstheme="minorHAnsi"/>
          <w:szCs w:val="24"/>
        </w:rPr>
        <w:t xml:space="preserve">number </w:t>
      </w:r>
      <w:r w:rsidR="00023577">
        <w:rPr>
          <w:rFonts w:asciiTheme="minorHAnsi" w:hAnsiTheme="minorHAnsi" w:cstheme="minorHAnsi"/>
          <w:szCs w:val="24"/>
        </w:rPr>
        <w:t>of workplace injuries</w:t>
      </w:r>
      <w:r w:rsidR="005A75F0">
        <w:rPr>
          <w:rFonts w:asciiTheme="minorHAnsi" w:hAnsiTheme="minorHAnsi" w:cstheme="minorHAnsi"/>
          <w:szCs w:val="24"/>
        </w:rPr>
        <w:t xml:space="preserve"> in the </w:t>
      </w:r>
      <w:r>
        <w:rPr>
          <w:rFonts w:asciiTheme="minorHAnsi" w:hAnsiTheme="minorHAnsi" w:cstheme="minorHAnsi"/>
          <w:szCs w:val="24"/>
        </w:rPr>
        <w:t>ACT</w:t>
      </w:r>
      <w:r w:rsidR="00023577">
        <w:rPr>
          <w:rFonts w:asciiTheme="minorHAnsi" w:hAnsiTheme="minorHAnsi" w:cstheme="minorHAnsi"/>
          <w:szCs w:val="24"/>
        </w:rPr>
        <w:t xml:space="preserve">. </w:t>
      </w:r>
    </w:p>
    <w:p w14:paraId="3DBAF109" w14:textId="77777777" w:rsidR="00855C85" w:rsidRDefault="00855C85" w:rsidP="00830726">
      <w:pPr>
        <w:rPr>
          <w:rFonts w:asciiTheme="minorHAnsi" w:hAnsiTheme="minorHAnsi" w:cstheme="minorHAnsi"/>
        </w:rPr>
      </w:pPr>
    </w:p>
    <w:p w14:paraId="56FD213D" w14:textId="00F79FB2" w:rsidR="005F45A6" w:rsidRDefault="00673158" w:rsidP="00673158">
      <w:pPr>
        <w:pStyle w:val="ESText"/>
        <w:spacing w:after="120" w:line="240" w:lineRule="auto"/>
        <w:rPr>
          <w:rFonts w:ascii="Calibri" w:hAnsi="Calibri"/>
          <w:szCs w:val="24"/>
        </w:rPr>
      </w:pPr>
      <w:r>
        <w:rPr>
          <w:rFonts w:ascii="Calibri" w:hAnsi="Calibri"/>
          <w:szCs w:val="24"/>
        </w:rPr>
        <w:t xml:space="preserve">The limitation </w:t>
      </w:r>
      <w:r w:rsidR="005F45A6">
        <w:rPr>
          <w:rFonts w:ascii="Calibri" w:hAnsi="Calibri"/>
          <w:szCs w:val="24"/>
        </w:rPr>
        <w:t>is reasonable and justified</w:t>
      </w:r>
      <w:r w:rsidR="00DD3D27">
        <w:rPr>
          <w:rFonts w:ascii="Calibri" w:hAnsi="Calibri"/>
          <w:szCs w:val="24"/>
        </w:rPr>
        <w:t xml:space="preserve"> in so far as it would</w:t>
      </w:r>
      <w:r w:rsidR="005F45A6">
        <w:rPr>
          <w:rFonts w:ascii="Calibri" w:hAnsi="Calibri"/>
          <w:szCs w:val="24"/>
        </w:rPr>
        <w:t>:</w:t>
      </w:r>
    </w:p>
    <w:p w14:paraId="632E98DC" w14:textId="22059581" w:rsidR="00DD3D27" w:rsidRPr="000915F7" w:rsidRDefault="005F45A6" w:rsidP="000915F7">
      <w:pPr>
        <w:pStyle w:val="ESText"/>
        <w:numPr>
          <w:ilvl w:val="0"/>
          <w:numId w:val="25"/>
        </w:numPr>
        <w:spacing w:after="120" w:line="240" w:lineRule="auto"/>
        <w:rPr>
          <w:rFonts w:ascii="Calibri" w:hAnsi="Calibri"/>
          <w:szCs w:val="24"/>
        </w:rPr>
      </w:pPr>
      <w:r>
        <w:rPr>
          <w:rFonts w:ascii="Calibri" w:hAnsi="Calibri"/>
          <w:szCs w:val="24"/>
        </w:rPr>
        <w:t xml:space="preserve">establish a public facing deterrence </w:t>
      </w:r>
      <w:r w:rsidR="00DD3D27">
        <w:rPr>
          <w:rFonts w:ascii="Calibri" w:hAnsi="Calibri"/>
          <w:szCs w:val="24"/>
        </w:rPr>
        <w:t>tool for</w:t>
      </w:r>
      <w:r>
        <w:rPr>
          <w:rFonts w:ascii="Calibri" w:hAnsi="Calibri"/>
          <w:szCs w:val="24"/>
        </w:rPr>
        <w:t xml:space="preserve"> non-compliance with WHS laws applying to the PCBU</w:t>
      </w:r>
      <w:r w:rsidR="00DD3D27">
        <w:rPr>
          <w:rFonts w:ascii="Calibri" w:hAnsi="Calibri"/>
          <w:szCs w:val="24"/>
        </w:rPr>
        <w:t xml:space="preserve">, in particular, it would </w:t>
      </w:r>
      <w:r w:rsidR="00DD3D27" w:rsidRPr="000915F7">
        <w:rPr>
          <w:rFonts w:ascii="Calibri" w:hAnsi="Calibri"/>
          <w:szCs w:val="24"/>
        </w:rPr>
        <w:t>deter systemic and repeat non-compliance with WHS laws;</w:t>
      </w:r>
    </w:p>
    <w:p w14:paraId="4CBCA783" w14:textId="789A042C" w:rsidR="00DD3D27" w:rsidRDefault="00DD3D27" w:rsidP="005F45A6">
      <w:pPr>
        <w:pStyle w:val="ESText"/>
        <w:numPr>
          <w:ilvl w:val="0"/>
          <w:numId w:val="25"/>
        </w:numPr>
        <w:spacing w:after="120" w:line="240" w:lineRule="auto"/>
        <w:rPr>
          <w:rFonts w:ascii="Calibri" w:hAnsi="Calibri"/>
          <w:szCs w:val="24"/>
        </w:rPr>
      </w:pPr>
      <w:r>
        <w:rPr>
          <w:rFonts w:ascii="Calibri" w:hAnsi="Calibri"/>
          <w:szCs w:val="24"/>
        </w:rPr>
        <w:t>promote a behaviour of compliance with work health and safety duties; and</w:t>
      </w:r>
    </w:p>
    <w:p w14:paraId="5CB67B2C" w14:textId="479F1182" w:rsidR="00DD3D27" w:rsidRDefault="00DD3D27" w:rsidP="005F45A6">
      <w:pPr>
        <w:pStyle w:val="ESText"/>
        <w:numPr>
          <w:ilvl w:val="0"/>
          <w:numId w:val="25"/>
        </w:numPr>
        <w:spacing w:after="120" w:line="240" w:lineRule="auto"/>
        <w:rPr>
          <w:rFonts w:ascii="Calibri" w:hAnsi="Calibri"/>
          <w:szCs w:val="24"/>
        </w:rPr>
      </w:pPr>
      <w:r>
        <w:rPr>
          <w:rFonts w:ascii="Calibri" w:hAnsi="Calibri"/>
          <w:szCs w:val="24"/>
        </w:rPr>
        <w:t>allow the</w:t>
      </w:r>
      <w:r w:rsidR="005F45A6">
        <w:rPr>
          <w:rFonts w:ascii="Calibri" w:hAnsi="Calibri"/>
          <w:szCs w:val="24"/>
        </w:rPr>
        <w:t xml:space="preserve"> publication of information about an infringement notice in accordance with guidelines determined by the Minister which would set out when offences would be published (ie after an </w:t>
      </w:r>
      <w:r>
        <w:rPr>
          <w:rFonts w:ascii="Calibri" w:hAnsi="Calibri"/>
          <w:szCs w:val="24"/>
        </w:rPr>
        <w:t>appeal period ends); the type of offences that may be published, the length of time they are to remain on the register and provisions for their removal.</w:t>
      </w:r>
    </w:p>
    <w:p w14:paraId="5994BEF4" w14:textId="3A6E822A" w:rsidR="00673158" w:rsidRDefault="00673158" w:rsidP="00830726">
      <w:pPr>
        <w:rPr>
          <w:rFonts w:asciiTheme="minorHAnsi" w:hAnsiTheme="minorHAnsi" w:cstheme="minorHAnsi"/>
          <w:u w:val="single"/>
        </w:rPr>
      </w:pPr>
    </w:p>
    <w:p w14:paraId="45F075DB" w14:textId="77777777" w:rsidR="00673158" w:rsidRPr="00A71AEB" w:rsidRDefault="00673158" w:rsidP="00830726">
      <w:pPr>
        <w:rPr>
          <w:rFonts w:asciiTheme="minorHAnsi" w:hAnsiTheme="minorHAnsi" w:cstheme="minorHAnsi"/>
          <w:u w:val="single"/>
        </w:rPr>
      </w:pPr>
    </w:p>
    <w:p w14:paraId="08AFE16C" w14:textId="7D1418CB" w:rsidR="00673158" w:rsidRDefault="00673158">
      <w:pPr>
        <w:rPr>
          <w:rFonts w:asciiTheme="minorHAnsi" w:hAnsiTheme="minorHAnsi" w:cstheme="minorHAnsi"/>
        </w:rPr>
      </w:pPr>
      <w:r>
        <w:rPr>
          <w:rFonts w:asciiTheme="minorHAnsi" w:hAnsiTheme="minorHAnsi" w:cstheme="minorHAnsi"/>
        </w:rPr>
        <w:br w:type="page"/>
      </w:r>
    </w:p>
    <w:p w14:paraId="5E67960B" w14:textId="77777777" w:rsidR="00830726" w:rsidRDefault="00830726" w:rsidP="00830726">
      <w:pPr>
        <w:rPr>
          <w:rFonts w:ascii="Arial" w:hAnsi="Arial" w:cs="Arial"/>
          <w:b/>
          <w:bCs/>
          <w:szCs w:val="24"/>
        </w:rPr>
      </w:pPr>
    </w:p>
    <w:p w14:paraId="46F40B79" w14:textId="107BBF92" w:rsidR="00830726" w:rsidRDefault="00830726" w:rsidP="00830726">
      <w:pPr>
        <w:rPr>
          <w:rFonts w:ascii="Arial" w:hAnsi="Arial" w:cs="Arial"/>
          <w:b/>
          <w:bCs/>
          <w:szCs w:val="24"/>
        </w:rPr>
      </w:pPr>
      <w:r>
        <w:rPr>
          <w:rFonts w:ascii="Arial" w:hAnsi="Arial" w:cs="Arial"/>
          <w:b/>
          <w:bCs/>
          <w:szCs w:val="24"/>
        </w:rPr>
        <w:t>Work Health and Safety Amendment</w:t>
      </w:r>
      <w:r w:rsidR="00B82D95">
        <w:rPr>
          <w:rFonts w:ascii="Arial" w:hAnsi="Arial" w:cs="Arial"/>
          <w:b/>
          <w:bCs/>
          <w:szCs w:val="24"/>
        </w:rPr>
        <w:t xml:space="preserve"> Regulation</w:t>
      </w:r>
      <w:r>
        <w:rPr>
          <w:rFonts w:ascii="Arial" w:hAnsi="Arial" w:cs="Arial"/>
          <w:b/>
          <w:bCs/>
          <w:szCs w:val="24"/>
        </w:rPr>
        <w:t xml:space="preserve"> 2020 (No. 1) </w:t>
      </w:r>
    </w:p>
    <w:p w14:paraId="1B68F4E1" w14:textId="77777777" w:rsidR="00830726" w:rsidRDefault="00830726" w:rsidP="00830726">
      <w:pPr>
        <w:rPr>
          <w:rFonts w:ascii="Arial" w:hAnsi="Arial" w:cs="Arial"/>
          <w:b/>
          <w:bCs/>
          <w:szCs w:val="24"/>
        </w:rPr>
      </w:pPr>
    </w:p>
    <w:p w14:paraId="24872000" w14:textId="77777777" w:rsidR="00830726" w:rsidRPr="00153836" w:rsidRDefault="00830726" w:rsidP="00830726">
      <w:pPr>
        <w:rPr>
          <w:rFonts w:ascii="Arial" w:hAnsi="Arial" w:cs="Arial"/>
          <w:b/>
          <w:bCs/>
          <w:szCs w:val="24"/>
        </w:rPr>
      </w:pPr>
      <w:r w:rsidRPr="00153836">
        <w:rPr>
          <w:rFonts w:ascii="Arial" w:hAnsi="Arial" w:cs="Arial"/>
          <w:b/>
          <w:bCs/>
          <w:szCs w:val="24"/>
        </w:rPr>
        <w:t xml:space="preserve">CLAUSE NOTES </w:t>
      </w:r>
    </w:p>
    <w:p w14:paraId="6EE365AE" w14:textId="77777777" w:rsidR="00830726" w:rsidRDefault="00830726" w:rsidP="00830726">
      <w:pPr>
        <w:rPr>
          <w:rFonts w:asciiTheme="minorHAnsi" w:hAnsiTheme="minorHAnsi" w:cstheme="minorHAnsi"/>
          <w:szCs w:val="24"/>
        </w:rPr>
      </w:pPr>
    </w:p>
    <w:p w14:paraId="24C0C191" w14:textId="77777777" w:rsidR="00830726" w:rsidRPr="00153836" w:rsidRDefault="00830726" w:rsidP="00830726">
      <w:pPr>
        <w:pStyle w:val="ListParagraph"/>
        <w:numPr>
          <w:ilvl w:val="0"/>
          <w:numId w:val="12"/>
        </w:numPr>
        <w:rPr>
          <w:rFonts w:asciiTheme="minorHAnsi" w:hAnsiTheme="minorHAnsi" w:cstheme="minorHAnsi"/>
          <w:b/>
          <w:bCs/>
          <w:szCs w:val="24"/>
        </w:rPr>
      </w:pPr>
      <w:r w:rsidRPr="00153836">
        <w:rPr>
          <w:rFonts w:asciiTheme="minorHAnsi" w:hAnsiTheme="minorHAnsi" w:cstheme="minorHAnsi"/>
          <w:b/>
          <w:bCs/>
          <w:szCs w:val="24"/>
        </w:rPr>
        <w:t xml:space="preserve">Name of Regulation </w:t>
      </w:r>
    </w:p>
    <w:p w14:paraId="11CEAD2C" w14:textId="77777777" w:rsidR="00830726" w:rsidRDefault="00830726" w:rsidP="00830726">
      <w:pPr>
        <w:rPr>
          <w:rFonts w:asciiTheme="minorHAnsi" w:hAnsiTheme="minorHAnsi" w:cstheme="minorHAnsi"/>
          <w:szCs w:val="24"/>
        </w:rPr>
      </w:pPr>
    </w:p>
    <w:p w14:paraId="40D62E20" w14:textId="17E8D0D6" w:rsidR="00830726" w:rsidRPr="00153836" w:rsidRDefault="00830726" w:rsidP="00830726">
      <w:pPr>
        <w:rPr>
          <w:rFonts w:asciiTheme="minorHAnsi" w:hAnsiTheme="minorHAnsi" w:cstheme="minorHAnsi"/>
          <w:i/>
          <w:iCs/>
          <w:szCs w:val="24"/>
        </w:rPr>
      </w:pPr>
      <w:r>
        <w:rPr>
          <w:rFonts w:asciiTheme="minorHAnsi" w:hAnsiTheme="minorHAnsi" w:cstheme="minorHAnsi"/>
          <w:szCs w:val="24"/>
        </w:rPr>
        <w:t xml:space="preserve"> </w:t>
      </w:r>
      <w:r w:rsidRPr="00153836">
        <w:rPr>
          <w:rFonts w:asciiTheme="minorHAnsi" w:hAnsiTheme="minorHAnsi" w:cstheme="minorHAnsi"/>
          <w:szCs w:val="24"/>
        </w:rPr>
        <w:t xml:space="preserve">This clause provides that the name of the </w:t>
      </w:r>
      <w:r w:rsidR="008F2FE1">
        <w:rPr>
          <w:rFonts w:asciiTheme="minorHAnsi" w:hAnsiTheme="minorHAnsi" w:cstheme="minorHAnsi"/>
          <w:szCs w:val="24"/>
        </w:rPr>
        <w:t>r</w:t>
      </w:r>
      <w:r w:rsidRPr="00153836">
        <w:rPr>
          <w:rFonts w:asciiTheme="minorHAnsi" w:hAnsiTheme="minorHAnsi" w:cstheme="minorHAnsi"/>
          <w:szCs w:val="24"/>
        </w:rPr>
        <w:t xml:space="preserve">egulation is the </w:t>
      </w:r>
      <w:r w:rsidRPr="00153836">
        <w:rPr>
          <w:rFonts w:asciiTheme="minorHAnsi" w:hAnsiTheme="minorHAnsi" w:cstheme="minorHAnsi"/>
          <w:i/>
          <w:iCs/>
          <w:szCs w:val="24"/>
        </w:rPr>
        <w:t xml:space="preserve">Work Health and Safety </w:t>
      </w:r>
    </w:p>
    <w:p w14:paraId="73B463DA" w14:textId="7670FFD4" w:rsidR="00830726" w:rsidRPr="00153836" w:rsidRDefault="00830726" w:rsidP="00830726">
      <w:pPr>
        <w:rPr>
          <w:rFonts w:asciiTheme="minorHAnsi" w:hAnsiTheme="minorHAnsi" w:cstheme="minorHAnsi"/>
          <w:szCs w:val="24"/>
        </w:rPr>
      </w:pPr>
      <w:r w:rsidRPr="00153836">
        <w:rPr>
          <w:rFonts w:asciiTheme="minorHAnsi" w:hAnsiTheme="minorHAnsi" w:cstheme="minorHAnsi"/>
          <w:i/>
          <w:iCs/>
          <w:szCs w:val="24"/>
        </w:rPr>
        <w:t>Amendment Regulation 2020</w:t>
      </w:r>
      <w:r w:rsidRPr="00153836">
        <w:rPr>
          <w:rFonts w:asciiTheme="minorHAnsi" w:hAnsiTheme="minorHAnsi" w:cstheme="minorHAnsi"/>
          <w:szCs w:val="24"/>
        </w:rPr>
        <w:t xml:space="preserve"> </w:t>
      </w:r>
      <w:r w:rsidRPr="00B82D95">
        <w:rPr>
          <w:rFonts w:asciiTheme="minorHAnsi" w:hAnsiTheme="minorHAnsi" w:cstheme="minorHAnsi"/>
          <w:i/>
          <w:iCs/>
          <w:szCs w:val="24"/>
        </w:rPr>
        <w:t xml:space="preserve">(No </w:t>
      </w:r>
      <w:r w:rsidR="00B82D95" w:rsidRPr="00B82D95">
        <w:rPr>
          <w:rFonts w:asciiTheme="minorHAnsi" w:hAnsiTheme="minorHAnsi" w:cstheme="minorHAnsi"/>
          <w:i/>
          <w:iCs/>
          <w:szCs w:val="24"/>
        </w:rPr>
        <w:t>1</w:t>
      </w:r>
      <w:r w:rsidRPr="00B82D95">
        <w:rPr>
          <w:rFonts w:asciiTheme="minorHAnsi" w:hAnsiTheme="minorHAnsi" w:cstheme="minorHAnsi"/>
          <w:i/>
          <w:iCs/>
          <w:szCs w:val="24"/>
        </w:rPr>
        <w:t>)</w:t>
      </w:r>
      <w:r w:rsidRPr="00153836">
        <w:rPr>
          <w:rFonts w:asciiTheme="minorHAnsi" w:hAnsiTheme="minorHAnsi" w:cstheme="minorHAnsi"/>
          <w:szCs w:val="24"/>
        </w:rPr>
        <w:t xml:space="preserve">. </w:t>
      </w:r>
    </w:p>
    <w:p w14:paraId="6A67A76A" w14:textId="77777777" w:rsidR="00830726" w:rsidRDefault="00830726" w:rsidP="00830726">
      <w:pPr>
        <w:pStyle w:val="ListParagraph"/>
        <w:rPr>
          <w:rFonts w:asciiTheme="minorHAnsi" w:hAnsiTheme="minorHAnsi" w:cstheme="minorHAnsi"/>
          <w:szCs w:val="24"/>
        </w:rPr>
      </w:pPr>
    </w:p>
    <w:p w14:paraId="258E8C37" w14:textId="77777777" w:rsidR="00830726" w:rsidRDefault="00830726" w:rsidP="00830726">
      <w:pPr>
        <w:pStyle w:val="ListParagraph"/>
        <w:numPr>
          <w:ilvl w:val="0"/>
          <w:numId w:val="12"/>
        </w:numPr>
        <w:rPr>
          <w:rFonts w:asciiTheme="minorHAnsi" w:hAnsiTheme="minorHAnsi" w:cstheme="minorHAnsi"/>
          <w:b/>
          <w:bCs/>
          <w:szCs w:val="24"/>
        </w:rPr>
      </w:pPr>
      <w:r w:rsidRPr="00153836">
        <w:rPr>
          <w:rFonts w:asciiTheme="minorHAnsi" w:hAnsiTheme="minorHAnsi" w:cstheme="minorHAnsi"/>
          <w:b/>
          <w:bCs/>
          <w:szCs w:val="24"/>
        </w:rPr>
        <w:t xml:space="preserve">Commencement </w:t>
      </w:r>
    </w:p>
    <w:p w14:paraId="68A5D360" w14:textId="77777777" w:rsidR="00830726" w:rsidRDefault="00830726" w:rsidP="00830726">
      <w:pPr>
        <w:rPr>
          <w:rFonts w:asciiTheme="minorHAnsi" w:hAnsiTheme="minorHAnsi" w:cstheme="minorHAnsi"/>
          <w:b/>
          <w:bCs/>
          <w:szCs w:val="24"/>
        </w:rPr>
      </w:pPr>
    </w:p>
    <w:p w14:paraId="309FD800" w14:textId="36DC7C97" w:rsidR="008F2FE1" w:rsidRDefault="00830726" w:rsidP="00830726">
      <w:pPr>
        <w:rPr>
          <w:rFonts w:asciiTheme="minorHAnsi" w:hAnsiTheme="minorHAnsi" w:cstheme="minorHAnsi"/>
          <w:szCs w:val="24"/>
        </w:rPr>
      </w:pPr>
      <w:r w:rsidRPr="00153836">
        <w:rPr>
          <w:rFonts w:asciiTheme="minorHAnsi" w:hAnsiTheme="minorHAnsi" w:cstheme="minorHAnsi"/>
          <w:szCs w:val="24"/>
        </w:rPr>
        <w:t xml:space="preserve">This clause provides </w:t>
      </w:r>
      <w:r w:rsidR="008F2FE1">
        <w:rPr>
          <w:rFonts w:asciiTheme="minorHAnsi" w:hAnsiTheme="minorHAnsi" w:cstheme="minorHAnsi"/>
          <w:szCs w:val="24"/>
        </w:rPr>
        <w:t xml:space="preserve">for the commencement of </w:t>
      </w:r>
      <w:r w:rsidRPr="00153836">
        <w:rPr>
          <w:rFonts w:asciiTheme="minorHAnsi" w:hAnsiTheme="minorHAnsi" w:cstheme="minorHAnsi"/>
          <w:szCs w:val="24"/>
        </w:rPr>
        <w:t>th</w:t>
      </w:r>
      <w:r w:rsidR="009B3CDC">
        <w:rPr>
          <w:rFonts w:asciiTheme="minorHAnsi" w:hAnsiTheme="minorHAnsi" w:cstheme="minorHAnsi"/>
          <w:szCs w:val="24"/>
        </w:rPr>
        <w:t>is</w:t>
      </w:r>
      <w:r w:rsidRPr="00153836">
        <w:rPr>
          <w:rFonts w:asciiTheme="minorHAnsi" w:hAnsiTheme="minorHAnsi" w:cstheme="minorHAnsi"/>
          <w:szCs w:val="24"/>
        </w:rPr>
        <w:t xml:space="preserve"> </w:t>
      </w:r>
      <w:r w:rsidR="008F2FE1">
        <w:rPr>
          <w:rFonts w:asciiTheme="minorHAnsi" w:hAnsiTheme="minorHAnsi" w:cstheme="minorHAnsi"/>
          <w:szCs w:val="24"/>
        </w:rPr>
        <w:t>r</w:t>
      </w:r>
      <w:r w:rsidRPr="00153836">
        <w:rPr>
          <w:rFonts w:asciiTheme="minorHAnsi" w:hAnsiTheme="minorHAnsi" w:cstheme="minorHAnsi"/>
          <w:szCs w:val="24"/>
        </w:rPr>
        <w:t>egulation</w:t>
      </w:r>
      <w:r w:rsidR="008F2FE1">
        <w:rPr>
          <w:rFonts w:asciiTheme="minorHAnsi" w:hAnsiTheme="minorHAnsi" w:cstheme="minorHAnsi"/>
          <w:szCs w:val="24"/>
        </w:rPr>
        <w:t>, specifically:</w:t>
      </w:r>
    </w:p>
    <w:p w14:paraId="1E98F270" w14:textId="77777777" w:rsidR="008F2FE1" w:rsidRDefault="008F2FE1" w:rsidP="008F2FE1">
      <w:pPr>
        <w:pStyle w:val="ListParagraph"/>
        <w:numPr>
          <w:ilvl w:val="0"/>
          <w:numId w:val="26"/>
        </w:numPr>
        <w:rPr>
          <w:rFonts w:asciiTheme="minorHAnsi" w:hAnsiTheme="minorHAnsi" w:cstheme="minorHAnsi"/>
          <w:szCs w:val="24"/>
        </w:rPr>
      </w:pPr>
      <w:r>
        <w:rPr>
          <w:rFonts w:asciiTheme="minorHAnsi" w:hAnsiTheme="minorHAnsi" w:cstheme="minorHAnsi"/>
          <w:szCs w:val="24"/>
        </w:rPr>
        <w:t>the exposure standard amendments in clauses 4 and 30 will commence on 1 July 2020;</w:t>
      </w:r>
    </w:p>
    <w:p w14:paraId="653FEF1E" w14:textId="53CA57ED" w:rsidR="007B6782" w:rsidRDefault="008F2FE1" w:rsidP="008F2FE1">
      <w:pPr>
        <w:pStyle w:val="ListParagraph"/>
        <w:numPr>
          <w:ilvl w:val="0"/>
          <w:numId w:val="26"/>
        </w:numPr>
        <w:rPr>
          <w:rFonts w:asciiTheme="minorHAnsi" w:hAnsiTheme="minorHAnsi" w:cstheme="minorHAnsi"/>
          <w:szCs w:val="24"/>
        </w:rPr>
      </w:pPr>
      <w:r>
        <w:rPr>
          <w:rFonts w:asciiTheme="minorHAnsi" w:hAnsiTheme="minorHAnsi" w:cstheme="minorHAnsi"/>
          <w:szCs w:val="24"/>
        </w:rPr>
        <w:t xml:space="preserve">the technical amendments to the blood level thresholds and </w:t>
      </w:r>
      <w:r w:rsidR="007B6782">
        <w:rPr>
          <w:rFonts w:asciiTheme="minorHAnsi" w:hAnsiTheme="minorHAnsi" w:cstheme="minorHAnsi"/>
          <w:szCs w:val="24"/>
        </w:rPr>
        <w:t>diving provision corrections in clauses 6 to 26 and 31 will commence on 3 August 2020; and</w:t>
      </w:r>
    </w:p>
    <w:p w14:paraId="3CAAE8F6" w14:textId="21AA9BEE" w:rsidR="00830726" w:rsidRPr="008F2FE1" w:rsidRDefault="007B6782" w:rsidP="008F2FE1">
      <w:pPr>
        <w:pStyle w:val="ListParagraph"/>
        <w:numPr>
          <w:ilvl w:val="0"/>
          <w:numId w:val="26"/>
        </w:numPr>
        <w:rPr>
          <w:rFonts w:asciiTheme="minorHAnsi" w:hAnsiTheme="minorHAnsi" w:cstheme="minorHAnsi"/>
          <w:szCs w:val="24"/>
        </w:rPr>
      </w:pPr>
      <w:r>
        <w:rPr>
          <w:rFonts w:asciiTheme="minorHAnsi" w:hAnsiTheme="minorHAnsi" w:cstheme="minorHAnsi"/>
          <w:szCs w:val="24"/>
        </w:rPr>
        <w:t>the establishment of the public register for infringement notices issued to licence holders in clauses 5 and 27 to 29 will commence on 1 February 202</w:t>
      </w:r>
      <w:r w:rsidR="007341DD">
        <w:rPr>
          <w:rFonts w:asciiTheme="minorHAnsi" w:hAnsiTheme="minorHAnsi" w:cstheme="minorHAnsi"/>
          <w:szCs w:val="24"/>
        </w:rPr>
        <w:t>1</w:t>
      </w:r>
      <w:r>
        <w:rPr>
          <w:rFonts w:asciiTheme="minorHAnsi" w:hAnsiTheme="minorHAnsi" w:cstheme="minorHAnsi"/>
          <w:szCs w:val="24"/>
        </w:rPr>
        <w:t>.</w:t>
      </w:r>
    </w:p>
    <w:p w14:paraId="03B7EC1A" w14:textId="77777777" w:rsidR="00830726" w:rsidRPr="00153836" w:rsidRDefault="00830726" w:rsidP="00830726">
      <w:pPr>
        <w:rPr>
          <w:rFonts w:asciiTheme="minorHAnsi" w:hAnsiTheme="minorHAnsi" w:cstheme="minorHAnsi"/>
          <w:b/>
          <w:bCs/>
          <w:szCs w:val="24"/>
        </w:rPr>
      </w:pPr>
    </w:p>
    <w:p w14:paraId="41E966E7" w14:textId="77777777" w:rsidR="00830726" w:rsidRDefault="00830726" w:rsidP="00830726">
      <w:pPr>
        <w:pStyle w:val="ListParagraph"/>
        <w:numPr>
          <w:ilvl w:val="0"/>
          <w:numId w:val="12"/>
        </w:numPr>
        <w:rPr>
          <w:rFonts w:asciiTheme="minorHAnsi" w:hAnsiTheme="minorHAnsi" w:cstheme="minorHAnsi"/>
          <w:b/>
          <w:bCs/>
          <w:szCs w:val="24"/>
        </w:rPr>
      </w:pPr>
      <w:r w:rsidRPr="00153836">
        <w:rPr>
          <w:rFonts w:asciiTheme="minorHAnsi" w:hAnsiTheme="minorHAnsi" w:cstheme="minorHAnsi"/>
          <w:b/>
          <w:bCs/>
          <w:szCs w:val="24"/>
        </w:rPr>
        <w:t xml:space="preserve">Legislation amended </w:t>
      </w:r>
    </w:p>
    <w:p w14:paraId="321D945F" w14:textId="77777777" w:rsidR="00830726" w:rsidRDefault="00830726" w:rsidP="00830726">
      <w:pPr>
        <w:rPr>
          <w:rFonts w:asciiTheme="minorHAnsi" w:hAnsiTheme="minorHAnsi" w:cstheme="minorHAnsi"/>
          <w:b/>
          <w:bCs/>
          <w:szCs w:val="24"/>
        </w:rPr>
      </w:pPr>
    </w:p>
    <w:p w14:paraId="33D1BBEE" w14:textId="24E28DC0" w:rsidR="00830726" w:rsidRPr="00153836" w:rsidRDefault="00830726" w:rsidP="00830726">
      <w:pPr>
        <w:rPr>
          <w:rFonts w:asciiTheme="minorHAnsi" w:hAnsiTheme="minorHAnsi" w:cstheme="minorHAnsi"/>
          <w:szCs w:val="24"/>
        </w:rPr>
      </w:pPr>
      <w:r w:rsidRPr="00153836">
        <w:rPr>
          <w:rFonts w:asciiTheme="minorHAnsi" w:hAnsiTheme="minorHAnsi" w:cstheme="minorHAnsi"/>
          <w:szCs w:val="24"/>
        </w:rPr>
        <w:t xml:space="preserve">This clause provides that the </w:t>
      </w:r>
      <w:r w:rsidR="005407C9">
        <w:rPr>
          <w:rFonts w:asciiTheme="minorHAnsi" w:hAnsiTheme="minorHAnsi" w:cstheme="minorHAnsi"/>
          <w:szCs w:val="24"/>
        </w:rPr>
        <w:t>r</w:t>
      </w:r>
      <w:r w:rsidRPr="00153836">
        <w:rPr>
          <w:rFonts w:asciiTheme="minorHAnsi" w:hAnsiTheme="minorHAnsi" w:cstheme="minorHAnsi"/>
          <w:szCs w:val="24"/>
        </w:rPr>
        <w:t xml:space="preserve">egulation amends the </w:t>
      </w:r>
      <w:r w:rsidRPr="00153836">
        <w:rPr>
          <w:rFonts w:asciiTheme="minorHAnsi" w:hAnsiTheme="minorHAnsi" w:cstheme="minorHAnsi"/>
          <w:i/>
          <w:iCs/>
          <w:szCs w:val="24"/>
        </w:rPr>
        <w:t>Work Health and Safety Regulation 2011</w:t>
      </w:r>
      <w:r w:rsidRPr="00153836">
        <w:rPr>
          <w:rFonts w:asciiTheme="minorHAnsi" w:hAnsiTheme="minorHAnsi" w:cstheme="minorHAnsi"/>
          <w:szCs w:val="24"/>
        </w:rPr>
        <w:t xml:space="preserve">. </w:t>
      </w:r>
    </w:p>
    <w:p w14:paraId="102374E0" w14:textId="77777777" w:rsidR="00830726" w:rsidRPr="00153836" w:rsidRDefault="00830726" w:rsidP="00830726">
      <w:pPr>
        <w:rPr>
          <w:rFonts w:asciiTheme="minorHAnsi" w:hAnsiTheme="minorHAnsi" w:cstheme="minorHAnsi"/>
          <w:b/>
          <w:bCs/>
          <w:szCs w:val="24"/>
        </w:rPr>
      </w:pPr>
    </w:p>
    <w:p w14:paraId="3B477FEE" w14:textId="77777777" w:rsidR="00830726" w:rsidRPr="00153836"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New section 48A</w:t>
      </w:r>
    </w:p>
    <w:p w14:paraId="41039D09" w14:textId="77777777" w:rsidR="00830726" w:rsidRDefault="00830726" w:rsidP="00830726">
      <w:pPr>
        <w:rPr>
          <w:rFonts w:asciiTheme="minorHAnsi" w:hAnsiTheme="minorHAnsi" w:cstheme="minorHAnsi"/>
          <w:szCs w:val="24"/>
        </w:rPr>
      </w:pPr>
    </w:p>
    <w:p w14:paraId="42AC385D" w14:textId="260E0DA1" w:rsidR="00830726" w:rsidRDefault="00830726" w:rsidP="00830726">
      <w:pPr>
        <w:rPr>
          <w:rFonts w:asciiTheme="minorHAnsi" w:hAnsiTheme="minorHAnsi" w:cstheme="minorHAnsi"/>
          <w:szCs w:val="24"/>
        </w:rPr>
      </w:pPr>
      <w:r w:rsidRPr="00153836">
        <w:rPr>
          <w:rFonts w:asciiTheme="minorHAnsi" w:hAnsiTheme="minorHAnsi" w:cstheme="minorHAnsi"/>
          <w:szCs w:val="24"/>
        </w:rPr>
        <w:t xml:space="preserve">This clause amends the </w:t>
      </w:r>
      <w:r w:rsidRPr="00153836">
        <w:rPr>
          <w:rFonts w:asciiTheme="minorHAnsi" w:hAnsiTheme="minorHAnsi" w:cstheme="minorHAnsi"/>
          <w:i/>
          <w:iCs/>
          <w:szCs w:val="24"/>
        </w:rPr>
        <w:t>Work Health and Safety Regulation 2011</w:t>
      </w:r>
      <w:r w:rsidRPr="00153836">
        <w:rPr>
          <w:rFonts w:asciiTheme="minorHAnsi" w:hAnsiTheme="minorHAnsi" w:cstheme="minorHAnsi"/>
          <w:szCs w:val="24"/>
        </w:rPr>
        <w:t xml:space="preserve"> by inserting a new section 48A to allow the Minister to declare</w:t>
      </w:r>
      <w:r w:rsidR="00071A51">
        <w:rPr>
          <w:rFonts w:asciiTheme="minorHAnsi" w:hAnsiTheme="minorHAnsi" w:cstheme="minorHAnsi"/>
          <w:szCs w:val="24"/>
        </w:rPr>
        <w:t>, via notifiable instrument,</w:t>
      </w:r>
      <w:r w:rsidRPr="00153836">
        <w:rPr>
          <w:rFonts w:asciiTheme="minorHAnsi" w:hAnsiTheme="minorHAnsi" w:cstheme="minorHAnsi"/>
          <w:szCs w:val="24"/>
        </w:rPr>
        <w:t xml:space="preserve"> exposure standards in the </w:t>
      </w:r>
      <w:r w:rsidRPr="005407C9">
        <w:rPr>
          <w:rFonts w:asciiTheme="minorHAnsi" w:hAnsiTheme="minorHAnsi" w:cstheme="minorHAnsi"/>
          <w:i/>
          <w:iCs/>
          <w:szCs w:val="24"/>
        </w:rPr>
        <w:t>Workplace Exposure Standard for Airborne Contaminants</w:t>
      </w:r>
      <w:r w:rsidRPr="00153836">
        <w:rPr>
          <w:rFonts w:asciiTheme="minorHAnsi" w:hAnsiTheme="minorHAnsi" w:cstheme="minorHAnsi"/>
          <w:szCs w:val="24"/>
        </w:rPr>
        <w:t xml:space="preserve"> for this regulation</w:t>
      </w:r>
      <w:r w:rsidR="00071A51">
        <w:rPr>
          <w:rFonts w:asciiTheme="minorHAnsi" w:hAnsiTheme="minorHAnsi" w:cstheme="minorHAnsi"/>
          <w:szCs w:val="24"/>
        </w:rPr>
        <w:t xml:space="preserve"> (other than part 4.1 (Noise))</w:t>
      </w:r>
      <w:r w:rsidRPr="00153836">
        <w:rPr>
          <w:rFonts w:asciiTheme="minorHAnsi" w:hAnsiTheme="minorHAnsi" w:cstheme="minorHAnsi"/>
          <w:szCs w:val="24"/>
        </w:rPr>
        <w:t xml:space="preserve">. </w:t>
      </w:r>
      <w:r w:rsidR="005407C9">
        <w:rPr>
          <w:rFonts w:asciiTheme="minorHAnsi" w:hAnsiTheme="minorHAnsi" w:cstheme="minorHAnsi"/>
          <w:szCs w:val="24"/>
        </w:rPr>
        <w:t xml:space="preserve">The </w:t>
      </w:r>
      <w:r w:rsidR="005407C9" w:rsidRPr="005407C9">
        <w:rPr>
          <w:rFonts w:asciiTheme="minorHAnsi" w:hAnsiTheme="minorHAnsi" w:cstheme="minorHAnsi"/>
          <w:i/>
          <w:iCs/>
          <w:szCs w:val="24"/>
        </w:rPr>
        <w:t>Workplace Exposure Standard for Airborne Contaminants</w:t>
      </w:r>
      <w:r w:rsidR="005407C9">
        <w:rPr>
          <w:rFonts w:asciiTheme="minorHAnsi" w:hAnsiTheme="minorHAnsi" w:cstheme="minorHAnsi"/>
          <w:szCs w:val="24"/>
        </w:rPr>
        <w:t xml:space="preserve"> (workplace exposure standards) is published by Safe Work Australia on its website.</w:t>
      </w:r>
    </w:p>
    <w:p w14:paraId="2D42D028" w14:textId="773851BD" w:rsidR="005407C9" w:rsidRDefault="005407C9" w:rsidP="00830726">
      <w:pPr>
        <w:rPr>
          <w:rFonts w:asciiTheme="minorHAnsi" w:hAnsiTheme="minorHAnsi" w:cstheme="minorHAnsi"/>
          <w:szCs w:val="24"/>
        </w:rPr>
      </w:pPr>
    </w:p>
    <w:p w14:paraId="1FF5959E" w14:textId="2B79997A" w:rsidR="00FE211B" w:rsidRPr="005407C9" w:rsidRDefault="005407C9" w:rsidP="00830726">
      <w:pPr>
        <w:rPr>
          <w:rFonts w:asciiTheme="minorHAnsi" w:hAnsiTheme="minorHAnsi" w:cstheme="minorHAnsi"/>
          <w:szCs w:val="24"/>
        </w:rPr>
      </w:pPr>
      <w:r>
        <w:rPr>
          <w:rFonts w:asciiTheme="minorHAnsi" w:hAnsiTheme="minorHAnsi" w:cstheme="minorHAnsi"/>
          <w:szCs w:val="24"/>
        </w:rPr>
        <w:t>This change will allow the publication of the workplace exposure standards as updated by Safe Work Australia to be adopted in the ACT by declaration of the Minister. In this way, the ACT can apply a transition period to changes in the workplace exposure standards as and when they are adopted in the ACT.</w:t>
      </w:r>
    </w:p>
    <w:p w14:paraId="63FB164F" w14:textId="77777777" w:rsidR="00830726" w:rsidRPr="00153836" w:rsidRDefault="00830726" w:rsidP="00830726">
      <w:pPr>
        <w:rPr>
          <w:rFonts w:asciiTheme="minorHAnsi" w:hAnsiTheme="minorHAnsi" w:cstheme="minorHAnsi"/>
          <w:szCs w:val="24"/>
        </w:rPr>
      </w:pPr>
    </w:p>
    <w:p w14:paraId="3293BC54" w14:textId="77777777" w:rsidR="00830726" w:rsidRPr="00153836"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New section 91A (2A)</w:t>
      </w:r>
    </w:p>
    <w:p w14:paraId="68AC9E02" w14:textId="77777777" w:rsidR="00830726" w:rsidRDefault="00830726" w:rsidP="00830726">
      <w:pPr>
        <w:rPr>
          <w:rFonts w:asciiTheme="minorHAnsi" w:hAnsiTheme="minorHAnsi" w:cstheme="minorHAnsi"/>
          <w:szCs w:val="24"/>
        </w:rPr>
      </w:pPr>
    </w:p>
    <w:p w14:paraId="4136951C" w14:textId="0E2A40DC" w:rsidR="00830726" w:rsidRDefault="00830726" w:rsidP="00830726">
      <w:pPr>
        <w:rPr>
          <w:rFonts w:asciiTheme="minorHAnsi" w:hAnsiTheme="minorHAnsi" w:cstheme="minorHAnsi"/>
          <w:szCs w:val="24"/>
        </w:rPr>
      </w:pPr>
      <w:r w:rsidRPr="00153836">
        <w:rPr>
          <w:rFonts w:asciiTheme="minorHAnsi" w:hAnsiTheme="minorHAnsi" w:cstheme="minorHAnsi"/>
          <w:szCs w:val="24"/>
        </w:rPr>
        <w:t xml:space="preserve">This clause amends the </w:t>
      </w:r>
      <w:r w:rsidRPr="00153836">
        <w:rPr>
          <w:rFonts w:asciiTheme="minorHAnsi" w:hAnsiTheme="minorHAnsi" w:cstheme="minorHAnsi"/>
          <w:i/>
          <w:iCs/>
          <w:szCs w:val="24"/>
        </w:rPr>
        <w:t>Work Health and Safety Regulation 2011</w:t>
      </w:r>
      <w:r w:rsidRPr="00153836">
        <w:rPr>
          <w:rFonts w:asciiTheme="minorHAnsi" w:hAnsiTheme="minorHAnsi" w:cstheme="minorHAnsi"/>
          <w:szCs w:val="24"/>
        </w:rPr>
        <w:t xml:space="preserve"> by inserting a new section 91A (2A) to provide that a licence under this division includes a condition that the </w:t>
      </w:r>
      <w:r w:rsidR="00071A51">
        <w:rPr>
          <w:rFonts w:asciiTheme="minorHAnsi" w:hAnsiTheme="minorHAnsi" w:cstheme="minorHAnsi"/>
          <w:szCs w:val="24"/>
        </w:rPr>
        <w:t xml:space="preserve">if the </w:t>
      </w:r>
      <w:r w:rsidRPr="00153836">
        <w:rPr>
          <w:rFonts w:asciiTheme="minorHAnsi" w:hAnsiTheme="minorHAnsi" w:cstheme="minorHAnsi"/>
          <w:szCs w:val="24"/>
        </w:rPr>
        <w:t xml:space="preserve">licensee </w:t>
      </w:r>
      <w:r w:rsidR="00071A51">
        <w:rPr>
          <w:rFonts w:asciiTheme="minorHAnsi" w:hAnsiTheme="minorHAnsi" w:cstheme="minorHAnsi"/>
          <w:szCs w:val="24"/>
        </w:rPr>
        <w:t>is issued with</w:t>
      </w:r>
      <w:r w:rsidRPr="00153836">
        <w:rPr>
          <w:rFonts w:asciiTheme="minorHAnsi" w:hAnsiTheme="minorHAnsi" w:cstheme="minorHAnsi"/>
          <w:szCs w:val="24"/>
        </w:rPr>
        <w:t xml:space="preserve"> an infringement notice</w:t>
      </w:r>
      <w:r w:rsidR="00071A51">
        <w:rPr>
          <w:rFonts w:asciiTheme="minorHAnsi" w:hAnsiTheme="minorHAnsi" w:cstheme="minorHAnsi"/>
          <w:szCs w:val="24"/>
        </w:rPr>
        <w:t xml:space="preserve"> under the </w:t>
      </w:r>
      <w:r w:rsidR="00071A51" w:rsidRPr="005407C9">
        <w:rPr>
          <w:rFonts w:asciiTheme="minorHAnsi" w:hAnsiTheme="minorHAnsi" w:cstheme="minorHAnsi"/>
          <w:i/>
          <w:iCs/>
          <w:szCs w:val="24"/>
        </w:rPr>
        <w:t>Magistrates Court (Work Health and Safety Infringement Notices) Regulation 2011</w:t>
      </w:r>
      <w:r w:rsidR="00071A51">
        <w:rPr>
          <w:rFonts w:asciiTheme="minorHAnsi" w:hAnsiTheme="minorHAnsi" w:cstheme="minorHAnsi"/>
          <w:szCs w:val="24"/>
        </w:rPr>
        <w:t xml:space="preserve">, information </w:t>
      </w:r>
      <w:r w:rsidR="00071A51">
        <w:rPr>
          <w:rFonts w:asciiTheme="minorHAnsi" w:hAnsiTheme="minorHAnsi" w:cstheme="minorHAnsi"/>
          <w:szCs w:val="24"/>
        </w:rPr>
        <w:lastRenderedPageBreak/>
        <w:t xml:space="preserve">about the infringement notice be included in a public in accordance with </w:t>
      </w:r>
      <w:r w:rsidRPr="00153836">
        <w:rPr>
          <w:rFonts w:asciiTheme="minorHAnsi" w:hAnsiTheme="minorHAnsi" w:cstheme="minorHAnsi"/>
          <w:szCs w:val="24"/>
        </w:rPr>
        <w:t xml:space="preserve">section 698A. </w:t>
      </w:r>
    </w:p>
    <w:p w14:paraId="6603199A" w14:textId="77777777" w:rsidR="00830726" w:rsidRPr="00153836" w:rsidRDefault="00830726" w:rsidP="00830726">
      <w:pPr>
        <w:rPr>
          <w:rFonts w:asciiTheme="minorHAnsi" w:hAnsiTheme="minorHAnsi" w:cstheme="minorHAnsi"/>
          <w:szCs w:val="24"/>
        </w:rPr>
      </w:pPr>
    </w:p>
    <w:p w14:paraId="1FFA1F42" w14:textId="77777777" w:rsidR="00830726"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171 heading</w:t>
      </w:r>
      <w:r>
        <w:rPr>
          <w:rFonts w:asciiTheme="minorHAnsi" w:hAnsiTheme="minorHAnsi" w:cstheme="minorHAnsi"/>
          <w:szCs w:val="24"/>
        </w:rPr>
        <w:t xml:space="preserve"> </w:t>
      </w:r>
    </w:p>
    <w:p w14:paraId="598DF98C" w14:textId="77777777" w:rsidR="00830726" w:rsidRDefault="00830726" w:rsidP="00830726">
      <w:pPr>
        <w:rPr>
          <w:rFonts w:asciiTheme="minorHAnsi" w:hAnsiTheme="minorHAnsi" w:cstheme="minorHAnsi"/>
          <w:szCs w:val="24"/>
        </w:rPr>
      </w:pPr>
    </w:p>
    <w:p w14:paraId="36AB5025" w14:textId="3F9C6FC8" w:rsidR="00830726" w:rsidRPr="00153836" w:rsidRDefault="00830726" w:rsidP="00830726">
      <w:pPr>
        <w:rPr>
          <w:rFonts w:asciiTheme="minorHAnsi" w:hAnsiTheme="minorHAnsi" w:cstheme="minorHAnsi"/>
          <w:szCs w:val="24"/>
        </w:rPr>
      </w:pPr>
      <w:r w:rsidRPr="00153836">
        <w:rPr>
          <w:rFonts w:asciiTheme="minorHAnsi" w:hAnsiTheme="minorHAnsi" w:cstheme="minorHAnsi"/>
          <w:szCs w:val="24"/>
        </w:rPr>
        <w:t xml:space="preserve">This clause </w:t>
      </w:r>
      <w:r>
        <w:rPr>
          <w:rFonts w:asciiTheme="minorHAnsi" w:hAnsiTheme="minorHAnsi" w:cstheme="minorHAnsi"/>
          <w:szCs w:val="24"/>
        </w:rPr>
        <w:t xml:space="preserve">amends the title of </w:t>
      </w:r>
      <w:r w:rsidR="00DC21B2">
        <w:rPr>
          <w:rFonts w:asciiTheme="minorHAnsi" w:hAnsiTheme="minorHAnsi" w:cstheme="minorHAnsi"/>
          <w:szCs w:val="24"/>
        </w:rPr>
        <w:t>section</w:t>
      </w:r>
      <w:r>
        <w:rPr>
          <w:rFonts w:asciiTheme="minorHAnsi" w:hAnsiTheme="minorHAnsi" w:cstheme="minorHAnsi"/>
          <w:szCs w:val="24"/>
        </w:rPr>
        <w:t xml:space="preserve"> 171 </w:t>
      </w:r>
      <w:r w:rsidR="00071A51">
        <w:rPr>
          <w:rFonts w:asciiTheme="minorHAnsi" w:hAnsiTheme="minorHAnsi" w:cstheme="minorHAnsi"/>
          <w:szCs w:val="24"/>
        </w:rPr>
        <w:t>to “Competence of worker – general diving work – qualifications –Act, s 44”</w:t>
      </w:r>
      <w:r w:rsidR="00FE211B">
        <w:rPr>
          <w:rFonts w:asciiTheme="minorHAnsi" w:hAnsiTheme="minorHAnsi" w:cstheme="minorHAnsi"/>
          <w:szCs w:val="24"/>
        </w:rPr>
        <w:t>.</w:t>
      </w:r>
      <w:r>
        <w:rPr>
          <w:rFonts w:asciiTheme="minorHAnsi" w:hAnsiTheme="minorHAnsi" w:cstheme="minorHAnsi"/>
          <w:szCs w:val="24"/>
        </w:rPr>
        <w:t xml:space="preserve"> </w:t>
      </w:r>
    </w:p>
    <w:p w14:paraId="652E5E93" w14:textId="77777777" w:rsidR="00830726" w:rsidRPr="00D91AE0" w:rsidRDefault="00830726" w:rsidP="00830726">
      <w:pPr>
        <w:rPr>
          <w:rFonts w:asciiTheme="minorHAnsi" w:hAnsiTheme="minorHAnsi" w:cstheme="minorHAnsi"/>
          <w:szCs w:val="24"/>
        </w:rPr>
      </w:pPr>
    </w:p>
    <w:p w14:paraId="3EEF2404" w14:textId="77777777" w:rsidR="00830726" w:rsidRPr="00D91AE0"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171 (2)</w:t>
      </w:r>
    </w:p>
    <w:p w14:paraId="77457588" w14:textId="77777777" w:rsidR="00830726" w:rsidRDefault="00830726" w:rsidP="00830726">
      <w:pPr>
        <w:rPr>
          <w:rFonts w:asciiTheme="minorHAnsi" w:hAnsiTheme="minorHAnsi" w:cstheme="minorHAnsi"/>
          <w:szCs w:val="24"/>
        </w:rPr>
      </w:pPr>
    </w:p>
    <w:p w14:paraId="3EBAD892" w14:textId="1ECBB91C" w:rsidR="00830726" w:rsidRPr="00153836" w:rsidRDefault="00830726" w:rsidP="00830726">
      <w:pPr>
        <w:rPr>
          <w:rFonts w:asciiTheme="minorHAnsi" w:hAnsiTheme="minorHAnsi" w:cstheme="minorHAnsi"/>
          <w:szCs w:val="24"/>
        </w:rPr>
      </w:pPr>
      <w:r w:rsidRPr="00153836">
        <w:rPr>
          <w:rFonts w:asciiTheme="minorHAnsi" w:hAnsiTheme="minorHAnsi" w:cstheme="minorHAnsi"/>
          <w:szCs w:val="24"/>
        </w:rPr>
        <w:t xml:space="preserve">This clause </w:t>
      </w:r>
      <w:r>
        <w:rPr>
          <w:rFonts w:asciiTheme="minorHAnsi" w:hAnsiTheme="minorHAnsi" w:cstheme="minorHAnsi"/>
          <w:szCs w:val="24"/>
        </w:rPr>
        <w:t xml:space="preserve">amends </w:t>
      </w:r>
      <w:r w:rsidR="00DC21B2">
        <w:rPr>
          <w:rFonts w:asciiTheme="minorHAnsi" w:hAnsiTheme="minorHAnsi" w:cstheme="minorHAnsi"/>
          <w:szCs w:val="24"/>
        </w:rPr>
        <w:t>section</w:t>
      </w:r>
      <w:r>
        <w:rPr>
          <w:rFonts w:asciiTheme="minorHAnsi" w:hAnsiTheme="minorHAnsi" w:cstheme="minorHAnsi"/>
          <w:szCs w:val="24"/>
        </w:rPr>
        <w:t xml:space="preserve"> 171(2) by omitting “limited diving work” and substituting “limited scientific diving work”. This amendment corrects an accidental omission of the word “scientific”. </w:t>
      </w:r>
      <w:r w:rsidRPr="00153836">
        <w:rPr>
          <w:rFonts w:asciiTheme="minorHAnsi" w:hAnsiTheme="minorHAnsi" w:cstheme="minorHAnsi"/>
          <w:szCs w:val="24"/>
        </w:rPr>
        <w:t xml:space="preserve"> </w:t>
      </w:r>
    </w:p>
    <w:p w14:paraId="21131DC0" w14:textId="77777777" w:rsidR="00830726" w:rsidRPr="00D91AE0" w:rsidRDefault="00830726" w:rsidP="00830726">
      <w:pPr>
        <w:rPr>
          <w:rFonts w:asciiTheme="minorHAnsi" w:hAnsiTheme="minorHAnsi" w:cstheme="minorHAnsi"/>
          <w:szCs w:val="24"/>
        </w:rPr>
      </w:pPr>
    </w:p>
    <w:p w14:paraId="756917E1"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171 (3)</w:t>
      </w:r>
    </w:p>
    <w:p w14:paraId="5BC5F75E" w14:textId="77777777" w:rsidR="00830726" w:rsidRDefault="00830726" w:rsidP="00830726">
      <w:pPr>
        <w:rPr>
          <w:rFonts w:asciiTheme="minorHAnsi" w:hAnsiTheme="minorHAnsi" w:cstheme="minorHAnsi"/>
          <w:szCs w:val="24"/>
        </w:rPr>
      </w:pPr>
    </w:p>
    <w:p w14:paraId="54AFA8E3" w14:textId="77777777" w:rsidR="00830726" w:rsidRDefault="00830726" w:rsidP="00830726">
      <w:pPr>
        <w:rPr>
          <w:rFonts w:asciiTheme="minorHAnsi" w:hAnsiTheme="minorHAnsi" w:cstheme="minorHAnsi"/>
          <w:szCs w:val="24"/>
        </w:rPr>
      </w:pPr>
      <w:r>
        <w:rPr>
          <w:rFonts w:asciiTheme="minorHAnsi" w:hAnsiTheme="minorHAnsi" w:cstheme="minorHAnsi"/>
          <w:szCs w:val="24"/>
        </w:rPr>
        <w:t xml:space="preserve">This clause omits “AS/NZ 4005.2:2000 (Training and certification of recreational divers) or” from section 171 (3). Recreational diving standard AS/NZ 4005.2 has been withdrawn by Standards Australia. In the absence of a clear equivalent, the relevant competencies for general diving work are specified in the AS/NZS 2815 (Training and certification of occupational divers). </w:t>
      </w:r>
    </w:p>
    <w:p w14:paraId="71EF0133" w14:textId="77777777" w:rsidR="00830726" w:rsidRPr="00060D37" w:rsidRDefault="00830726" w:rsidP="00830726">
      <w:pPr>
        <w:rPr>
          <w:rFonts w:asciiTheme="minorHAnsi" w:hAnsiTheme="minorHAnsi" w:cstheme="minorHAnsi"/>
          <w:szCs w:val="24"/>
        </w:rPr>
      </w:pPr>
    </w:p>
    <w:p w14:paraId="790E0194"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171 (3), note</w:t>
      </w:r>
    </w:p>
    <w:p w14:paraId="295F74F1" w14:textId="2CD6C521" w:rsidR="00830726" w:rsidRDefault="00830726" w:rsidP="00830726">
      <w:pPr>
        <w:rPr>
          <w:rFonts w:asciiTheme="minorHAnsi" w:hAnsiTheme="minorHAnsi" w:cstheme="minorHAnsi"/>
          <w:szCs w:val="24"/>
        </w:rPr>
      </w:pPr>
    </w:p>
    <w:p w14:paraId="46555243" w14:textId="33CC567D" w:rsidR="00A658F8" w:rsidRDefault="0018657E" w:rsidP="00830726">
      <w:pPr>
        <w:rPr>
          <w:rFonts w:asciiTheme="minorHAnsi" w:hAnsiTheme="minorHAnsi" w:cstheme="minorHAnsi"/>
          <w:szCs w:val="24"/>
        </w:rPr>
      </w:pPr>
      <w:r>
        <w:rPr>
          <w:rFonts w:asciiTheme="minorHAnsi" w:hAnsiTheme="minorHAnsi" w:cstheme="minorHAnsi"/>
          <w:szCs w:val="24"/>
        </w:rPr>
        <w:t xml:space="preserve">This clause </w:t>
      </w:r>
      <w:r w:rsidR="00C320A0">
        <w:rPr>
          <w:rFonts w:asciiTheme="minorHAnsi" w:hAnsiTheme="minorHAnsi" w:cstheme="minorHAnsi"/>
          <w:szCs w:val="24"/>
        </w:rPr>
        <w:t>substitutes</w:t>
      </w:r>
      <w:r>
        <w:rPr>
          <w:rFonts w:asciiTheme="minorHAnsi" w:hAnsiTheme="minorHAnsi" w:cstheme="minorHAnsi"/>
          <w:szCs w:val="24"/>
        </w:rPr>
        <w:t xml:space="preserve"> </w:t>
      </w:r>
      <w:r w:rsidR="005407C9">
        <w:rPr>
          <w:rFonts w:asciiTheme="minorHAnsi" w:hAnsiTheme="minorHAnsi" w:cstheme="minorHAnsi"/>
          <w:szCs w:val="24"/>
        </w:rPr>
        <w:t>the note after subsection (3)</w:t>
      </w:r>
      <w:r w:rsidR="00DC21B2">
        <w:rPr>
          <w:rFonts w:asciiTheme="minorHAnsi" w:hAnsiTheme="minorHAnsi" w:cstheme="minorHAnsi"/>
          <w:szCs w:val="24"/>
        </w:rPr>
        <w:t xml:space="preserve"> and is consequential on the amendment in clause 8</w:t>
      </w:r>
      <w:r w:rsidR="009B3CDC">
        <w:rPr>
          <w:rFonts w:asciiTheme="minorHAnsi" w:hAnsiTheme="minorHAnsi" w:cstheme="minorHAnsi"/>
          <w:szCs w:val="24"/>
        </w:rPr>
        <w:t xml:space="preserve">.  </w:t>
      </w:r>
    </w:p>
    <w:p w14:paraId="4E1603DD" w14:textId="77777777" w:rsidR="00830726" w:rsidRPr="00060D37" w:rsidRDefault="00830726" w:rsidP="00830726">
      <w:pPr>
        <w:rPr>
          <w:rFonts w:asciiTheme="minorHAnsi" w:hAnsiTheme="minorHAnsi" w:cstheme="minorHAnsi"/>
          <w:szCs w:val="24"/>
        </w:rPr>
      </w:pPr>
    </w:p>
    <w:p w14:paraId="3D9F059C"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171A heading</w:t>
      </w:r>
    </w:p>
    <w:p w14:paraId="18A700B9" w14:textId="77777777" w:rsidR="00830726" w:rsidRDefault="00830726" w:rsidP="00830726">
      <w:pPr>
        <w:rPr>
          <w:rFonts w:asciiTheme="minorHAnsi" w:hAnsiTheme="minorHAnsi" w:cstheme="minorHAnsi"/>
          <w:szCs w:val="24"/>
        </w:rPr>
      </w:pPr>
    </w:p>
    <w:p w14:paraId="59D384E2" w14:textId="42441F6B" w:rsidR="00830726" w:rsidRDefault="00830726" w:rsidP="00830726">
      <w:pPr>
        <w:rPr>
          <w:rFonts w:asciiTheme="minorHAnsi" w:hAnsiTheme="minorHAnsi" w:cstheme="minorHAnsi"/>
          <w:szCs w:val="24"/>
        </w:rPr>
      </w:pPr>
      <w:r>
        <w:rPr>
          <w:rFonts w:asciiTheme="minorHAnsi" w:hAnsiTheme="minorHAnsi" w:cstheme="minorHAnsi"/>
          <w:szCs w:val="24"/>
        </w:rPr>
        <w:t xml:space="preserve">This clause amends </w:t>
      </w:r>
      <w:r w:rsidR="00DC21B2">
        <w:rPr>
          <w:rFonts w:asciiTheme="minorHAnsi" w:hAnsiTheme="minorHAnsi" w:cstheme="minorHAnsi"/>
          <w:szCs w:val="24"/>
        </w:rPr>
        <w:t>section</w:t>
      </w:r>
      <w:r>
        <w:rPr>
          <w:rFonts w:asciiTheme="minorHAnsi" w:hAnsiTheme="minorHAnsi" w:cstheme="minorHAnsi"/>
          <w:szCs w:val="24"/>
        </w:rPr>
        <w:t xml:space="preserve"> 171A </w:t>
      </w:r>
      <w:r w:rsidR="00C320A0">
        <w:rPr>
          <w:rFonts w:asciiTheme="minorHAnsi" w:hAnsiTheme="minorHAnsi" w:cstheme="minorHAnsi"/>
          <w:szCs w:val="24"/>
        </w:rPr>
        <w:t xml:space="preserve">heading </w:t>
      </w:r>
      <w:r>
        <w:rPr>
          <w:rFonts w:asciiTheme="minorHAnsi" w:hAnsiTheme="minorHAnsi" w:cstheme="minorHAnsi"/>
          <w:szCs w:val="24"/>
        </w:rPr>
        <w:t xml:space="preserve">by </w:t>
      </w:r>
      <w:r w:rsidR="00C320A0">
        <w:rPr>
          <w:rFonts w:asciiTheme="minorHAnsi" w:hAnsiTheme="minorHAnsi" w:cstheme="minorHAnsi"/>
          <w:szCs w:val="24"/>
        </w:rPr>
        <w:t>substituting “Competence of worker – general diving work – knowledge and skill –Act, s 44</w:t>
      </w:r>
      <w:r>
        <w:rPr>
          <w:rFonts w:asciiTheme="minorHAnsi" w:hAnsiTheme="minorHAnsi" w:cstheme="minorHAnsi"/>
          <w:szCs w:val="24"/>
        </w:rPr>
        <w:t xml:space="preserve">”, to reflect that </w:t>
      </w:r>
      <w:r w:rsidR="00DC21B2">
        <w:rPr>
          <w:rFonts w:asciiTheme="minorHAnsi" w:hAnsiTheme="minorHAnsi" w:cstheme="minorHAnsi"/>
          <w:szCs w:val="24"/>
        </w:rPr>
        <w:t>section</w:t>
      </w:r>
      <w:r>
        <w:rPr>
          <w:rFonts w:asciiTheme="minorHAnsi" w:hAnsiTheme="minorHAnsi" w:cstheme="minorHAnsi"/>
          <w:szCs w:val="24"/>
        </w:rPr>
        <w:t xml:space="preserve"> 171A requires that all persons carrying out general diving work must have acquired certain knowledge and skill. </w:t>
      </w:r>
    </w:p>
    <w:p w14:paraId="229DBD7A" w14:textId="77777777" w:rsidR="00830726" w:rsidRPr="00060D37" w:rsidRDefault="00830726" w:rsidP="00830726">
      <w:pPr>
        <w:rPr>
          <w:rFonts w:asciiTheme="minorHAnsi" w:hAnsiTheme="minorHAnsi" w:cstheme="minorHAnsi"/>
          <w:szCs w:val="24"/>
        </w:rPr>
      </w:pPr>
    </w:p>
    <w:p w14:paraId="187AAFF7"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171A (1)</w:t>
      </w:r>
    </w:p>
    <w:p w14:paraId="35BD4483" w14:textId="77777777" w:rsidR="00830726" w:rsidRDefault="00830726" w:rsidP="00830726">
      <w:pPr>
        <w:rPr>
          <w:rFonts w:asciiTheme="minorHAnsi" w:hAnsiTheme="minorHAnsi" w:cstheme="minorHAnsi"/>
          <w:szCs w:val="24"/>
        </w:rPr>
      </w:pPr>
    </w:p>
    <w:p w14:paraId="38FA2EC1" w14:textId="18E858D3" w:rsidR="00830726" w:rsidRDefault="00830726" w:rsidP="00830726">
      <w:pPr>
        <w:rPr>
          <w:rFonts w:asciiTheme="minorHAnsi" w:hAnsiTheme="minorHAnsi" w:cstheme="minorHAnsi"/>
          <w:szCs w:val="24"/>
        </w:rPr>
      </w:pPr>
      <w:r>
        <w:rPr>
          <w:rFonts w:asciiTheme="minorHAnsi" w:hAnsiTheme="minorHAnsi" w:cstheme="minorHAnsi"/>
          <w:szCs w:val="24"/>
        </w:rPr>
        <w:t>This clause amends sub</w:t>
      </w:r>
      <w:r w:rsidR="00DC21B2">
        <w:rPr>
          <w:rFonts w:asciiTheme="minorHAnsi" w:hAnsiTheme="minorHAnsi" w:cstheme="minorHAnsi"/>
          <w:szCs w:val="24"/>
        </w:rPr>
        <w:t>section</w:t>
      </w:r>
      <w:r>
        <w:rPr>
          <w:rFonts w:asciiTheme="minorHAnsi" w:hAnsiTheme="minorHAnsi" w:cstheme="minorHAnsi"/>
          <w:szCs w:val="24"/>
        </w:rPr>
        <w:t xml:space="preserve"> 171A(1) by replacing the words “In addition to regulation 171, a person”, with the words “A person”. Sub</w:t>
      </w:r>
      <w:r w:rsidR="00DC21B2">
        <w:rPr>
          <w:rFonts w:asciiTheme="minorHAnsi" w:hAnsiTheme="minorHAnsi" w:cstheme="minorHAnsi"/>
          <w:szCs w:val="24"/>
        </w:rPr>
        <w:t>section</w:t>
      </w:r>
      <w:r>
        <w:rPr>
          <w:rFonts w:asciiTheme="minorHAnsi" w:hAnsiTheme="minorHAnsi" w:cstheme="minorHAnsi"/>
          <w:szCs w:val="24"/>
        </w:rPr>
        <w:t xml:space="preserve"> 171A(1) requires that all persons carrying out general diving work must have acquired certain knowledge and skill. This amendment clarifies that the knowledge and skill is not always additional to the qualification requirement for general fiving work in </w:t>
      </w:r>
      <w:r w:rsidR="00DC21B2">
        <w:rPr>
          <w:rFonts w:asciiTheme="minorHAnsi" w:hAnsiTheme="minorHAnsi" w:cstheme="minorHAnsi"/>
          <w:szCs w:val="24"/>
        </w:rPr>
        <w:t>section </w:t>
      </w:r>
      <w:r>
        <w:rPr>
          <w:rFonts w:asciiTheme="minorHAnsi" w:hAnsiTheme="minorHAnsi" w:cstheme="minorHAnsi"/>
          <w:szCs w:val="24"/>
        </w:rPr>
        <w:t xml:space="preserve">171(1). </w:t>
      </w:r>
    </w:p>
    <w:p w14:paraId="70E081CB" w14:textId="77777777" w:rsidR="00830726" w:rsidRPr="00060D37" w:rsidRDefault="00830726" w:rsidP="00830726">
      <w:pPr>
        <w:rPr>
          <w:rFonts w:asciiTheme="minorHAnsi" w:hAnsiTheme="minorHAnsi" w:cstheme="minorHAnsi"/>
          <w:szCs w:val="24"/>
        </w:rPr>
      </w:pPr>
    </w:p>
    <w:p w14:paraId="6FE04739" w14:textId="77777777" w:rsidR="00830726" w:rsidRPr="00060D37" w:rsidRDefault="00830726" w:rsidP="00830726">
      <w:pPr>
        <w:pStyle w:val="ListParagraph"/>
        <w:numPr>
          <w:ilvl w:val="0"/>
          <w:numId w:val="12"/>
        </w:numPr>
        <w:rPr>
          <w:rFonts w:asciiTheme="minorHAnsi" w:hAnsiTheme="minorHAnsi" w:cstheme="minorHAnsi"/>
          <w:szCs w:val="24"/>
        </w:rPr>
      </w:pPr>
      <w:r w:rsidRPr="00D91AE0">
        <w:rPr>
          <w:rFonts w:asciiTheme="minorHAnsi" w:hAnsiTheme="minorHAnsi" w:cstheme="minorHAnsi"/>
          <w:b/>
          <w:bCs/>
          <w:szCs w:val="24"/>
        </w:rPr>
        <w:t>Section 171A (2)</w:t>
      </w:r>
    </w:p>
    <w:p w14:paraId="0A1946ED" w14:textId="77777777" w:rsidR="00830726" w:rsidRDefault="00830726" w:rsidP="00830726">
      <w:pPr>
        <w:rPr>
          <w:rFonts w:asciiTheme="minorHAnsi" w:hAnsiTheme="minorHAnsi" w:cstheme="minorHAnsi"/>
          <w:szCs w:val="24"/>
        </w:rPr>
      </w:pPr>
    </w:p>
    <w:p w14:paraId="06C2B743" w14:textId="01346574" w:rsidR="00830726" w:rsidRDefault="00830726" w:rsidP="00830726">
      <w:pPr>
        <w:rPr>
          <w:rFonts w:asciiTheme="minorHAnsi" w:hAnsiTheme="minorHAnsi" w:cstheme="minorHAnsi"/>
          <w:szCs w:val="24"/>
        </w:rPr>
      </w:pPr>
      <w:r>
        <w:rPr>
          <w:rFonts w:asciiTheme="minorHAnsi" w:hAnsiTheme="minorHAnsi" w:cstheme="minorHAnsi"/>
          <w:szCs w:val="24"/>
        </w:rPr>
        <w:t>This clause omits existing sub</w:t>
      </w:r>
      <w:r w:rsidR="00DC21B2">
        <w:rPr>
          <w:rFonts w:asciiTheme="minorHAnsi" w:hAnsiTheme="minorHAnsi" w:cstheme="minorHAnsi"/>
          <w:szCs w:val="24"/>
        </w:rPr>
        <w:t>section</w:t>
      </w:r>
      <w:r>
        <w:rPr>
          <w:rFonts w:asciiTheme="minorHAnsi" w:hAnsiTheme="minorHAnsi" w:cstheme="minorHAnsi"/>
          <w:szCs w:val="24"/>
        </w:rPr>
        <w:t xml:space="preserve"> 171A(2). The wording of existing </w:t>
      </w:r>
      <w:r w:rsidR="00DC21B2">
        <w:rPr>
          <w:rFonts w:asciiTheme="minorHAnsi" w:hAnsiTheme="minorHAnsi" w:cstheme="minorHAnsi"/>
          <w:szCs w:val="24"/>
        </w:rPr>
        <w:t>section </w:t>
      </w:r>
      <w:r>
        <w:rPr>
          <w:rFonts w:asciiTheme="minorHAnsi" w:hAnsiTheme="minorHAnsi" w:cstheme="minorHAnsi"/>
          <w:szCs w:val="24"/>
        </w:rPr>
        <w:t xml:space="preserve">171A(2) exempted incidental diving work and limited scientific diving work </w:t>
      </w:r>
      <w:r>
        <w:rPr>
          <w:rFonts w:asciiTheme="minorHAnsi" w:hAnsiTheme="minorHAnsi" w:cstheme="minorHAnsi"/>
          <w:szCs w:val="24"/>
        </w:rPr>
        <w:lastRenderedPageBreak/>
        <w:t xml:space="preserve">from the knowledge and skill requirement in </w:t>
      </w:r>
      <w:r w:rsidR="00DC21B2">
        <w:rPr>
          <w:rFonts w:asciiTheme="minorHAnsi" w:hAnsiTheme="minorHAnsi" w:cstheme="minorHAnsi"/>
          <w:szCs w:val="24"/>
        </w:rPr>
        <w:t>section</w:t>
      </w:r>
      <w:r>
        <w:rPr>
          <w:rFonts w:asciiTheme="minorHAnsi" w:hAnsiTheme="minorHAnsi" w:cstheme="minorHAnsi"/>
          <w:szCs w:val="24"/>
        </w:rPr>
        <w:t xml:space="preserve"> 171A(1). This was an error and inconsistent with </w:t>
      </w:r>
      <w:r w:rsidR="00DC21B2">
        <w:rPr>
          <w:rFonts w:asciiTheme="minorHAnsi" w:hAnsiTheme="minorHAnsi" w:cstheme="minorHAnsi"/>
          <w:szCs w:val="24"/>
        </w:rPr>
        <w:t>sections</w:t>
      </w:r>
      <w:r>
        <w:rPr>
          <w:rFonts w:asciiTheme="minorHAnsi" w:hAnsiTheme="minorHAnsi" w:cstheme="minorHAnsi"/>
          <w:szCs w:val="24"/>
        </w:rPr>
        <w:t xml:space="preserve"> 172 and 173, which specifically apply the requirements in </w:t>
      </w:r>
      <w:r w:rsidR="00DC21B2">
        <w:rPr>
          <w:rFonts w:asciiTheme="minorHAnsi" w:hAnsiTheme="minorHAnsi" w:cstheme="minorHAnsi"/>
          <w:szCs w:val="24"/>
        </w:rPr>
        <w:t>section</w:t>
      </w:r>
      <w:r>
        <w:rPr>
          <w:rFonts w:asciiTheme="minorHAnsi" w:hAnsiTheme="minorHAnsi" w:cstheme="minorHAnsi"/>
          <w:szCs w:val="24"/>
        </w:rPr>
        <w:t xml:space="preserve"> 171A to incidental diving work and limited scientific diving work. </w:t>
      </w:r>
    </w:p>
    <w:p w14:paraId="76FD2B8D" w14:textId="77777777" w:rsidR="00830726" w:rsidRPr="00060D37" w:rsidRDefault="00830726" w:rsidP="00830726">
      <w:pPr>
        <w:rPr>
          <w:rFonts w:asciiTheme="minorHAnsi" w:hAnsiTheme="minorHAnsi" w:cstheme="minorHAnsi"/>
          <w:szCs w:val="24"/>
        </w:rPr>
      </w:pPr>
    </w:p>
    <w:p w14:paraId="697CB27C" w14:textId="5919DDE9" w:rsidR="00830726" w:rsidRPr="00875875"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173 (1)</w:t>
      </w:r>
      <w:r w:rsidR="00C320A0">
        <w:rPr>
          <w:rFonts w:asciiTheme="minorHAnsi" w:hAnsiTheme="minorHAnsi" w:cstheme="minorHAnsi"/>
          <w:b/>
          <w:bCs/>
          <w:szCs w:val="24"/>
        </w:rPr>
        <w:t xml:space="preserve"> and note</w:t>
      </w:r>
    </w:p>
    <w:p w14:paraId="6FD83F65" w14:textId="77777777" w:rsidR="00830726" w:rsidRDefault="00830726" w:rsidP="00830726">
      <w:pPr>
        <w:rPr>
          <w:rFonts w:asciiTheme="minorHAnsi" w:hAnsiTheme="minorHAnsi" w:cstheme="minorHAnsi"/>
          <w:szCs w:val="24"/>
        </w:rPr>
      </w:pPr>
    </w:p>
    <w:p w14:paraId="56050BAA" w14:textId="04E898B8" w:rsidR="00830726" w:rsidRPr="00875875" w:rsidRDefault="00C320A0" w:rsidP="00830726">
      <w:pPr>
        <w:rPr>
          <w:rFonts w:asciiTheme="minorHAnsi" w:hAnsiTheme="minorHAnsi" w:cstheme="minorHAnsi"/>
          <w:szCs w:val="24"/>
        </w:rPr>
      </w:pPr>
      <w:r w:rsidRPr="000915F7">
        <w:rPr>
          <w:rFonts w:asciiTheme="minorHAnsi" w:hAnsiTheme="minorHAnsi" w:cstheme="minorHAnsi"/>
          <w:szCs w:val="24"/>
        </w:rPr>
        <w:t xml:space="preserve">This clause </w:t>
      </w:r>
      <w:r>
        <w:rPr>
          <w:rFonts w:asciiTheme="minorHAnsi" w:hAnsiTheme="minorHAnsi" w:cstheme="minorHAnsi"/>
          <w:szCs w:val="24"/>
        </w:rPr>
        <w:t>provides that</w:t>
      </w:r>
      <w:r w:rsidR="00830726">
        <w:rPr>
          <w:rFonts w:asciiTheme="minorHAnsi" w:hAnsiTheme="minorHAnsi" w:cstheme="minorHAnsi"/>
          <w:szCs w:val="24"/>
        </w:rPr>
        <w:t xml:space="preserve"> a person must not carry out limited scientific diving work unless they have the training, qualification or experience referred to in </w:t>
      </w:r>
      <w:r w:rsidR="00DC21B2">
        <w:rPr>
          <w:rFonts w:asciiTheme="minorHAnsi" w:hAnsiTheme="minorHAnsi" w:cstheme="minorHAnsi"/>
          <w:szCs w:val="24"/>
        </w:rPr>
        <w:t>section</w:t>
      </w:r>
      <w:r w:rsidR="00830726">
        <w:rPr>
          <w:rFonts w:asciiTheme="minorHAnsi" w:hAnsiTheme="minorHAnsi" w:cstheme="minorHAnsi"/>
          <w:szCs w:val="24"/>
        </w:rPr>
        <w:t xml:space="preserve"> 171A</w:t>
      </w:r>
      <w:r>
        <w:rPr>
          <w:rFonts w:asciiTheme="minorHAnsi" w:hAnsiTheme="minorHAnsi" w:cstheme="minorHAnsi"/>
          <w:szCs w:val="24"/>
        </w:rPr>
        <w:t>, and</w:t>
      </w:r>
      <w:r w:rsidR="00830726">
        <w:rPr>
          <w:rFonts w:asciiTheme="minorHAnsi" w:hAnsiTheme="minorHAnsi" w:cstheme="minorHAnsi"/>
          <w:szCs w:val="24"/>
        </w:rPr>
        <w:t xml:space="preserve"> </w:t>
      </w:r>
      <w:r>
        <w:rPr>
          <w:rFonts w:asciiTheme="minorHAnsi" w:hAnsiTheme="minorHAnsi" w:cstheme="minorHAnsi"/>
          <w:szCs w:val="24"/>
        </w:rPr>
        <w:t xml:space="preserve">if the person is </w:t>
      </w:r>
      <w:r w:rsidR="00830726">
        <w:rPr>
          <w:rFonts w:asciiTheme="minorHAnsi" w:hAnsiTheme="minorHAnsi" w:cstheme="minorHAnsi"/>
          <w:szCs w:val="24"/>
        </w:rPr>
        <w:t>not permanently resident in Australia</w:t>
      </w:r>
      <w:r>
        <w:rPr>
          <w:rFonts w:asciiTheme="minorHAnsi" w:hAnsiTheme="minorHAnsi" w:cstheme="minorHAnsi"/>
          <w:szCs w:val="24"/>
        </w:rPr>
        <w:t xml:space="preserve"> – relevant diving experience, including relevant diving experience obtained outside Australia. </w:t>
      </w:r>
    </w:p>
    <w:p w14:paraId="1A9D49E8" w14:textId="77777777" w:rsidR="00830726" w:rsidRPr="00060D37" w:rsidRDefault="00830726" w:rsidP="00830726">
      <w:pPr>
        <w:rPr>
          <w:rFonts w:asciiTheme="minorHAnsi" w:hAnsiTheme="minorHAnsi" w:cstheme="minorHAnsi"/>
          <w:szCs w:val="24"/>
        </w:rPr>
      </w:pPr>
    </w:p>
    <w:p w14:paraId="1F291842"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Sections 183 and 184</w:t>
      </w:r>
    </w:p>
    <w:p w14:paraId="069460B1" w14:textId="77777777" w:rsidR="00830726" w:rsidRDefault="00830726" w:rsidP="00830726">
      <w:pPr>
        <w:rPr>
          <w:rFonts w:asciiTheme="minorHAnsi" w:hAnsiTheme="minorHAnsi" w:cstheme="minorHAnsi"/>
          <w:szCs w:val="24"/>
        </w:rPr>
      </w:pPr>
    </w:p>
    <w:p w14:paraId="054E0912" w14:textId="51107CF3" w:rsidR="00830726" w:rsidRDefault="00830726" w:rsidP="00830726">
      <w:pPr>
        <w:rPr>
          <w:rFonts w:asciiTheme="minorHAnsi" w:hAnsiTheme="minorHAnsi" w:cstheme="minorHAnsi"/>
          <w:szCs w:val="24"/>
        </w:rPr>
      </w:pPr>
      <w:r>
        <w:rPr>
          <w:rFonts w:asciiTheme="minorHAnsi" w:hAnsiTheme="minorHAnsi" w:cstheme="minorHAnsi"/>
          <w:szCs w:val="24"/>
        </w:rPr>
        <w:t>This clause updates diving standards for high risk diving work by replacing references to “AS/NZS 2299.1:2007” with the most up-to-date standard “AS/NZS 2299.1:2015</w:t>
      </w:r>
      <w:r w:rsidR="003512D6">
        <w:rPr>
          <w:rFonts w:asciiTheme="minorHAnsi" w:hAnsiTheme="minorHAnsi" w:cstheme="minorHAnsi"/>
          <w:szCs w:val="24"/>
        </w:rPr>
        <w:t>”.</w:t>
      </w:r>
    </w:p>
    <w:p w14:paraId="1DBEB5CF" w14:textId="77777777" w:rsidR="00830726" w:rsidRPr="00060D37" w:rsidRDefault="00830726" w:rsidP="00830726">
      <w:pPr>
        <w:rPr>
          <w:rFonts w:asciiTheme="minorHAnsi" w:hAnsiTheme="minorHAnsi" w:cstheme="minorHAnsi"/>
          <w:szCs w:val="24"/>
        </w:rPr>
      </w:pPr>
    </w:p>
    <w:p w14:paraId="38517781"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319 (4)</w:t>
      </w:r>
    </w:p>
    <w:p w14:paraId="28625746" w14:textId="77777777" w:rsidR="00830726" w:rsidRDefault="00830726" w:rsidP="00830726">
      <w:pPr>
        <w:rPr>
          <w:rFonts w:asciiTheme="minorHAnsi" w:hAnsiTheme="minorHAnsi" w:cstheme="minorHAnsi"/>
          <w:szCs w:val="24"/>
        </w:rPr>
      </w:pPr>
    </w:p>
    <w:p w14:paraId="5FBACFE0" w14:textId="5EF49E2F" w:rsidR="00830726" w:rsidRDefault="00830726" w:rsidP="00830726">
      <w:pPr>
        <w:rPr>
          <w:rFonts w:asciiTheme="minorHAnsi" w:hAnsiTheme="minorHAnsi" w:cstheme="minorHAnsi"/>
          <w:szCs w:val="24"/>
        </w:rPr>
      </w:pPr>
      <w:r>
        <w:rPr>
          <w:rFonts w:asciiTheme="minorHAnsi" w:hAnsiTheme="minorHAnsi" w:cstheme="minorHAnsi"/>
          <w:szCs w:val="24"/>
        </w:rPr>
        <w:t>This clause omit</w:t>
      </w:r>
      <w:r w:rsidR="00DC21B2">
        <w:rPr>
          <w:rFonts w:asciiTheme="minorHAnsi" w:hAnsiTheme="minorHAnsi" w:cstheme="minorHAnsi"/>
          <w:szCs w:val="24"/>
        </w:rPr>
        <w:t>s</w:t>
      </w:r>
      <w:r>
        <w:rPr>
          <w:rFonts w:asciiTheme="minorHAnsi" w:hAnsiTheme="minorHAnsi" w:cstheme="minorHAnsi"/>
          <w:szCs w:val="24"/>
        </w:rPr>
        <w:t xml:space="preserve"> subsection (2) (b) (ii) and substitute</w:t>
      </w:r>
      <w:r w:rsidR="00DC21B2">
        <w:rPr>
          <w:rFonts w:asciiTheme="minorHAnsi" w:hAnsiTheme="minorHAnsi" w:cstheme="minorHAnsi"/>
          <w:szCs w:val="24"/>
        </w:rPr>
        <w:t>s it with</w:t>
      </w:r>
      <w:r>
        <w:rPr>
          <w:rFonts w:asciiTheme="minorHAnsi" w:hAnsiTheme="minorHAnsi" w:cstheme="minorHAnsi"/>
          <w:szCs w:val="24"/>
        </w:rPr>
        <w:t xml:space="preserve"> subsection</w:t>
      </w:r>
      <w:r w:rsidR="00DC21B2">
        <w:rPr>
          <w:rFonts w:asciiTheme="minorHAnsi" w:hAnsiTheme="minorHAnsi" w:cstheme="minorHAnsi"/>
          <w:szCs w:val="24"/>
        </w:rPr>
        <w:t> </w:t>
      </w:r>
      <w:r>
        <w:rPr>
          <w:rFonts w:asciiTheme="minorHAnsi" w:hAnsiTheme="minorHAnsi" w:cstheme="minorHAnsi"/>
          <w:szCs w:val="24"/>
        </w:rPr>
        <w:t>(3)</w:t>
      </w:r>
      <w:r w:rsidR="00DC21B2">
        <w:rPr>
          <w:rFonts w:asciiTheme="minorHAnsi" w:hAnsiTheme="minorHAnsi" w:cstheme="minorHAnsi"/>
          <w:szCs w:val="24"/>
        </w:rPr>
        <w:t> </w:t>
      </w:r>
      <w:r>
        <w:rPr>
          <w:rFonts w:asciiTheme="minorHAnsi" w:hAnsiTheme="minorHAnsi" w:cstheme="minorHAnsi"/>
          <w:szCs w:val="24"/>
        </w:rPr>
        <w:t>(b)</w:t>
      </w:r>
      <w:r w:rsidR="00DC21B2">
        <w:rPr>
          <w:rFonts w:asciiTheme="minorHAnsi" w:hAnsiTheme="minorHAnsi" w:cstheme="minorHAnsi"/>
          <w:szCs w:val="24"/>
        </w:rPr>
        <w:t> </w:t>
      </w:r>
      <w:r>
        <w:rPr>
          <w:rFonts w:asciiTheme="minorHAnsi" w:hAnsiTheme="minorHAnsi" w:cstheme="minorHAnsi"/>
          <w:szCs w:val="24"/>
        </w:rPr>
        <w:t xml:space="preserve">(ii). </w:t>
      </w:r>
    </w:p>
    <w:p w14:paraId="1CC5AE1A" w14:textId="77777777" w:rsidR="00830726" w:rsidRPr="00060D37" w:rsidRDefault="00830726" w:rsidP="00830726">
      <w:pPr>
        <w:rPr>
          <w:rFonts w:asciiTheme="minorHAnsi" w:hAnsiTheme="minorHAnsi" w:cstheme="minorHAnsi"/>
          <w:szCs w:val="24"/>
        </w:rPr>
      </w:pPr>
    </w:p>
    <w:p w14:paraId="66B4DA3C"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394 (a)</w:t>
      </w:r>
    </w:p>
    <w:p w14:paraId="432511E1" w14:textId="77777777" w:rsidR="00830726" w:rsidRDefault="00830726" w:rsidP="00830726">
      <w:pPr>
        <w:rPr>
          <w:rFonts w:asciiTheme="minorHAnsi" w:hAnsiTheme="minorHAnsi" w:cstheme="minorHAnsi"/>
          <w:szCs w:val="24"/>
        </w:rPr>
      </w:pPr>
    </w:p>
    <w:p w14:paraId="002BB5AA" w14:textId="77777777"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expressed in sub-regulation 394(1) by omitting “</w:t>
      </w:r>
      <w:r w:rsidRPr="00B24987">
        <w:rPr>
          <w:rFonts w:asciiTheme="minorHAnsi" w:hAnsiTheme="minorHAnsi" w:cstheme="minorHAnsi"/>
          <w:szCs w:val="24"/>
        </w:rPr>
        <w:t>10μg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mol/L)” and substituting “5</w:t>
      </w:r>
      <w:r w:rsidRPr="00B24987">
        <w:rPr>
          <w:rFonts w:asciiTheme="minorHAnsi" w:hAnsiTheme="minorHAnsi" w:cstheme="minorHAnsi"/>
          <w:szCs w:val="24"/>
        </w:rPr>
        <w:t>μg</w:t>
      </w:r>
      <w:r>
        <w:rPr>
          <w:rFonts w:asciiTheme="minorHAnsi" w:hAnsiTheme="minorHAnsi" w:cstheme="minorHAnsi"/>
          <w:szCs w:val="24"/>
        </w:rPr>
        <w:t>/dL (0.24</w:t>
      </w:r>
      <w:r w:rsidRPr="00B24987">
        <w:rPr>
          <w:rFonts w:asciiTheme="minorHAnsi" w:hAnsiTheme="minorHAnsi" w:cstheme="minorHAnsi"/>
          <w:szCs w:val="24"/>
        </w:rPr>
        <w:t>μ</w:t>
      </w:r>
      <w:r>
        <w:rPr>
          <w:rFonts w:asciiTheme="minorHAnsi" w:hAnsiTheme="minorHAnsi" w:cstheme="minorHAnsi"/>
          <w:szCs w:val="24"/>
        </w:rPr>
        <w:t xml:space="preserve">mol/L)”. These new values represent safer blood lead levels identified by current toxicological and epidemiological evidence. The general effect of this regulation is to lower the threshold at which PCBUs have additional duties toward workers undertaking ‘lead risk work’. </w:t>
      </w:r>
    </w:p>
    <w:p w14:paraId="27E4F4D4" w14:textId="77777777" w:rsidR="00830726" w:rsidRPr="00060D37" w:rsidRDefault="00830726" w:rsidP="00830726">
      <w:pPr>
        <w:rPr>
          <w:rFonts w:asciiTheme="minorHAnsi" w:hAnsiTheme="minorHAnsi" w:cstheme="minorHAnsi"/>
          <w:szCs w:val="24"/>
        </w:rPr>
      </w:pPr>
    </w:p>
    <w:p w14:paraId="15913A18"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394 (b)</w:t>
      </w:r>
    </w:p>
    <w:p w14:paraId="7F6E5ABF" w14:textId="77777777" w:rsidR="00830726" w:rsidRDefault="00830726" w:rsidP="00830726">
      <w:pPr>
        <w:rPr>
          <w:rFonts w:asciiTheme="minorHAnsi" w:hAnsiTheme="minorHAnsi" w:cstheme="minorHAnsi"/>
          <w:szCs w:val="24"/>
        </w:rPr>
      </w:pPr>
    </w:p>
    <w:p w14:paraId="479C3BC9" w14:textId="77777777"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expressed in sub-regulation 394(1) by omitting “3</w:t>
      </w:r>
      <w:r w:rsidRPr="00B24987">
        <w:rPr>
          <w:rFonts w:asciiTheme="minorHAnsi" w:hAnsiTheme="minorHAnsi" w:cstheme="minorHAnsi"/>
          <w:szCs w:val="24"/>
        </w:rPr>
        <w:t>0μg</w:t>
      </w:r>
      <w:r>
        <w:rPr>
          <w:rFonts w:asciiTheme="minorHAnsi" w:hAnsiTheme="minorHAnsi" w:cstheme="minorHAnsi"/>
          <w:szCs w:val="24"/>
        </w:rPr>
        <w:t>/dL (1.45</w:t>
      </w:r>
      <w:r w:rsidRPr="00B24987">
        <w:rPr>
          <w:rFonts w:asciiTheme="minorHAnsi" w:hAnsiTheme="minorHAnsi" w:cstheme="minorHAnsi"/>
          <w:szCs w:val="24"/>
        </w:rPr>
        <w:t>μ</w:t>
      </w:r>
      <w:r>
        <w:rPr>
          <w:rFonts w:asciiTheme="minorHAnsi" w:hAnsiTheme="minorHAnsi" w:cstheme="minorHAnsi"/>
          <w:szCs w:val="24"/>
        </w:rPr>
        <w:t>mol/L)” and substituting “20</w:t>
      </w:r>
      <w:r w:rsidRPr="00B24987">
        <w:rPr>
          <w:rFonts w:asciiTheme="minorHAnsi" w:hAnsiTheme="minorHAnsi" w:cstheme="minorHAnsi"/>
          <w:szCs w:val="24"/>
        </w:rPr>
        <w:t>μg</w:t>
      </w:r>
      <w:r>
        <w:rPr>
          <w:rFonts w:asciiTheme="minorHAnsi" w:hAnsiTheme="minorHAnsi" w:cstheme="minorHAnsi"/>
          <w:szCs w:val="24"/>
        </w:rPr>
        <w:t>/dL (0.97</w:t>
      </w:r>
      <w:r w:rsidRPr="00B24987">
        <w:rPr>
          <w:rFonts w:asciiTheme="minorHAnsi" w:hAnsiTheme="minorHAnsi" w:cstheme="minorHAnsi"/>
          <w:szCs w:val="24"/>
        </w:rPr>
        <w:t>μ</w:t>
      </w:r>
      <w:r>
        <w:rPr>
          <w:rFonts w:asciiTheme="minorHAnsi" w:hAnsiTheme="minorHAnsi" w:cstheme="minorHAnsi"/>
          <w:szCs w:val="24"/>
        </w:rPr>
        <w:t xml:space="preserve">mol/L)”. These new values represent safer blood lead levels identified by current toxicological and epidemiological evidence. The general effect of this regulation is to lower the threshold at which PCBUs have additional duties toward workers undertaking ‘lead risk work’. </w:t>
      </w:r>
    </w:p>
    <w:p w14:paraId="4FAE6529" w14:textId="77777777" w:rsidR="00830726" w:rsidRPr="00060D37" w:rsidRDefault="00830726" w:rsidP="00830726">
      <w:pPr>
        <w:rPr>
          <w:rFonts w:asciiTheme="minorHAnsi" w:hAnsiTheme="minorHAnsi" w:cstheme="minorHAnsi"/>
          <w:szCs w:val="24"/>
        </w:rPr>
      </w:pPr>
    </w:p>
    <w:p w14:paraId="706BB93F"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407 (1) (a) (i)</w:t>
      </w:r>
    </w:p>
    <w:p w14:paraId="6FAEA08B" w14:textId="77777777" w:rsidR="00830726" w:rsidRDefault="00830726" w:rsidP="00830726">
      <w:pPr>
        <w:rPr>
          <w:rFonts w:asciiTheme="minorHAnsi" w:hAnsiTheme="minorHAnsi" w:cstheme="minorHAnsi"/>
          <w:szCs w:val="24"/>
        </w:rPr>
      </w:pPr>
    </w:p>
    <w:p w14:paraId="1951DBAD" w14:textId="696559AC"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that determine the required frequency of biological monitoring of workers by omitting “3</w:t>
      </w:r>
      <w:r w:rsidRPr="00B24987">
        <w:rPr>
          <w:rFonts w:asciiTheme="minorHAnsi" w:hAnsiTheme="minorHAnsi" w:cstheme="minorHAnsi"/>
          <w:szCs w:val="24"/>
        </w:rPr>
        <w:t>0μg</w:t>
      </w:r>
      <w:r>
        <w:rPr>
          <w:rFonts w:asciiTheme="minorHAnsi" w:hAnsiTheme="minorHAnsi" w:cstheme="minorHAnsi"/>
          <w:szCs w:val="24"/>
        </w:rPr>
        <w:t>/dL (1.45</w:t>
      </w:r>
      <w:r w:rsidRPr="00B24987">
        <w:rPr>
          <w:rFonts w:asciiTheme="minorHAnsi" w:hAnsiTheme="minorHAnsi" w:cstheme="minorHAnsi"/>
          <w:szCs w:val="24"/>
        </w:rPr>
        <w:t>μ</w:t>
      </w:r>
      <w:r>
        <w:rPr>
          <w:rFonts w:asciiTheme="minorHAnsi" w:hAnsiTheme="minorHAnsi" w:cstheme="minorHAnsi"/>
          <w:szCs w:val="24"/>
        </w:rPr>
        <w:t>mol/L)” and substituting “10</w:t>
      </w:r>
      <w:r w:rsidRPr="00B24987">
        <w:rPr>
          <w:rFonts w:asciiTheme="minorHAnsi" w:hAnsiTheme="minorHAnsi" w:cstheme="minorHAnsi"/>
          <w:szCs w:val="24"/>
        </w:rPr>
        <w:t>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which activates a PCBUs obligation to conduct biological monitoring. </w:t>
      </w:r>
    </w:p>
    <w:p w14:paraId="702E0B33" w14:textId="77777777" w:rsidR="00DC21B2" w:rsidRDefault="00DC21B2" w:rsidP="00830726">
      <w:pPr>
        <w:rPr>
          <w:rFonts w:asciiTheme="minorHAnsi" w:hAnsiTheme="minorHAnsi" w:cstheme="minorHAnsi"/>
          <w:szCs w:val="24"/>
        </w:rPr>
      </w:pPr>
    </w:p>
    <w:p w14:paraId="746533F7" w14:textId="77777777" w:rsidR="00830726" w:rsidRPr="00060D37" w:rsidRDefault="00830726" w:rsidP="00830726">
      <w:pPr>
        <w:rPr>
          <w:rFonts w:asciiTheme="minorHAnsi" w:hAnsiTheme="minorHAnsi" w:cstheme="minorHAnsi"/>
          <w:szCs w:val="24"/>
        </w:rPr>
      </w:pPr>
    </w:p>
    <w:p w14:paraId="69878CCE"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lastRenderedPageBreak/>
        <w:t>Section 407 (1) (a) (ii)</w:t>
      </w:r>
    </w:p>
    <w:p w14:paraId="1031A144" w14:textId="77777777" w:rsidR="00830726" w:rsidRDefault="00830726" w:rsidP="00830726">
      <w:pPr>
        <w:rPr>
          <w:rFonts w:asciiTheme="minorHAnsi" w:hAnsiTheme="minorHAnsi" w:cstheme="minorHAnsi"/>
          <w:szCs w:val="24"/>
        </w:rPr>
      </w:pPr>
    </w:p>
    <w:p w14:paraId="4B54380F" w14:textId="6F792378" w:rsidR="003512D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that determine the required frequency of biological monitoring of workers by omitting “3</w:t>
      </w:r>
      <w:r w:rsidRPr="00B24987">
        <w:rPr>
          <w:rFonts w:asciiTheme="minorHAnsi" w:hAnsiTheme="minorHAnsi" w:cstheme="minorHAnsi"/>
          <w:szCs w:val="24"/>
        </w:rPr>
        <w:t>0μg</w:t>
      </w:r>
      <w:r>
        <w:rPr>
          <w:rFonts w:asciiTheme="minorHAnsi" w:hAnsiTheme="minorHAnsi" w:cstheme="minorHAnsi"/>
          <w:szCs w:val="24"/>
        </w:rPr>
        <w:t>/dL (1.45</w:t>
      </w:r>
      <w:r w:rsidRPr="00B24987">
        <w:rPr>
          <w:rFonts w:asciiTheme="minorHAnsi" w:hAnsiTheme="minorHAnsi" w:cstheme="minorHAnsi"/>
          <w:szCs w:val="24"/>
        </w:rPr>
        <w:t>μ</w:t>
      </w:r>
      <w:r>
        <w:rPr>
          <w:rFonts w:asciiTheme="minorHAnsi" w:hAnsiTheme="minorHAnsi" w:cstheme="minorHAnsi"/>
          <w:szCs w:val="24"/>
        </w:rPr>
        <w:t>mol/L) or more but less than 4</w:t>
      </w:r>
      <w:r w:rsidRPr="00B24987">
        <w:rPr>
          <w:rFonts w:asciiTheme="minorHAnsi" w:hAnsiTheme="minorHAnsi" w:cstheme="minorHAnsi"/>
          <w:szCs w:val="24"/>
        </w:rPr>
        <w:t>0μg</w:t>
      </w:r>
      <w:r>
        <w:rPr>
          <w:rFonts w:asciiTheme="minorHAnsi" w:hAnsiTheme="minorHAnsi" w:cstheme="minorHAnsi"/>
          <w:szCs w:val="24"/>
        </w:rPr>
        <w:t>/dL (1.93</w:t>
      </w:r>
      <w:r w:rsidRPr="00B24987">
        <w:rPr>
          <w:rFonts w:asciiTheme="minorHAnsi" w:hAnsiTheme="minorHAnsi" w:cstheme="minorHAnsi"/>
          <w:szCs w:val="24"/>
        </w:rPr>
        <w:t>μ</w:t>
      </w:r>
      <w:r>
        <w:rPr>
          <w:rFonts w:asciiTheme="minorHAnsi" w:hAnsiTheme="minorHAnsi" w:cstheme="minorHAnsi"/>
          <w:szCs w:val="24"/>
        </w:rPr>
        <w:t xml:space="preserve">mol/L)” and substituting </w:t>
      </w:r>
      <w:r w:rsidR="00DC21B2">
        <w:rPr>
          <w:rFonts w:asciiTheme="minorHAnsi" w:hAnsiTheme="minorHAnsi" w:cstheme="minorHAnsi"/>
          <w:szCs w:val="24"/>
        </w:rPr>
        <w:t xml:space="preserve">with </w:t>
      </w:r>
      <w:r>
        <w:rPr>
          <w:rFonts w:asciiTheme="minorHAnsi" w:hAnsiTheme="minorHAnsi" w:cstheme="minorHAnsi"/>
          <w:szCs w:val="24"/>
        </w:rPr>
        <w:t>“10</w:t>
      </w:r>
      <w:r w:rsidRPr="00B24987">
        <w:rPr>
          <w:rFonts w:asciiTheme="minorHAnsi" w:hAnsiTheme="minorHAnsi" w:cstheme="minorHAnsi"/>
          <w:szCs w:val="24"/>
        </w:rPr>
        <w:t>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mol/L) or more but less than 2</w:t>
      </w:r>
      <w:r w:rsidRPr="00B24987">
        <w:rPr>
          <w:rFonts w:asciiTheme="minorHAnsi" w:hAnsiTheme="minorHAnsi" w:cstheme="minorHAnsi"/>
          <w:szCs w:val="24"/>
        </w:rPr>
        <w:t>0μg</w:t>
      </w:r>
      <w:r>
        <w:rPr>
          <w:rFonts w:asciiTheme="minorHAnsi" w:hAnsiTheme="minorHAnsi" w:cstheme="minorHAnsi"/>
          <w:szCs w:val="24"/>
        </w:rPr>
        <w:t>/dL (0.97</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which activates a PCBUs obligation to conduct biological monitoring. </w:t>
      </w:r>
    </w:p>
    <w:p w14:paraId="33F7ED0B" w14:textId="77777777" w:rsidR="00830726" w:rsidRPr="00060D37" w:rsidRDefault="00830726" w:rsidP="00830726">
      <w:pPr>
        <w:rPr>
          <w:rFonts w:asciiTheme="minorHAnsi" w:hAnsiTheme="minorHAnsi" w:cstheme="minorHAnsi"/>
          <w:szCs w:val="24"/>
        </w:rPr>
      </w:pPr>
    </w:p>
    <w:p w14:paraId="494DA0ED"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407 (1) (a) (iii)</w:t>
      </w:r>
    </w:p>
    <w:p w14:paraId="42238D72" w14:textId="77777777" w:rsidR="00830726" w:rsidRDefault="00830726" w:rsidP="00830726">
      <w:pPr>
        <w:rPr>
          <w:rFonts w:asciiTheme="minorHAnsi" w:hAnsiTheme="minorHAnsi" w:cstheme="minorHAnsi"/>
          <w:szCs w:val="24"/>
        </w:rPr>
      </w:pPr>
    </w:p>
    <w:p w14:paraId="68F63716" w14:textId="4EAECA2D"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that determine the required frequency of biological monitoring of workers by omitting “4</w:t>
      </w:r>
      <w:r w:rsidRPr="00B24987">
        <w:rPr>
          <w:rFonts w:asciiTheme="minorHAnsi" w:hAnsiTheme="minorHAnsi" w:cstheme="minorHAnsi"/>
          <w:szCs w:val="24"/>
        </w:rPr>
        <w:t>0μg</w:t>
      </w:r>
      <w:r>
        <w:rPr>
          <w:rFonts w:asciiTheme="minorHAnsi" w:hAnsiTheme="minorHAnsi" w:cstheme="minorHAnsi"/>
          <w:szCs w:val="24"/>
        </w:rPr>
        <w:t>/dL (1.93</w:t>
      </w:r>
      <w:r w:rsidRPr="00B24987">
        <w:rPr>
          <w:rFonts w:asciiTheme="minorHAnsi" w:hAnsiTheme="minorHAnsi" w:cstheme="minorHAnsi"/>
          <w:szCs w:val="24"/>
        </w:rPr>
        <w:t>μ</w:t>
      </w:r>
      <w:r>
        <w:rPr>
          <w:rFonts w:asciiTheme="minorHAnsi" w:hAnsiTheme="minorHAnsi" w:cstheme="minorHAnsi"/>
          <w:szCs w:val="24"/>
        </w:rPr>
        <w:t>mol/L)” and substituting</w:t>
      </w:r>
      <w:r w:rsidR="00DC21B2">
        <w:rPr>
          <w:rFonts w:asciiTheme="minorHAnsi" w:hAnsiTheme="minorHAnsi" w:cstheme="minorHAnsi"/>
          <w:szCs w:val="24"/>
        </w:rPr>
        <w:t xml:space="preserve"> with</w:t>
      </w:r>
      <w:r>
        <w:rPr>
          <w:rFonts w:asciiTheme="minorHAnsi" w:hAnsiTheme="minorHAnsi" w:cstheme="minorHAnsi"/>
          <w:szCs w:val="24"/>
        </w:rPr>
        <w:t xml:space="preserve"> “20</w:t>
      </w:r>
      <w:r w:rsidRPr="00B24987">
        <w:rPr>
          <w:rFonts w:asciiTheme="minorHAnsi" w:hAnsiTheme="minorHAnsi" w:cstheme="minorHAnsi"/>
          <w:szCs w:val="24"/>
        </w:rPr>
        <w:t>μg</w:t>
      </w:r>
      <w:r>
        <w:rPr>
          <w:rFonts w:asciiTheme="minorHAnsi" w:hAnsiTheme="minorHAnsi" w:cstheme="minorHAnsi"/>
          <w:szCs w:val="24"/>
        </w:rPr>
        <w:t>/dL (0.97</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which activates a PCBUs obligation to conduct biological monitoring. </w:t>
      </w:r>
    </w:p>
    <w:p w14:paraId="48AC3DAE" w14:textId="77777777" w:rsidR="00830726" w:rsidRPr="00060D37" w:rsidRDefault="00830726" w:rsidP="00830726">
      <w:pPr>
        <w:rPr>
          <w:rFonts w:asciiTheme="minorHAnsi" w:hAnsiTheme="minorHAnsi" w:cstheme="minorHAnsi"/>
          <w:szCs w:val="24"/>
        </w:rPr>
      </w:pPr>
    </w:p>
    <w:p w14:paraId="12C70B43"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407 (1) (b) (i)</w:t>
      </w:r>
    </w:p>
    <w:p w14:paraId="7907D504" w14:textId="77777777" w:rsidR="00830726" w:rsidRDefault="00830726" w:rsidP="00830726">
      <w:pPr>
        <w:rPr>
          <w:rFonts w:asciiTheme="minorHAnsi" w:hAnsiTheme="minorHAnsi" w:cstheme="minorHAnsi"/>
          <w:szCs w:val="24"/>
        </w:rPr>
      </w:pPr>
    </w:p>
    <w:p w14:paraId="3C83E5D3" w14:textId="64B7F7EE"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that determine the required frequency of biological monitoring of workers by omitting “1</w:t>
      </w:r>
      <w:r w:rsidRPr="00B24987">
        <w:rPr>
          <w:rFonts w:asciiTheme="minorHAnsi" w:hAnsiTheme="minorHAnsi" w:cstheme="minorHAnsi"/>
          <w:szCs w:val="24"/>
        </w:rPr>
        <w:t>0μg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 xml:space="preserve">mol/L)” and substituting </w:t>
      </w:r>
      <w:r w:rsidR="00DC21B2">
        <w:rPr>
          <w:rFonts w:asciiTheme="minorHAnsi" w:hAnsiTheme="minorHAnsi" w:cstheme="minorHAnsi"/>
          <w:szCs w:val="24"/>
        </w:rPr>
        <w:t xml:space="preserve">with </w:t>
      </w:r>
      <w:r>
        <w:rPr>
          <w:rFonts w:asciiTheme="minorHAnsi" w:hAnsiTheme="minorHAnsi" w:cstheme="minorHAnsi"/>
          <w:szCs w:val="24"/>
        </w:rPr>
        <w:t>“5</w:t>
      </w:r>
      <w:r w:rsidRPr="00B24987">
        <w:rPr>
          <w:rFonts w:asciiTheme="minorHAnsi" w:hAnsiTheme="minorHAnsi" w:cstheme="minorHAnsi"/>
          <w:szCs w:val="24"/>
        </w:rPr>
        <w:t>μg</w:t>
      </w:r>
      <w:r>
        <w:rPr>
          <w:rFonts w:asciiTheme="minorHAnsi" w:hAnsiTheme="minorHAnsi" w:cstheme="minorHAnsi"/>
          <w:szCs w:val="24"/>
        </w:rPr>
        <w:t>/dL (0.24</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which activates a PCBUs obligation to conduct biological monitoring. </w:t>
      </w:r>
    </w:p>
    <w:p w14:paraId="2B14B4BB" w14:textId="77777777" w:rsidR="00830726" w:rsidRPr="00060D37" w:rsidRDefault="00830726" w:rsidP="00830726">
      <w:pPr>
        <w:rPr>
          <w:rFonts w:asciiTheme="minorHAnsi" w:hAnsiTheme="minorHAnsi" w:cstheme="minorHAnsi"/>
          <w:szCs w:val="24"/>
        </w:rPr>
      </w:pPr>
    </w:p>
    <w:p w14:paraId="5466450C"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407 (1) (b) (ii)</w:t>
      </w:r>
    </w:p>
    <w:p w14:paraId="7273B266" w14:textId="77777777" w:rsidR="00830726" w:rsidRDefault="00830726" w:rsidP="00830726">
      <w:pPr>
        <w:rPr>
          <w:rFonts w:asciiTheme="minorHAnsi" w:hAnsiTheme="minorHAnsi" w:cstheme="minorHAnsi"/>
          <w:szCs w:val="24"/>
        </w:rPr>
      </w:pPr>
    </w:p>
    <w:p w14:paraId="5B8FF97A" w14:textId="77777777"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that determine the required frequency of biological monitoring of workers by omitting “1</w:t>
      </w:r>
      <w:r w:rsidRPr="00B24987">
        <w:rPr>
          <w:rFonts w:asciiTheme="minorHAnsi" w:hAnsiTheme="minorHAnsi" w:cstheme="minorHAnsi"/>
          <w:szCs w:val="24"/>
        </w:rPr>
        <w:t>0μg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mol/L)” and substituting “5</w:t>
      </w:r>
      <w:r w:rsidRPr="00B24987">
        <w:rPr>
          <w:rFonts w:asciiTheme="minorHAnsi" w:hAnsiTheme="minorHAnsi" w:cstheme="minorHAnsi"/>
          <w:szCs w:val="24"/>
        </w:rPr>
        <w:t>μg</w:t>
      </w:r>
      <w:r>
        <w:rPr>
          <w:rFonts w:asciiTheme="minorHAnsi" w:hAnsiTheme="minorHAnsi" w:cstheme="minorHAnsi"/>
          <w:szCs w:val="24"/>
        </w:rPr>
        <w:t>/dL (0.24</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which activates a PCBUs obligation to conduct biological monitoring. </w:t>
      </w:r>
    </w:p>
    <w:p w14:paraId="3D629211" w14:textId="77777777" w:rsidR="00830726" w:rsidRPr="00060D37" w:rsidRDefault="00830726" w:rsidP="00830726">
      <w:pPr>
        <w:rPr>
          <w:rFonts w:asciiTheme="minorHAnsi" w:hAnsiTheme="minorHAnsi" w:cstheme="minorHAnsi"/>
          <w:szCs w:val="24"/>
        </w:rPr>
      </w:pPr>
    </w:p>
    <w:p w14:paraId="098A5A5D"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415 (1) (a) (i)</w:t>
      </w:r>
    </w:p>
    <w:p w14:paraId="1BB96081" w14:textId="77777777" w:rsidR="00830726" w:rsidRDefault="00830726" w:rsidP="00830726">
      <w:pPr>
        <w:rPr>
          <w:rFonts w:asciiTheme="minorHAnsi" w:hAnsiTheme="minorHAnsi" w:cstheme="minorHAnsi"/>
          <w:szCs w:val="24"/>
        </w:rPr>
      </w:pPr>
    </w:p>
    <w:p w14:paraId="31B7E99D" w14:textId="144CCC4B"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by omitting “5</w:t>
      </w:r>
      <w:r w:rsidRPr="00B24987">
        <w:rPr>
          <w:rFonts w:asciiTheme="minorHAnsi" w:hAnsiTheme="minorHAnsi" w:cstheme="minorHAnsi"/>
          <w:szCs w:val="24"/>
        </w:rPr>
        <w:t>0μg</w:t>
      </w:r>
      <w:r>
        <w:rPr>
          <w:rFonts w:asciiTheme="minorHAnsi" w:hAnsiTheme="minorHAnsi" w:cstheme="minorHAnsi"/>
          <w:szCs w:val="24"/>
        </w:rPr>
        <w:t>/dL (2.42</w:t>
      </w:r>
      <w:r w:rsidRPr="00B24987">
        <w:rPr>
          <w:rFonts w:asciiTheme="minorHAnsi" w:hAnsiTheme="minorHAnsi" w:cstheme="minorHAnsi"/>
          <w:szCs w:val="24"/>
        </w:rPr>
        <w:t>μ</w:t>
      </w:r>
      <w:r>
        <w:rPr>
          <w:rFonts w:asciiTheme="minorHAnsi" w:hAnsiTheme="minorHAnsi" w:cstheme="minorHAnsi"/>
          <w:szCs w:val="24"/>
        </w:rPr>
        <w:t xml:space="preserve">mol/L)” and substituting </w:t>
      </w:r>
      <w:r w:rsidR="00DC21B2">
        <w:rPr>
          <w:rFonts w:asciiTheme="minorHAnsi" w:hAnsiTheme="minorHAnsi" w:cstheme="minorHAnsi"/>
          <w:szCs w:val="24"/>
        </w:rPr>
        <w:t xml:space="preserve">with </w:t>
      </w:r>
      <w:r>
        <w:rPr>
          <w:rFonts w:asciiTheme="minorHAnsi" w:hAnsiTheme="minorHAnsi" w:cstheme="minorHAnsi"/>
          <w:szCs w:val="24"/>
        </w:rPr>
        <w:t>“30</w:t>
      </w:r>
      <w:r w:rsidRPr="00B24987">
        <w:rPr>
          <w:rFonts w:asciiTheme="minorHAnsi" w:hAnsiTheme="minorHAnsi" w:cstheme="minorHAnsi"/>
          <w:szCs w:val="24"/>
        </w:rPr>
        <w:t>μg</w:t>
      </w:r>
      <w:r>
        <w:rPr>
          <w:rFonts w:asciiTheme="minorHAnsi" w:hAnsiTheme="minorHAnsi" w:cstheme="minorHAnsi"/>
          <w:szCs w:val="24"/>
        </w:rPr>
        <w:t>/dL (1.45</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at which a PCBU must remove a worker from undertaking lead risk work. </w:t>
      </w:r>
    </w:p>
    <w:p w14:paraId="778A0113" w14:textId="77777777" w:rsidR="00830726" w:rsidRPr="00060D37" w:rsidRDefault="00830726" w:rsidP="00830726">
      <w:pPr>
        <w:rPr>
          <w:rFonts w:asciiTheme="minorHAnsi" w:hAnsiTheme="minorHAnsi" w:cstheme="minorHAnsi"/>
          <w:szCs w:val="24"/>
        </w:rPr>
      </w:pPr>
    </w:p>
    <w:p w14:paraId="04583C54"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415 (1) (a) (ii) and (iii)</w:t>
      </w:r>
    </w:p>
    <w:p w14:paraId="480F10E5" w14:textId="77777777" w:rsidR="00830726" w:rsidRDefault="00830726" w:rsidP="00830726">
      <w:pPr>
        <w:rPr>
          <w:rFonts w:asciiTheme="minorHAnsi" w:hAnsiTheme="minorHAnsi" w:cstheme="minorHAnsi"/>
          <w:szCs w:val="24"/>
        </w:rPr>
      </w:pPr>
    </w:p>
    <w:p w14:paraId="05080BBE" w14:textId="77777777"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by substituting “(ii) for females not of reproductive capacity – 10</w:t>
      </w:r>
      <w:r w:rsidRPr="00B24987">
        <w:rPr>
          <w:rFonts w:asciiTheme="minorHAnsi" w:hAnsiTheme="minorHAnsi" w:cstheme="minorHAnsi"/>
          <w:szCs w:val="24"/>
        </w:rPr>
        <w:t>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 xml:space="preserve">mol/L)”.  The effect of this amendment is to lower the threshold at which a PCBU must remove a worker from undertaking lead risk work. The amended blood lead levels also apply to </w:t>
      </w:r>
      <w:r>
        <w:rPr>
          <w:rFonts w:asciiTheme="minorHAnsi" w:hAnsiTheme="minorHAnsi" w:cstheme="minorHAnsi"/>
          <w:szCs w:val="24"/>
        </w:rPr>
        <w:lastRenderedPageBreak/>
        <w:t xml:space="preserve">females who are pregnant or breastfeeding. This clause provides to omit paragraph 415(1)(a)(iii). </w:t>
      </w:r>
    </w:p>
    <w:p w14:paraId="20B736BE" w14:textId="77777777" w:rsidR="00830726" w:rsidRPr="00060D37" w:rsidRDefault="00830726" w:rsidP="00830726">
      <w:pPr>
        <w:rPr>
          <w:rFonts w:asciiTheme="minorHAnsi" w:hAnsiTheme="minorHAnsi" w:cstheme="minorHAnsi"/>
          <w:szCs w:val="24"/>
        </w:rPr>
      </w:pPr>
    </w:p>
    <w:p w14:paraId="2FBBCBC6"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417 (3) (a) (i)</w:t>
      </w:r>
    </w:p>
    <w:p w14:paraId="52853FF9" w14:textId="77777777" w:rsidR="00830726" w:rsidRDefault="00830726" w:rsidP="00830726">
      <w:pPr>
        <w:rPr>
          <w:rFonts w:asciiTheme="minorHAnsi" w:hAnsiTheme="minorHAnsi" w:cstheme="minorHAnsi"/>
          <w:szCs w:val="24"/>
        </w:rPr>
      </w:pPr>
    </w:p>
    <w:p w14:paraId="5CF41383" w14:textId="6CF3BC43" w:rsidR="00830726"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by omitting “4</w:t>
      </w:r>
      <w:r w:rsidRPr="00B24987">
        <w:rPr>
          <w:rFonts w:asciiTheme="minorHAnsi" w:hAnsiTheme="minorHAnsi" w:cstheme="minorHAnsi"/>
          <w:szCs w:val="24"/>
        </w:rPr>
        <w:t>0μg</w:t>
      </w:r>
      <w:r>
        <w:rPr>
          <w:rFonts w:asciiTheme="minorHAnsi" w:hAnsiTheme="minorHAnsi" w:cstheme="minorHAnsi"/>
          <w:szCs w:val="24"/>
        </w:rPr>
        <w:t>/dL (1.93</w:t>
      </w:r>
      <w:r w:rsidRPr="00B24987">
        <w:rPr>
          <w:rFonts w:asciiTheme="minorHAnsi" w:hAnsiTheme="minorHAnsi" w:cstheme="minorHAnsi"/>
          <w:szCs w:val="24"/>
        </w:rPr>
        <w:t>μ</w:t>
      </w:r>
      <w:r>
        <w:rPr>
          <w:rFonts w:asciiTheme="minorHAnsi" w:hAnsiTheme="minorHAnsi" w:cstheme="minorHAnsi"/>
          <w:szCs w:val="24"/>
        </w:rPr>
        <w:t xml:space="preserve">mol/L)” and substituting </w:t>
      </w:r>
      <w:r w:rsidR="00DC21B2">
        <w:rPr>
          <w:rFonts w:asciiTheme="minorHAnsi" w:hAnsiTheme="minorHAnsi" w:cstheme="minorHAnsi"/>
          <w:szCs w:val="24"/>
        </w:rPr>
        <w:t xml:space="preserve">with </w:t>
      </w:r>
      <w:r>
        <w:rPr>
          <w:rFonts w:asciiTheme="minorHAnsi" w:hAnsiTheme="minorHAnsi" w:cstheme="minorHAnsi"/>
          <w:szCs w:val="24"/>
        </w:rPr>
        <w:t>“2</w:t>
      </w:r>
      <w:r w:rsidRPr="00B24987">
        <w:rPr>
          <w:rFonts w:asciiTheme="minorHAnsi" w:hAnsiTheme="minorHAnsi" w:cstheme="minorHAnsi"/>
          <w:szCs w:val="24"/>
        </w:rPr>
        <w:t>0μg</w:t>
      </w:r>
      <w:r>
        <w:rPr>
          <w:rFonts w:asciiTheme="minorHAnsi" w:hAnsiTheme="minorHAnsi" w:cstheme="minorHAnsi"/>
          <w:szCs w:val="24"/>
        </w:rPr>
        <w:t>/dL (0.97</w:t>
      </w:r>
      <w:r w:rsidRPr="00B24987">
        <w:rPr>
          <w:rFonts w:asciiTheme="minorHAnsi" w:hAnsiTheme="minorHAnsi" w:cstheme="minorHAnsi"/>
          <w:szCs w:val="24"/>
        </w:rPr>
        <w:t>μ</w:t>
      </w:r>
      <w:r>
        <w:rPr>
          <w:rFonts w:asciiTheme="minorHAnsi" w:hAnsiTheme="minorHAnsi" w:cstheme="minorHAnsi"/>
          <w:szCs w:val="24"/>
        </w:rPr>
        <w:t xml:space="preserve">mol/L)”. The amendment has the effect of lowering the threshold at which workers may return to carrying out lead risk work after being removed under Regulation 415. </w:t>
      </w:r>
    </w:p>
    <w:p w14:paraId="1A9D838D" w14:textId="77777777" w:rsidR="00830726" w:rsidRPr="00060D37" w:rsidRDefault="00830726" w:rsidP="00830726">
      <w:pPr>
        <w:rPr>
          <w:rFonts w:asciiTheme="minorHAnsi" w:hAnsiTheme="minorHAnsi" w:cstheme="minorHAnsi"/>
          <w:szCs w:val="24"/>
        </w:rPr>
      </w:pPr>
    </w:p>
    <w:p w14:paraId="27CC6E79"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Section 417 (3) (a) (ii)</w:t>
      </w:r>
    </w:p>
    <w:p w14:paraId="68B6DEE9" w14:textId="77777777" w:rsidR="00830726" w:rsidRDefault="00830726" w:rsidP="00830726">
      <w:pPr>
        <w:rPr>
          <w:rFonts w:asciiTheme="minorHAnsi" w:hAnsiTheme="minorHAnsi" w:cstheme="minorHAnsi"/>
          <w:szCs w:val="24"/>
        </w:rPr>
      </w:pPr>
    </w:p>
    <w:p w14:paraId="4A92915F" w14:textId="1C21D2FA" w:rsidR="00830726" w:rsidRPr="00060D37" w:rsidRDefault="00830726" w:rsidP="00830726">
      <w:pPr>
        <w:rPr>
          <w:rFonts w:asciiTheme="minorHAnsi" w:hAnsiTheme="minorHAnsi" w:cstheme="minorHAnsi"/>
          <w:szCs w:val="24"/>
        </w:rPr>
      </w:pPr>
      <w:r>
        <w:rPr>
          <w:rFonts w:asciiTheme="minorHAnsi" w:hAnsiTheme="minorHAnsi" w:cstheme="minorHAnsi"/>
          <w:szCs w:val="24"/>
        </w:rPr>
        <w:t>This clause provides for amendments to replace the blood lead levels by omitting “1</w:t>
      </w:r>
      <w:r w:rsidRPr="00B24987">
        <w:rPr>
          <w:rFonts w:asciiTheme="minorHAnsi" w:hAnsiTheme="minorHAnsi" w:cstheme="minorHAnsi"/>
          <w:szCs w:val="24"/>
        </w:rPr>
        <w:t>0μg</w:t>
      </w:r>
      <w:r>
        <w:rPr>
          <w:rFonts w:asciiTheme="minorHAnsi" w:hAnsiTheme="minorHAnsi" w:cstheme="minorHAnsi"/>
          <w:szCs w:val="24"/>
        </w:rPr>
        <w:t>/dL (0.48</w:t>
      </w:r>
      <w:r w:rsidRPr="00B24987">
        <w:rPr>
          <w:rFonts w:asciiTheme="minorHAnsi" w:hAnsiTheme="minorHAnsi" w:cstheme="minorHAnsi"/>
          <w:szCs w:val="24"/>
        </w:rPr>
        <w:t>μ</w:t>
      </w:r>
      <w:r>
        <w:rPr>
          <w:rFonts w:asciiTheme="minorHAnsi" w:hAnsiTheme="minorHAnsi" w:cstheme="minorHAnsi"/>
          <w:szCs w:val="24"/>
        </w:rPr>
        <w:t xml:space="preserve">mol/L)” and substituting </w:t>
      </w:r>
      <w:r w:rsidR="00DC21B2">
        <w:rPr>
          <w:rFonts w:asciiTheme="minorHAnsi" w:hAnsiTheme="minorHAnsi" w:cstheme="minorHAnsi"/>
          <w:szCs w:val="24"/>
        </w:rPr>
        <w:t xml:space="preserve">with </w:t>
      </w:r>
      <w:r>
        <w:rPr>
          <w:rFonts w:asciiTheme="minorHAnsi" w:hAnsiTheme="minorHAnsi" w:cstheme="minorHAnsi"/>
          <w:szCs w:val="24"/>
        </w:rPr>
        <w:t>“5</w:t>
      </w:r>
      <w:r w:rsidRPr="00B24987">
        <w:rPr>
          <w:rFonts w:asciiTheme="minorHAnsi" w:hAnsiTheme="minorHAnsi" w:cstheme="minorHAnsi"/>
          <w:szCs w:val="24"/>
        </w:rPr>
        <w:t>μg</w:t>
      </w:r>
      <w:r>
        <w:rPr>
          <w:rFonts w:asciiTheme="minorHAnsi" w:hAnsiTheme="minorHAnsi" w:cstheme="minorHAnsi"/>
          <w:szCs w:val="24"/>
        </w:rPr>
        <w:t>/dL (0.24</w:t>
      </w:r>
      <w:r w:rsidRPr="00B24987">
        <w:rPr>
          <w:rFonts w:asciiTheme="minorHAnsi" w:hAnsiTheme="minorHAnsi" w:cstheme="minorHAnsi"/>
          <w:szCs w:val="24"/>
        </w:rPr>
        <w:t>μ</w:t>
      </w:r>
      <w:r>
        <w:rPr>
          <w:rFonts w:asciiTheme="minorHAnsi" w:hAnsiTheme="minorHAnsi" w:cstheme="minorHAnsi"/>
          <w:szCs w:val="24"/>
        </w:rPr>
        <w:t>mol/L)”. The amendment has the effect of lowering the threshold at which workers may return to carrying out lead risk work after being removed under Regulation 415.</w:t>
      </w:r>
    </w:p>
    <w:p w14:paraId="73DFC599" w14:textId="77777777" w:rsidR="00830726" w:rsidRPr="00060D37" w:rsidRDefault="00830726" w:rsidP="00830726">
      <w:pPr>
        <w:rPr>
          <w:rFonts w:asciiTheme="minorHAnsi" w:hAnsiTheme="minorHAnsi" w:cstheme="minorHAnsi"/>
          <w:szCs w:val="24"/>
        </w:rPr>
      </w:pPr>
    </w:p>
    <w:p w14:paraId="6AAC617C"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New section 502 (3)</w:t>
      </w:r>
    </w:p>
    <w:p w14:paraId="7224C941" w14:textId="77777777" w:rsidR="00830726" w:rsidRDefault="00830726" w:rsidP="00830726">
      <w:pPr>
        <w:rPr>
          <w:rFonts w:asciiTheme="minorHAnsi" w:hAnsiTheme="minorHAnsi" w:cstheme="minorHAnsi"/>
          <w:szCs w:val="24"/>
        </w:rPr>
      </w:pPr>
    </w:p>
    <w:p w14:paraId="0849C272" w14:textId="23414CEA" w:rsidR="00830726" w:rsidRDefault="00830726" w:rsidP="00830726">
      <w:pPr>
        <w:rPr>
          <w:rFonts w:asciiTheme="minorHAnsi" w:hAnsiTheme="minorHAnsi" w:cstheme="minorHAnsi"/>
          <w:szCs w:val="24"/>
        </w:rPr>
      </w:pPr>
      <w:r>
        <w:rPr>
          <w:rFonts w:asciiTheme="minorHAnsi" w:hAnsiTheme="minorHAnsi" w:cstheme="minorHAnsi"/>
          <w:szCs w:val="24"/>
        </w:rPr>
        <w:t xml:space="preserve">This clause inserts a new section at 502(3). A licence under this part includes a condition that the licensee agree that </w:t>
      </w:r>
      <w:r w:rsidR="003512D6">
        <w:rPr>
          <w:rFonts w:asciiTheme="minorHAnsi" w:hAnsiTheme="minorHAnsi" w:cstheme="minorHAnsi"/>
          <w:szCs w:val="24"/>
        </w:rPr>
        <w:t xml:space="preserve">information about </w:t>
      </w:r>
      <w:r>
        <w:rPr>
          <w:rFonts w:asciiTheme="minorHAnsi" w:hAnsiTheme="minorHAnsi" w:cstheme="minorHAnsi"/>
          <w:szCs w:val="24"/>
        </w:rPr>
        <w:t>an infringement notice</w:t>
      </w:r>
      <w:r w:rsidR="003512D6">
        <w:rPr>
          <w:rFonts w:asciiTheme="minorHAnsi" w:hAnsiTheme="minorHAnsi" w:cstheme="minorHAnsi"/>
          <w:szCs w:val="24"/>
        </w:rPr>
        <w:t xml:space="preserve"> issued </w:t>
      </w:r>
      <w:r>
        <w:rPr>
          <w:rFonts w:asciiTheme="minorHAnsi" w:hAnsiTheme="minorHAnsi" w:cstheme="minorHAnsi"/>
          <w:szCs w:val="24"/>
        </w:rPr>
        <w:t xml:space="preserve">against the licensee </w:t>
      </w:r>
      <w:r w:rsidR="003512D6">
        <w:rPr>
          <w:rFonts w:asciiTheme="minorHAnsi" w:hAnsiTheme="minorHAnsi" w:cstheme="minorHAnsi"/>
          <w:szCs w:val="24"/>
        </w:rPr>
        <w:t xml:space="preserve">under the </w:t>
      </w:r>
      <w:r w:rsidR="003512D6" w:rsidRPr="000915F7">
        <w:rPr>
          <w:rFonts w:asciiTheme="minorHAnsi" w:hAnsiTheme="minorHAnsi" w:cstheme="minorHAnsi"/>
          <w:i/>
          <w:iCs/>
          <w:szCs w:val="24"/>
        </w:rPr>
        <w:t>Magistrates Court (Work Health and Safety Infringement Notices) Regulation 2011</w:t>
      </w:r>
      <w:r w:rsidR="003512D6">
        <w:rPr>
          <w:rFonts w:asciiTheme="minorHAnsi" w:hAnsiTheme="minorHAnsi" w:cstheme="minorHAnsi"/>
          <w:szCs w:val="24"/>
        </w:rPr>
        <w:t xml:space="preserve"> </w:t>
      </w:r>
      <w:r>
        <w:rPr>
          <w:rFonts w:asciiTheme="minorHAnsi" w:hAnsiTheme="minorHAnsi" w:cstheme="minorHAnsi"/>
          <w:szCs w:val="24"/>
        </w:rPr>
        <w:t xml:space="preserve">be included on a public register </w:t>
      </w:r>
      <w:r w:rsidR="003512D6">
        <w:rPr>
          <w:rFonts w:asciiTheme="minorHAnsi" w:hAnsiTheme="minorHAnsi" w:cstheme="minorHAnsi"/>
          <w:szCs w:val="24"/>
        </w:rPr>
        <w:t>in accordance</w:t>
      </w:r>
      <w:r>
        <w:rPr>
          <w:rFonts w:asciiTheme="minorHAnsi" w:hAnsiTheme="minorHAnsi" w:cstheme="minorHAnsi"/>
          <w:szCs w:val="24"/>
        </w:rPr>
        <w:t xml:space="preserve"> section 698A. </w:t>
      </w:r>
    </w:p>
    <w:p w14:paraId="10B53E66" w14:textId="77777777" w:rsidR="00830726" w:rsidRPr="00060D37" w:rsidRDefault="00830726" w:rsidP="00830726">
      <w:pPr>
        <w:rPr>
          <w:rFonts w:asciiTheme="minorHAnsi" w:hAnsiTheme="minorHAnsi" w:cstheme="minorHAnsi"/>
          <w:szCs w:val="24"/>
        </w:rPr>
      </w:pPr>
    </w:p>
    <w:p w14:paraId="14277E43"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New section 584 (3)</w:t>
      </w:r>
    </w:p>
    <w:p w14:paraId="4A239473" w14:textId="77777777" w:rsidR="00830726" w:rsidRDefault="00830726" w:rsidP="00830726">
      <w:pPr>
        <w:rPr>
          <w:rFonts w:asciiTheme="minorHAnsi" w:hAnsiTheme="minorHAnsi" w:cstheme="minorHAnsi"/>
          <w:szCs w:val="24"/>
        </w:rPr>
      </w:pPr>
    </w:p>
    <w:p w14:paraId="75498B24" w14:textId="77777777" w:rsidR="003512D6" w:rsidRDefault="00830726" w:rsidP="003512D6">
      <w:pPr>
        <w:rPr>
          <w:rFonts w:asciiTheme="minorHAnsi" w:hAnsiTheme="minorHAnsi" w:cstheme="minorHAnsi"/>
          <w:szCs w:val="24"/>
        </w:rPr>
      </w:pPr>
      <w:r>
        <w:rPr>
          <w:rFonts w:asciiTheme="minorHAnsi" w:hAnsiTheme="minorHAnsi" w:cstheme="minorHAnsi"/>
          <w:szCs w:val="24"/>
        </w:rPr>
        <w:t xml:space="preserve">This clause inserts a new section at 584 (3). </w:t>
      </w:r>
      <w:r w:rsidR="003512D6">
        <w:rPr>
          <w:rFonts w:asciiTheme="minorHAnsi" w:hAnsiTheme="minorHAnsi" w:cstheme="minorHAnsi"/>
          <w:szCs w:val="24"/>
        </w:rPr>
        <w:t xml:space="preserve">A licence under this part includes a condition that the licensee agree that information about an infringement notice issued against the licensee under the </w:t>
      </w:r>
      <w:r w:rsidR="003512D6" w:rsidRPr="00633C92">
        <w:rPr>
          <w:rFonts w:asciiTheme="minorHAnsi" w:hAnsiTheme="minorHAnsi" w:cstheme="minorHAnsi"/>
          <w:i/>
          <w:iCs/>
          <w:szCs w:val="24"/>
        </w:rPr>
        <w:t>Magistrates Court (Work Health and Safety Infringement Notices) Regulation 2011</w:t>
      </w:r>
      <w:r w:rsidR="003512D6">
        <w:rPr>
          <w:rFonts w:asciiTheme="minorHAnsi" w:hAnsiTheme="minorHAnsi" w:cstheme="minorHAnsi"/>
          <w:szCs w:val="24"/>
        </w:rPr>
        <w:t xml:space="preserve"> be included on a public register in accordance section 698A. </w:t>
      </w:r>
    </w:p>
    <w:p w14:paraId="53072CB3" w14:textId="77777777" w:rsidR="00830726" w:rsidRPr="00060D37" w:rsidRDefault="00830726" w:rsidP="00830726">
      <w:pPr>
        <w:rPr>
          <w:rFonts w:asciiTheme="minorHAnsi" w:hAnsiTheme="minorHAnsi" w:cstheme="minorHAnsi"/>
          <w:szCs w:val="24"/>
        </w:rPr>
      </w:pPr>
    </w:p>
    <w:p w14:paraId="554AA3B2"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New part 11.2A</w:t>
      </w:r>
    </w:p>
    <w:p w14:paraId="2B76C73F" w14:textId="77777777" w:rsidR="00830726" w:rsidRDefault="00830726" w:rsidP="00830726">
      <w:pPr>
        <w:rPr>
          <w:rFonts w:asciiTheme="minorHAnsi" w:hAnsiTheme="minorHAnsi" w:cstheme="minorHAnsi"/>
          <w:szCs w:val="24"/>
        </w:rPr>
      </w:pPr>
    </w:p>
    <w:p w14:paraId="10466BC0" w14:textId="569648CC" w:rsidR="00A658F8" w:rsidRPr="00006C99" w:rsidRDefault="00830726" w:rsidP="00830726">
      <w:pPr>
        <w:rPr>
          <w:rFonts w:asciiTheme="minorHAnsi" w:hAnsiTheme="minorHAnsi" w:cstheme="minorHAnsi"/>
        </w:rPr>
      </w:pPr>
      <w:r w:rsidRPr="00EB0ABB">
        <w:rPr>
          <w:rFonts w:asciiTheme="minorHAnsi" w:hAnsiTheme="minorHAnsi" w:cstheme="minorHAnsi"/>
        </w:rPr>
        <w:t>This clause inserts a new part 11.2A</w:t>
      </w:r>
      <w:r w:rsidR="00A658F8">
        <w:rPr>
          <w:rFonts w:asciiTheme="minorHAnsi" w:hAnsiTheme="minorHAnsi" w:cstheme="minorHAnsi"/>
        </w:rPr>
        <w:t xml:space="preserve"> to establish </w:t>
      </w:r>
      <w:r w:rsidR="003512D6">
        <w:rPr>
          <w:rFonts w:asciiTheme="minorHAnsi" w:hAnsiTheme="minorHAnsi" w:cstheme="minorHAnsi"/>
        </w:rPr>
        <w:t>a</w:t>
      </w:r>
      <w:r w:rsidR="00A658F8">
        <w:rPr>
          <w:rFonts w:asciiTheme="minorHAnsi" w:hAnsiTheme="minorHAnsi" w:cstheme="minorHAnsi"/>
        </w:rPr>
        <w:t xml:space="preserve"> public register </w:t>
      </w:r>
      <w:r w:rsidR="00DC21B2">
        <w:rPr>
          <w:rFonts w:asciiTheme="minorHAnsi" w:hAnsiTheme="minorHAnsi" w:cstheme="minorHAnsi"/>
        </w:rPr>
        <w:t xml:space="preserve">of licence holders that will include information about </w:t>
      </w:r>
      <w:r w:rsidR="003512D6">
        <w:rPr>
          <w:rFonts w:asciiTheme="minorHAnsi" w:hAnsiTheme="minorHAnsi" w:cstheme="minorHAnsi"/>
        </w:rPr>
        <w:t xml:space="preserve">an infringement notice issued to a licensee under the </w:t>
      </w:r>
      <w:r w:rsidR="003512D6" w:rsidRPr="00633C92">
        <w:rPr>
          <w:rFonts w:asciiTheme="minorHAnsi" w:hAnsiTheme="minorHAnsi" w:cstheme="minorHAnsi"/>
          <w:i/>
          <w:iCs/>
          <w:szCs w:val="24"/>
        </w:rPr>
        <w:t>Magistrates Court (Work Health and Safety Infringement Notices) Regulation 2011</w:t>
      </w:r>
      <w:r w:rsidR="00006C99">
        <w:rPr>
          <w:rFonts w:asciiTheme="minorHAnsi" w:hAnsiTheme="minorHAnsi" w:cstheme="minorHAnsi"/>
          <w:i/>
          <w:iCs/>
          <w:szCs w:val="24"/>
        </w:rPr>
        <w:t xml:space="preserve">, </w:t>
      </w:r>
      <w:r w:rsidR="00006C99" w:rsidRPr="000915F7">
        <w:rPr>
          <w:rFonts w:asciiTheme="minorHAnsi" w:hAnsiTheme="minorHAnsi" w:cstheme="minorHAnsi"/>
          <w:szCs w:val="24"/>
        </w:rPr>
        <w:t xml:space="preserve">in accordance with a guideline determined by the Minister. </w:t>
      </w:r>
    </w:p>
    <w:p w14:paraId="3A2057CC" w14:textId="77777777" w:rsidR="00830726" w:rsidRPr="00060D37" w:rsidRDefault="00830726" w:rsidP="00830726">
      <w:pPr>
        <w:rPr>
          <w:rFonts w:asciiTheme="minorHAnsi" w:hAnsiTheme="minorHAnsi" w:cstheme="minorHAnsi"/>
          <w:szCs w:val="24"/>
        </w:rPr>
      </w:pPr>
    </w:p>
    <w:p w14:paraId="05D502FB" w14:textId="77777777" w:rsidR="00830726" w:rsidRPr="00060D3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 xml:space="preserve">Dictionary, definition of </w:t>
      </w:r>
      <w:r w:rsidRPr="00153836">
        <w:rPr>
          <w:rFonts w:asciiTheme="minorHAnsi" w:hAnsiTheme="minorHAnsi" w:cstheme="minorHAnsi"/>
          <w:b/>
          <w:bCs/>
          <w:i/>
          <w:iCs/>
          <w:szCs w:val="24"/>
        </w:rPr>
        <w:t>exposure standard</w:t>
      </w:r>
    </w:p>
    <w:p w14:paraId="57E010CD" w14:textId="77777777" w:rsidR="00830726" w:rsidRDefault="00830726" w:rsidP="00830726">
      <w:pPr>
        <w:rPr>
          <w:rFonts w:asciiTheme="minorHAnsi" w:hAnsiTheme="minorHAnsi" w:cstheme="minorHAnsi"/>
          <w:szCs w:val="24"/>
        </w:rPr>
      </w:pPr>
    </w:p>
    <w:p w14:paraId="49F17C76" w14:textId="7DA62E8C" w:rsidR="00830726" w:rsidRDefault="00006C99" w:rsidP="00830726">
      <w:pPr>
        <w:rPr>
          <w:rFonts w:asciiTheme="minorHAnsi" w:hAnsiTheme="minorHAnsi" w:cstheme="minorHAnsi"/>
          <w:szCs w:val="24"/>
        </w:rPr>
      </w:pPr>
      <w:r>
        <w:rPr>
          <w:rFonts w:asciiTheme="minorHAnsi" w:hAnsiTheme="minorHAnsi" w:cstheme="minorHAnsi"/>
          <w:szCs w:val="24"/>
        </w:rPr>
        <w:t xml:space="preserve">This clause provides for the definition of “exposure standard” as “except in part 4.1 (Noise), means an exposure standard declared by the Minister under section 48A.” </w:t>
      </w:r>
      <w:r w:rsidR="00DC21B2">
        <w:rPr>
          <w:rFonts w:asciiTheme="minorHAnsi" w:hAnsiTheme="minorHAnsi" w:cstheme="minorHAnsi"/>
          <w:szCs w:val="24"/>
        </w:rPr>
        <w:t>and is consequential on the new section in clause 4.</w:t>
      </w:r>
    </w:p>
    <w:p w14:paraId="4C4F2E8B" w14:textId="77777777" w:rsidR="00006C99" w:rsidRPr="00060D37" w:rsidRDefault="00006C99" w:rsidP="00830726">
      <w:pPr>
        <w:rPr>
          <w:rFonts w:asciiTheme="minorHAnsi" w:hAnsiTheme="minorHAnsi" w:cstheme="minorHAnsi"/>
          <w:szCs w:val="24"/>
        </w:rPr>
      </w:pPr>
    </w:p>
    <w:p w14:paraId="50409B99" w14:textId="14B95773" w:rsidR="00830726" w:rsidRPr="000915F7" w:rsidRDefault="00830726" w:rsidP="00830726">
      <w:pPr>
        <w:pStyle w:val="ListParagraph"/>
        <w:numPr>
          <w:ilvl w:val="0"/>
          <w:numId w:val="12"/>
        </w:numPr>
        <w:rPr>
          <w:rFonts w:asciiTheme="minorHAnsi" w:hAnsiTheme="minorHAnsi" w:cstheme="minorHAnsi"/>
          <w:szCs w:val="24"/>
        </w:rPr>
      </w:pPr>
      <w:r w:rsidRPr="00153836">
        <w:rPr>
          <w:rFonts w:asciiTheme="minorHAnsi" w:hAnsiTheme="minorHAnsi" w:cstheme="minorHAnsi"/>
          <w:b/>
          <w:bCs/>
          <w:szCs w:val="24"/>
        </w:rPr>
        <w:t xml:space="preserve">Dictionary, definition of </w:t>
      </w:r>
      <w:r w:rsidRPr="00153836">
        <w:rPr>
          <w:rFonts w:asciiTheme="minorHAnsi" w:hAnsiTheme="minorHAnsi" w:cstheme="minorHAnsi"/>
          <w:b/>
          <w:bCs/>
          <w:i/>
          <w:iCs/>
          <w:szCs w:val="24"/>
        </w:rPr>
        <w:t>fitness criteria</w:t>
      </w:r>
      <w:r w:rsidRPr="00153836">
        <w:rPr>
          <w:rFonts w:asciiTheme="minorHAnsi" w:hAnsiTheme="minorHAnsi" w:cstheme="minorHAnsi"/>
          <w:b/>
          <w:bCs/>
          <w:szCs w:val="24"/>
        </w:rPr>
        <w:t xml:space="preserve"> and note</w:t>
      </w:r>
    </w:p>
    <w:p w14:paraId="255C9F29" w14:textId="32D97ED4" w:rsidR="00006C99" w:rsidRDefault="00006C99" w:rsidP="00006C99">
      <w:pPr>
        <w:rPr>
          <w:rFonts w:asciiTheme="minorHAnsi" w:hAnsiTheme="minorHAnsi" w:cstheme="minorHAnsi"/>
          <w:szCs w:val="24"/>
        </w:rPr>
      </w:pPr>
    </w:p>
    <w:p w14:paraId="2D53DD11" w14:textId="68843A77" w:rsidR="00006C99" w:rsidRPr="000915F7" w:rsidRDefault="00006C99" w:rsidP="000915F7">
      <w:pPr>
        <w:rPr>
          <w:rFonts w:asciiTheme="minorHAnsi" w:hAnsiTheme="minorHAnsi" w:cstheme="minorHAnsi"/>
          <w:szCs w:val="24"/>
        </w:rPr>
      </w:pPr>
      <w:r>
        <w:rPr>
          <w:rFonts w:asciiTheme="minorHAnsi" w:hAnsiTheme="minorHAnsi" w:cstheme="minorHAnsi"/>
          <w:szCs w:val="24"/>
        </w:rPr>
        <w:t>This clause provides for the definition of “fitness criteria” to omit “AS/NZS 2299.1:2007” and substitute</w:t>
      </w:r>
      <w:r w:rsidR="00DC21B2">
        <w:rPr>
          <w:rFonts w:asciiTheme="minorHAnsi" w:hAnsiTheme="minorHAnsi" w:cstheme="minorHAnsi"/>
          <w:szCs w:val="24"/>
        </w:rPr>
        <w:t xml:space="preserve"> with</w:t>
      </w:r>
      <w:r>
        <w:rPr>
          <w:rFonts w:asciiTheme="minorHAnsi" w:hAnsiTheme="minorHAnsi" w:cstheme="minorHAnsi"/>
          <w:szCs w:val="24"/>
        </w:rPr>
        <w:t xml:space="preserve"> “AS/NZS 2299.1:2015”.</w:t>
      </w:r>
    </w:p>
    <w:p w14:paraId="599E2987" w14:textId="77777777" w:rsidR="00830726" w:rsidRPr="00153836" w:rsidRDefault="00830726" w:rsidP="00830726">
      <w:pPr>
        <w:rPr>
          <w:rFonts w:asciiTheme="minorHAnsi" w:hAnsiTheme="minorHAnsi" w:cstheme="minorHAnsi"/>
          <w:szCs w:val="24"/>
        </w:rPr>
      </w:pPr>
    </w:p>
    <w:p w14:paraId="23ABFDEE" w14:textId="77777777" w:rsidR="00830726" w:rsidRPr="00153836" w:rsidRDefault="00830726" w:rsidP="00830726">
      <w:pPr>
        <w:rPr>
          <w:rFonts w:asciiTheme="minorHAnsi" w:hAnsiTheme="minorHAnsi" w:cstheme="minorHAnsi"/>
          <w:b/>
          <w:bCs/>
          <w:szCs w:val="24"/>
        </w:rPr>
      </w:pPr>
    </w:p>
    <w:p w14:paraId="27DE3B24" w14:textId="77777777" w:rsidR="006815C9" w:rsidRDefault="006815C9"/>
    <w:sectPr w:rsidR="006815C9"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260B" w14:textId="77777777" w:rsidR="00DA2139" w:rsidRDefault="00DA2139" w:rsidP="006815C9">
      <w:r>
        <w:separator/>
      </w:r>
    </w:p>
  </w:endnote>
  <w:endnote w:type="continuationSeparator" w:id="0">
    <w:p w14:paraId="72C4F11A" w14:textId="77777777" w:rsidR="00DA2139" w:rsidRDefault="00DA2139"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6CF5" w14:textId="77777777" w:rsidR="00F8149D" w:rsidRDefault="00F8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5583" w14:textId="007CC999" w:rsidR="00F8149D" w:rsidRPr="00037923" w:rsidRDefault="00037923" w:rsidP="00037923">
    <w:pPr>
      <w:pStyle w:val="Footer"/>
      <w:jc w:val="center"/>
      <w:rPr>
        <w:rFonts w:cs="Arial"/>
        <w:sz w:val="14"/>
      </w:rPr>
    </w:pPr>
    <w:r w:rsidRPr="000379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F5C1" w14:textId="77777777" w:rsidR="00F8149D" w:rsidRDefault="00F8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B5FE" w14:textId="77777777" w:rsidR="00DA2139" w:rsidRDefault="00DA2139" w:rsidP="006815C9">
      <w:r>
        <w:separator/>
      </w:r>
    </w:p>
  </w:footnote>
  <w:footnote w:type="continuationSeparator" w:id="0">
    <w:p w14:paraId="176E2B18" w14:textId="77777777" w:rsidR="00DA2139" w:rsidRDefault="00DA2139"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01B8" w14:textId="77777777" w:rsidR="00F8149D" w:rsidRDefault="00F8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EA057" w14:textId="77777777" w:rsidR="00F8149D" w:rsidRDefault="00F8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CF4D" w14:textId="77777777" w:rsidR="00F8149D" w:rsidRDefault="00F8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A12BA5"/>
    <w:multiLevelType w:val="hybridMultilevel"/>
    <w:tmpl w:val="047C78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D6C1602"/>
    <w:multiLevelType w:val="hybridMultilevel"/>
    <w:tmpl w:val="E8E41994"/>
    <w:lvl w:ilvl="0" w:tplc="39B8B73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14EFC"/>
    <w:multiLevelType w:val="hybridMultilevel"/>
    <w:tmpl w:val="DBC6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D3143"/>
    <w:multiLevelType w:val="hybridMultilevel"/>
    <w:tmpl w:val="05ECAA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9D146C"/>
    <w:multiLevelType w:val="hybridMultilevel"/>
    <w:tmpl w:val="5E403562"/>
    <w:lvl w:ilvl="0" w:tplc="0EB6C56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5C7FF1"/>
    <w:multiLevelType w:val="hybridMultilevel"/>
    <w:tmpl w:val="8ECCB9D0"/>
    <w:lvl w:ilvl="0" w:tplc="2410D23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D1CA8"/>
    <w:multiLevelType w:val="hybridMultilevel"/>
    <w:tmpl w:val="2BB4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A43AE5"/>
    <w:multiLevelType w:val="hybridMultilevel"/>
    <w:tmpl w:val="2F52D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9A49B2"/>
    <w:multiLevelType w:val="hybridMultilevel"/>
    <w:tmpl w:val="D364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F00475"/>
    <w:multiLevelType w:val="hybridMultilevel"/>
    <w:tmpl w:val="335A7534"/>
    <w:lvl w:ilvl="0" w:tplc="39B8B73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785C65"/>
    <w:multiLevelType w:val="hybridMultilevel"/>
    <w:tmpl w:val="B1DE2F66"/>
    <w:lvl w:ilvl="0" w:tplc="F6E678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9" w15:restartNumberingAfterBreak="0">
    <w:nsid w:val="634D41BE"/>
    <w:multiLevelType w:val="hybridMultilevel"/>
    <w:tmpl w:val="A028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6EB90F0D"/>
    <w:multiLevelType w:val="hybridMultilevel"/>
    <w:tmpl w:val="205A8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875AC1"/>
    <w:multiLevelType w:val="hybridMultilevel"/>
    <w:tmpl w:val="E1C4A192"/>
    <w:lvl w:ilvl="0" w:tplc="FEFCB504">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5F7879"/>
    <w:multiLevelType w:val="hybridMultilevel"/>
    <w:tmpl w:val="20B4D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544DD6"/>
    <w:multiLevelType w:val="hybridMultilevel"/>
    <w:tmpl w:val="B5F6340C"/>
    <w:lvl w:ilvl="0" w:tplc="9182AF08">
      <w:start w:val="1"/>
      <w:numFmt w:val="decimal"/>
      <w:lvlText w:val="Clause %1"/>
      <w:lvlJc w:val="left"/>
      <w:pPr>
        <w:ind w:left="360" w:hanging="360"/>
      </w:pPr>
      <w:rPr>
        <w:rFonts w:hint="default"/>
        <w:b/>
        <w:bCs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2D2D96"/>
    <w:multiLevelType w:val="hybridMultilevel"/>
    <w:tmpl w:val="05A4C82C"/>
    <w:lvl w:ilvl="0" w:tplc="39B8B734">
      <w:numFmt w:val="bullet"/>
      <w:lvlText w:val="•"/>
      <w:lvlJc w:val="left"/>
      <w:pPr>
        <w:ind w:left="1140" w:hanging="720"/>
      </w:pPr>
      <w:rPr>
        <w:rFonts w:ascii="Calibri" w:eastAsia="Times New Roman" w:hAnsi="Calibri" w:cs="Calibri"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13"/>
  </w:num>
  <w:num w:numId="5">
    <w:abstractNumId w:val="20"/>
  </w:num>
  <w:num w:numId="6">
    <w:abstractNumId w:val="2"/>
  </w:num>
  <w:num w:numId="7">
    <w:abstractNumId w:val="11"/>
  </w:num>
  <w:num w:numId="8">
    <w:abstractNumId w:val="12"/>
  </w:num>
  <w:num w:numId="9">
    <w:abstractNumId w:val="18"/>
  </w:num>
  <w:num w:numId="10">
    <w:abstractNumId w:val="17"/>
  </w:num>
  <w:num w:numId="11">
    <w:abstractNumId w:val="1"/>
  </w:num>
  <w:num w:numId="12">
    <w:abstractNumId w:val="24"/>
  </w:num>
  <w:num w:numId="13">
    <w:abstractNumId w:val="21"/>
  </w:num>
  <w:num w:numId="14">
    <w:abstractNumId w:val="19"/>
  </w:num>
  <w:num w:numId="15">
    <w:abstractNumId w:val="14"/>
  </w:num>
  <w:num w:numId="16">
    <w:abstractNumId w:val="7"/>
  </w:num>
  <w:num w:numId="17">
    <w:abstractNumId w:val="8"/>
  </w:num>
  <w:num w:numId="18">
    <w:abstractNumId w:val="9"/>
  </w:num>
  <w:num w:numId="19">
    <w:abstractNumId w:val="15"/>
  </w:num>
  <w:num w:numId="20">
    <w:abstractNumId w:val="23"/>
  </w:num>
  <w:num w:numId="21">
    <w:abstractNumId w:val="22"/>
  </w:num>
  <w:num w:numId="22">
    <w:abstractNumId w:val="10"/>
  </w:num>
  <w:num w:numId="23">
    <w:abstractNumId w:val="6"/>
  </w:num>
  <w:num w:numId="24">
    <w:abstractNumId w:val="4"/>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4BC9"/>
    <w:rsid w:val="00006C99"/>
    <w:rsid w:val="00023577"/>
    <w:rsid w:val="00037923"/>
    <w:rsid w:val="00040E22"/>
    <w:rsid w:val="00047BF2"/>
    <w:rsid w:val="000612FB"/>
    <w:rsid w:val="00071A51"/>
    <w:rsid w:val="000915F7"/>
    <w:rsid w:val="00091D34"/>
    <w:rsid w:val="000B7049"/>
    <w:rsid w:val="000C3361"/>
    <w:rsid w:val="00107E31"/>
    <w:rsid w:val="00171D95"/>
    <w:rsid w:val="0018657E"/>
    <w:rsid w:val="0021296C"/>
    <w:rsid w:val="002724D7"/>
    <w:rsid w:val="00275CA9"/>
    <w:rsid w:val="003512D6"/>
    <w:rsid w:val="00355227"/>
    <w:rsid w:val="003C04CB"/>
    <w:rsid w:val="003D7B7B"/>
    <w:rsid w:val="00471AC1"/>
    <w:rsid w:val="00492703"/>
    <w:rsid w:val="004C478C"/>
    <w:rsid w:val="004D7B9B"/>
    <w:rsid w:val="005407C9"/>
    <w:rsid w:val="005A75F0"/>
    <w:rsid w:val="005F45A6"/>
    <w:rsid w:val="00602EED"/>
    <w:rsid w:val="00673158"/>
    <w:rsid w:val="006815C9"/>
    <w:rsid w:val="006D1B6D"/>
    <w:rsid w:val="006E7046"/>
    <w:rsid w:val="006F27B3"/>
    <w:rsid w:val="00730C60"/>
    <w:rsid w:val="007341DD"/>
    <w:rsid w:val="00736A67"/>
    <w:rsid w:val="007B6782"/>
    <w:rsid w:val="007C3095"/>
    <w:rsid w:val="00830726"/>
    <w:rsid w:val="008511EC"/>
    <w:rsid w:val="00855C85"/>
    <w:rsid w:val="008F2FE1"/>
    <w:rsid w:val="00931D47"/>
    <w:rsid w:val="00941E77"/>
    <w:rsid w:val="00964DEC"/>
    <w:rsid w:val="00982787"/>
    <w:rsid w:val="009B2825"/>
    <w:rsid w:val="009B3CDC"/>
    <w:rsid w:val="00A2161A"/>
    <w:rsid w:val="00A34178"/>
    <w:rsid w:val="00A40EC2"/>
    <w:rsid w:val="00A658F8"/>
    <w:rsid w:val="00A71AEB"/>
    <w:rsid w:val="00A91428"/>
    <w:rsid w:val="00AA0292"/>
    <w:rsid w:val="00AD0719"/>
    <w:rsid w:val="00B75DB7"/>
    <w:rsid w:val="00B82D95"/>
    <w:rsid w:val="00BE3F56"/>
    <w:rsid w:val="00C1618B"/>
    <w:rsid w:val="00C320A0"/>
    <w:rsid w:val="00CE26C7"/>
    <w:rsid w:val="00D20850"/>
    <w:rsid w:val="00DA00D2"/>
    <w:rsid w:val="00DA2139"/>
    <w:rsid w:val="00DA5E5F"/>
    <w:rsid w:val="00DB4C17"/>
    <w:rsid w:val="00DC21B2"/>
    <w:rsid w:val="00DC2925"/>
    <w:rsid w:val="00DD3D27"/>
    <w:rsid w:val="00DF3090"/>
    <w:rsid w:val="00ED4B17"/>
    <w:rsid w:val="00F03023"/>
    <w:rsid w:val="00F139EF"/>
    <w:rsid w:val="00F5371D"/>
    <w:rsid w:val="00F8149D"/>
    <w:rsid w:val="00FC0C15"/>
    <w:rsid w:val="00FC7C74"/>
    <w:rsid w:val="00FE2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EFF3"/>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830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26"/>
    <w:rPr>
      <w:rFonts w:ascii="Segoe UI" w:hAnsi="Segoe UI" w:cs="Segoe UI"/>
      <w:sz w:val="18"/>
      <w:szCs w:val="18"/>
      <w:lang w:eastAsia="en-US"/>
    </w:rPr>
  </w:style>
  <w:style w:type="paragraph" w:styleId="ListParagraph">
    <w:name w:val="List Paragraph"/>
    <w:basedOn w:val="Normal"/>
    <w:uiPriority w:val="34"/>
    <w:qFormat/>
    <w:rsid w:val="00830726"/>
    <w:pPr>
      <w:ind w:left="720"/>
      <w:contextualSpacing/>
    </w:pPr>
  </w:style>
  <w:style w:type="character" w:styleId="CommentReference">
    <w:name w:val="annotation reference"/>
    <w:basedOn w:val="DefaultParagraphFont"/>
    <w:uiPriority w:val="99"/>
    <w:semiHidden/>
    <w:unhideWhenUsed/>
    <w:rsid w:val="00830726"/>
    <w:rPr>
      <w:sz w:val="16"/>
      <w:szCs w:val="16"/>
    </w:rPr>
  </w:style>
  <w:style w:type="paragraph" w:styleId="CommentText">
    <w:name w:val="annotation text"/>
    <w:basedOn w:val="Normal"/>
    <w:link w:val="CommentTextChar"/>
    <w:uiPriority w:val="99"/>
    <w:semiHidden/>
    <w:unhideWhenUsed/>
    <w:rsid w:val="00830726"/>
    <w:rPr>
      <w:sz w:val="20"/>
    </w:rPr>
  </w:style>
  <w:style w:type="character" w:customStyle="1" w:styleId="CommentTextChar">
    <w:name w:val="Comment Text Char"/>
    <w:basedOn w:val="DefaultParagraphFont"/>
    <w:link w:val="CommentText"/>
    <w:uiPriority w:val="99"/>
    <w:semiHidden/>
    <w:rsid w:val="00830726"/>
    <w:rPr>
      <w:lang w:eastAsia="en-US"/>
    </w:rPr>
  </w:style>
  <w:style w:type="paragraph" w:customStyle="1" w:styleId="ESText">
    <w:name w:val="ES_Text"/>
    <w:basedOn w:val="Normal"/>
    <w:rsid w:val="00830726"/>
    <w:pPr>
      <w:spacing w:line="280" w:lineRule="exact"/>
    </w:pPr>
  </w:style>
  <w:style w:type="paragraph" w:styleId="CommentSubject">
    <w:name w:val="annotation subject"/>
    <w:basedOn w:val="CommentText"/>
    <w:next w:val="CommentText"/>
    <w:link w:val="CommentSubjectChar"/>
    <w:uiPriority w:val="99"/>
    <w:semiHidden/>
    <w:unhideWhenUsed/>
    <w:rsid w:val="00DA00D2"/>
    <w:rPr>
      <w:b/>
      <w:bCs/>
    </w:rPr>
  </w:style>
  <w:style w:type="character" w:customStyle="1" w:styleId="CommentSubjectChar">
    <w:name w:val="Comment Subject Char"/>
    <w:basedOn w:val="CommentTextChar"/>
    <w:link w:val="CommentSubject"/>
    <w:uiPriority w:val="99"/>
    <w:semiHidden/>
    <w:rsid w:val="00DA00D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3244</Words>
  <Characters>17622</Characters>
  <Application>Microsoft Office Word</Application>
  <DocSecurity>0</DocSecurity>
  <Lines>449</Lines>
  <Paragraphs>144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2020-06-30T06:09:00Z</dcterms:created>
  <dcterms:modified xsi:type="dcterms:W3CDTF">2020-06-30T06:10:00Z</dcterms:modified>
</cp:coreProperties>
</file>