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FF81993" w14:textId="77777777" w:rsidR="00B10644" w:rsidRPr="00A511E0" w:rsidRDefault="00B10644" w:rsidP="00B10644">
      <w:pPr>
        <w:spacing w:after="0" w:line="240" w:lineRule="auto"/>
        <w:rPr>
          <w:b/>
          <w:bCs/>
          <w:szCs w:val="24"/>
        </w:rPr>
      </w:pPr>
      <w:bookmarkStart w:id="0" w:name="_GoBack"/>
      <w:bookmarkEnd w:id="0"/>
    </w:p>
    <w:p w14:paraId="0BF9DA4C" w14:textId="77777777" w:rsidR="00B10644" w:rsidRPr="00A511E0" w:rsidRDefault="00B10644" w:rsidP="00B10644">
      <w:pPr>
        <w:spacing w:after="0" w:line="240" w:lineRule="auto"/>
        <w:rPr>
          <w:b/>
          <w:bCs/>
          <w:szCs w:val="24"/>
        </w:rPr>
      </w:pPr>
    </w:p>
    <w:p w14:paraId="0B3858D3" w14:textId="77777777" w:rsidR="00B10644" w:rsidRPr="00A511E0" w:rsidRDefault="00B10644" w:rsidP="00B10644">
      <w:pPr>
        <w:autoSpaceDE w:val="0"/>
        <w:autoSpaceDN w:val="0"/>
        <w:adjustRightInd w:val="0"/>
        <w:spacing w:before="240" w:after="120"/>
        <w:jc w:val="center"/>
        <w:rPr>
          <w:b/>
          <w:bCs/>
          <w:szCs w:val="24"/>
        </w:rPr>
      </w:pPr>
    </w:p>
    <w:p w14:paraId="0BB44782" w14:textId="4423F317" w:rsidR="00B10644" w:rsidRPr="00A511E0" w:rsidRDefault="00DB5FAF" w:rsidP="00B10644">
      <w:pPr>
        <w:autoSpaceDE w:val="0"/>
        <w:autoSpaceDN w:val="0"/>
        <w:adjustRightInd w:val="0"/>
        <w:spacing w:before="240" w:after="120"/>
        <w:jc w:val="center"/>
        <w:rPr>
          <w:b/>
          <w:bCs/>
          <w:szCs w:val="24"/>
        </w:rPr>
      </w:pPr>
      <w:r w:rsidRPr="00A511E0">
        <w:rPr>
          <w:b/>
          <w:bCs/>
          <w:szCs w:val="24"/>
        </w:rPr>
        <w:t>20</w:t>
      </w:r>
      <w:r>
        <w:rPr>
          <w:b/>
          <w:bCs/>
          <w:szCs w:val="24"/>
        </w:rPr>
        <w:t>20</w:t>
      </w:r>
    </w:p>
    <w:p w14:paraId="1E280A30" w14:textId="77777777" w:rsidR="00B10644" w:rsidRPr="00A511E0" w:rsidRDefault="00B10644" w:rsidP="00B10644">
      <w:pPr>
        <w:autoSpaceDE w:val="0"/>
        <w:autoSpaceDN w:val="0"/>
        <w:adjustRightInd w:val="0"/>
        <w:spacing w:before="240" w:after="120"/>
        <w:jc w:val="center"/>
        <w:rPr>
          <w:b/>
          <w:bCs/>
          <w:szCs w:val="24"/>
        </w:rPr>
      </w:pPr>
    </w:p>
    <w:p w14:paraId="011BA39D" w14:textId="77777777" w:rsidR="00B10644" w:rsidRPr="00A511E0" w:rsidRDefault="00B10644" w:rsidP="00B10644">
      <w:pPr>
        <w:autoSpaceDE w:val="0"/>
        <w:autoSpaceDN w:val="0"/>
        <w:adjustRightInd w:val="0"/>
        <w:spacing w:before="240" w:after="120"/>
        <w:rPr>
          <w:b/>
          <w:bCs/>
          <w:szCs w:val="24"/>
        </w:rPr>
      </w:pPr>
    </w:p>
    <w:p w14:paraId="1C607F26" w14:textId="77777777" w:rsidR="00B10644" w:rsidRPr="00A511E0" w:rsidRDefault="00B10644" w:rsidP="00B10644">
      <w:pPr>
        <w:autoSpaceDE w:val="0"/>
        <w:autoSpaceDN w:val="0"/>
        <w:adjustRightInd w:val="0"/>
        <w:spacing w:before="240" w:after="120"/>
        <w:rPr>
          <w:b/>
          <w:bCs/>
          <w:szCs w:val="24"/>
        </w:rPr>
      </w:pPr>
    </w:p>
    <w:p w14:paraId="3CFAA8BA" w14:textId="77777777" w:rsidR="00B10644" w:rsidRPr="00A511E0" w:rsidRDefault="00B10644" w:rsidP="00B10644">
      <w:pPr>
        <w:autoSpaceDE w:val="0"/>
        <w:autoSpaceDN w:val="0"/>
        <w:adjustRightInd w:val="0"/>
        <w:spacing w:before="240" w:after="120"/>
        <w:jc w:val="center"/>
        <w:rPr>
          <w:b/>
          <w:bCs/>
          <w:szCs w:val="24"/>
        </w:rPr>
      </w:pPr>
      <w:r w:rsidRPr="00A511E0">
        <w:rPr>
          <w:b/>
          <w:bCs/>
          <w:szCs w:val="24"/>
        </w:rPr>
        <w:t>LEGISLATIVE ASSEMBLY FOR THE</w:t>
      </w:r>
    </w:p>
    <w:p w14:paraId="7727B754" w14:textId="77777777" w:rsidR="00B10644" w:rsidRPr="00A511E0" w:rsidRDefault="00B10644" w:rsidP="00B10644">
      <w:pPr>
        <w:autoSpaceDE w:val="0"/>
        <w:autoSpaceDN w:val="0"/>
        <w:adjustRightInd w:val="0"/>
        <w:spacing w:before="240" w:after="120"/>
        <w:jc w:val="center"/>
        <w:rPr>
          <w:b/>
          <w:bCs/>
          <w:szCs w:val="24"/>
        </w:rPr>
      </w:pPr>
      <w:r w:rsidRPr="00A511E0">
        <w:rPr>
          <w:b/>
          <w:bCs/>
          <w:szCs w:val="24"/>
        </w:rPr>
        <w:t>AUSTRALIAN CAPITAL TERRITORY</w:t>
      </w:r>
    </w:p>
    <w:p w14:paraId="49B10C3F" w14:textId="77777777" w:rsidR="00B10644" w:rsidRPr="00A511E0" w:rsidRDefault="00B10644" w:rsidP="00B10644">
      <w:pPr>
        <w:autoSpaceDE w:val="0"/>
        <w:autoSpaceDN w:val="0"/>
        <w:adjustRightInd w:val="0"/>
        <w:spacing w:before="240" w:after="120"/>
        <w:rPr>
          <w:b/>
          <w:bCs/>
          <w:szCs w:val="24"/>
        </w:rPr>
      </w:pPr>
    </w:p>
    <w:p w14:paraId="282FBB1C" w14:textId="77777777" w:rsidR="00B10644" w:rsidRPr="00A511E0" w:rsidRDefault="00B10644" w:rsidP="00B10644">
      <w:pPr>
        <w:autoSpaceDE w:val="0"/>
        <w:autoSpaceDN w:val="0"/>
        <w:adjustRightInd w:val="0"/>
        <w:spacing w:before="240" w:after="120"/>
        <w:jc w:val="center"/>
        <w:rPr>
          <w:b/>
          <w:bCs/>
          <w:szCs w:val="24"/>
        </w:rPr>
      </w:pPr>
    </w:p>
    <w:p w14:paraId="4A29DC11" w14:textId="354FDB29" w:rsidR="00B10644" w:rsidRPr="00A511E0" w:rsidRDefault="00B10644" w:rsidP="00B10644">
      <w:pPr>
        <w:spacing w:before="240" w:after="120"/>
        <w:jc w:val="center"/>
        <w:rPr>
          <w:b/>
          <w:bCs/>
          <w:caps/>
          <w:szCs w:val="24"/>
        </w:rPr>
      </w:pPr>
      <w:r w:rsidRPr="00A511E0">
        <w:rPr>
          <w:b/>
          <w:bCs/>
          <w:caps/>
          <w:szCs w:val="24"/>
        </w:rPr>
        <w:t xml:space="preserve">Royal </w:t>
      </w:r>
      <w:r w:rsidRPr="009D6787">
        <w:rPr>
          <w:b/>
          <w:bCs/>
          <w:caps/>
          <w:szCs w:val="24"/>
        </w:rPr>
        <w:t>Commission Criminal Justice Legislation</w:t>
      </w:r>
      <w:r w:rsidRPr="00A511E0">
        <w:rPr>
          <w:b/>
          <w:bCs/>
          <w:caps/>
          <w:szCs w:val="24"/>
        </w:rPr>
        <w:t xml:space="preserve"> Amendment Bill </w:t>
      </w:r>
      <w:r w:rsidR="00DB5FAF" w:rsidRPr="00A511E0">
        <w:rPr>
          <w:b/>
          <w:bCs/>
          <w:caps/>
          <w:szCs w:val="24"/>
        </w:rPr>
        <w:t>20</w:t>
      </w:r>
      <w:r w:rsidR="00DB5FAF">
        <w:rPr>
          <w:b/>
          <w:bCs/>
          <w:caps/>
          <w:szCs w:val="24"/>
        </w:rPr>
        <w:t>20</w:t>
      </w:r>
    </w:p>
    <w:p w14:paraId="42EC492C" w14:textId="77777777" w:rsidR="00B10644" w:rsidRPr="00A511E0" w:rsidRDefault="00B10644" w:rsidP="00B10644">
      <w:pPr>
        <w:autoSpaceDE w:val="0"/>
        <w:autoSpaceDN w:val="0"/>
        <w:adjustRightInd w:val="0"/>
        <w:spacing w:before="240" w:after="120"/>
        <w:rPr>
          <w:b/>
          <w:bCs/>
          <w:szCs w:val="24"/>
        </w:rPr>
      </w:pPr>
    </w:p>
    <w:p w14:paraId="7DC00462" w14:textId="77777777" w:rsidR="00B10644" w:rsidRPr="00A511E0" w:rsidRDefault="00B10644" w:rsidP="00B10644">
      <w:pPr>
        <w:autoSpaceDE w:val="0"/>
        <w:autoSpaceDN w:val="0"/>
        <w:adjustRightInd w:val="0"/>
        <w:spacing w:before="240" w:after="120"/>
        <w:rPr>
          <w:b/>
          <w:bCs/>
          <w:szCs w:val="24"/>
        </w:rPr>
      </w:pPr>
    </w:p>
    <w:p w14:paraId="4A7516EA" w14:textId="65630CFD" w:rsidR="00B10644" w:rsidRDefault="00B10644" w:rsidP="00B10644">
      <w:pPr>
        <w:autoSpaceDE w:val="0"/>
        <w:autoSpaceDN w:val="0"/>
        <w:adjustRightInd w:val="0"/>
        <w:spacing w:before="240" w:after="120"/>
        <w:jc w:val="center"/>
        <w:rPr>
          <w:b/>
          <w:bCs/>
          <w:szCs w:val="24"/>
        </w:rPr>
      </w:pPr>
      <w:r w:rsidRPr="00A511E0">
        <w:rPr>
          <w:b/>
          <w:bCs/>
          <w:szCs w:val="24"/>
        </w:rPr>
        <w:t>EXPLANATORY STATEMENT</w:t>
      </w:r>
    </w:p>
    <w:p w14:paraId="5C10A460" w14:textId="77777777" w:rsidR="008C1566" w:rsidRPr="008C1566" w:rsidRDefault="008C1566" w:rsidP="008C1566">
      <w:pPr>
        <w:autoSpaceDE w:val="0"/>
        <w:autoSpaceDN w:val="0"/>
        <w:adjustRightInd w:val="0"/>
        <w:spacing w:before="240" w:after="120"/>
        <w:jc w:val="center"/>
        <w:rPr>
          <w:b/>
          <w:bCs/>
          <w:szCs w:val="24"/>
        </w:rPr>
      </w:pPr>
      <w:r w:rsidRPr="008C1566">
        <w:rPr>
          <w:b/>
          <w:bCs/>
          <w:szCs w:val="24"/>
        </w:rPr>
        <w:t>and</w:t>
      </w:r>
    </w:p>
    <w:p w14:paraId="057EDDFB" w14:textId="77777777" w:rsidR="008C1566" w:rsidRPr="008C1566" w:rsidRDefault="008C1566" w:rsidP="008C1566">
      <w:pPr>
        <w:autoSpaceDE w:val="0"/>
        <w:autoSpaceDN w:val="0"/>
        <w:adjustRightInd w:val="0"/>
        <w:spacing w:before="240" w:after="120"/>
        <w:jc w:val="center"/>
        <w:rPr>
          <w:b/>
          <w:bCs/>
          <w:szCs w:val="24"/>
        </w:rPr>
      </w:pPr>
      <w:r w:rsidRPr="008C1566">
        <w:rPr>
          <w:b/>
          <w:bCs/>
          <w:szCs w:val="24"/>
        </w:rPr>
        <w:t>HUMAN RIGHTS COMPATIBILITY STATEMENT</w:t>
      </w:r>
    </w:p>
    <w:p w14:paraId="23F62B71" w14:textId="6F169742" w:rsidR="008C1566" w:rsidRPr="00A511E0" w:rsidRDefault="008C1566" w:rsidP="008C1566">
      <w:pPr>
        <w:autoSpaceDE w:val="0"/>
        <w:autoSpaceDN w:val="0"/>
        <w:adjustRightInd w:val="0"/>
        <w:spacing w:before="240" w:after="120"/>
        <w:jc w:val="center"/>
        <w:rPr>
          <w:b/>
          <w:bCs/>
          <w:szCs w:val="24"/>
        </w:rPr>
      </w:pPr>
      <w:r w:rsidRPr="008C1566">
        <w:rPr>
          <w:b/>
          <w:bCs/>
          <w:szCs w:val="24"/>
        </w:rPr>
        <w:t>(Human Rights Act 2004, s 37)</w:t>
      </w:r>
    </w:p>
    <w:p w14:paraId="08FCFDD5" w14:textId="77777777" w:rsidR="00B10644" w:rsidRPr="00A511E0" w:rsidRDefault="00B10644" w:rsidP="00B10644">
      <w:pPr>
        <w:autoSpaceDE w:val="0"/>
        <w:autoSpaceDN w:val="0"/>
        <w:adjustRightInd w:val="0"/>
        <w:spacing w:before="240" w:after="120"/>
        <w:rPr>
          <w:b/>
          <w:bCs/>
          <w:szCs w:val="24"/>
        </w:rPr>
      </w:pPr>
    </w:p>
    <w:p w14:paraId="6CA27A4A" w14:textId="77777777" w:rsidR="00B10644" w:rsidRPr="00A511E0" w:rsidRDefault="00B10644" w:rsidP="00B10644">
      <w:pPr>
        <w:autoSpaceDE w:val="0"/>
        <w:autoSpaceDN w:val="0"/>
        <w:adjustRightInd w:val="0"/>
        <w:spacing w:before="240" w:after="120"/>
        <w:rPr>
          <w:b/>
          <w:bCs/>
          <w:szCs w:val="24"/>
        </w:rPr>
      </w:pPr>
    </w:p>
    <w:p w14:paraId="303A65A4" w14:textId="77777777" w:rsidR="00B10644" w:rsidRPr="00A511E0" w:rsidRDefault="00B10644" w:rsidP="00B10644">
      <w:pPr>
        <w:autoSpaceDE w:val="0"/>
        <w:autoSpaceDN w:val="0"/>
        <w:adjustRightInd w:val="0"/>
        <w:spacing w:before="240" w:after="120"/>
        <w:rPr>
          <w:b/>
          <w:bCs/>
          <w:szCs w:val="24"/>
        </w:rPr>
      </w:pPr>
    </w:p>
    <w:p w14:paraId="4B5A08B0" w14:textId="77777777" w:rsidR="00B10644" w:rsidRPr="00A511E0" w:rsidRDefault="00B10644" w:rsidP="00B10644">
      <w:pPr>
        <w:autoSpaceDE w:val="0"/>
        <w:autoSpaceDN w:val="0"/>
        <w:adjustRightInd w:val="0"/>
        <w:spacing w:before="240" w:after="120"/>
        <w:rPr>
          <w:b/>
          <w:bCs/>
          <w:szCs w:val="24"/>
        </w:rPr>
      </w:pPr>
    </w:p>
    <w:p w14:paraId="107190E4" w14:textId="77777777" w:rsidR="00B10644" w:rsidRPr="00A511E0" w:rsidRDefault="00B10644" w:rsidP="00B10644">
      <w:pPr>
        <w:autoSpaceDE w:val="0"/>
        <w:autoSpaceDN w:val="0"/>
        <w:adjustRightInd w:val="0"/>
        <w:spacing w:before="240" w:after="120"/>
        <w:rPr>
          <w:b/>
          <w:bCs/>
          <w:szCs w:val="24"/>
        </w:rPr>
      </w:pPr>
    </w:p>
    <w:p w14:paraId="6FD0380B" w14:textId="77777777" w:rsidR="00B10644" w:rsidRPr="00A511E0" w:rsidRDefault="00B10644" w:rsidP="00B10644">
      <w:pPr>
        <w:autoSpaceDE w:val="0"/>
        <w:autoSpaceDN w:val="0"/>
        <w:adjustRightInd w:val="0"/>
        <w:spacing w:after="0" w:line="240" w:lineRule="auto"/>
        <w:jc w:val="right"/>
        <w:rPr>
          <w:szCs w:val="24"/>
        </w:rPr>
      </w:pPr>
      <w:r w:rsidRPr="00A511E0">
        <w:rPr>
          <w:szCs w:val="24"/>
        </w:rPr>
        <w:t>Presented by</w:t>
      </w:r>
    </w:p>
    <w:p w14:paraId="2202E733" w14:textId="77777777" w:rsidR="00B10644" w:rsidRPr="00A511E0" w:rsidRDefault="00B10644" w:rsidP="00B10644">
      <w:pPr>
        <w:autoSpaceDE w:val="0"/>
        <w:autoSpaceDN w:val="0"/>
        <w:adjustRightInd w:val="0"/>
        <w:spacing w:after="0" w:line="240" w:lineRule="auto"/>
        <w:jc w:val="right"/>
        <w:rPr>
          <w:szCs w:val="24"/>
        </w:rPr>
      </w:pPr>
      <w:r w:rsidRPr="00A511E0">
        <w:rPr>
          <w:szCs w:val="24"/>
        </w:rPr>
        <w:t>Gordon Ramsay MLA</w:t>
      </w:r>
    </w:p>
    <w:sdt>
      <w:sdtPr>
        <w:rPr>
          <w:szCs w:val="24"/>
        </w:rPr>
        <w:alias w:val="Relevant Minister"/>
        <w:tag w:val="Relevant Minister"/>
        <w:id w:val="172944409"/>
        <w:placeholder>
          <w:docPart w:val="3A092C83CAA749C5B34EA94F1A89E872"/>
        </w:placeholder>
        <w:dropDownList>
          <w:listItem w:displayText="Choose item." w:value="Choose item."/>
          <w:listItem w:displayText="Attorney-General" w:value="Attorney-General"/>
          <w:listItem w:displayText="Minister for the Prevention of Domestic and Family Violence" w:value="Minister for the Prevention of Domestic and Family Violence"/>
          <w:listItem w:displayText="Minister for Police and Emergency Services" w:value="Minister for Police and Emergency Services"/>
          <w:listItem w:displayText="Minister for Justice, Consumer Affairs and Road Safety" w:value="Minister for Justice, Consumer Affairs and Road Safety"/>
          <w:listItem w:displayText="Minister for Corrections" w:value="Minister for Corrections"/>
        </w:dropDownList>
      </w:sdtPr>
      <w:sdtEndPr/>
      <w:sdtContent>
        <w:p w14:paraId="646C43E6" w14:textId="5966DF4E" w:rsidR="00B10644" w:rsidRPr="00A511E0" w:rsidRDefault="00630273" w:rsidP="00B10644">
          <w:pPr>
            <w:spacing w:after="0" w:line="240" w:lineRule="auto"/>
            <w:jc w:val="right"/>
            <w:rPr>
              <w:szCs w:val="24"/>
            </w:rPr>
          </w:pPr>
          <w:r>
            <w:rPr>
              <w:szCs w:val="24"/>
            </w:rPr>
            <w:t>Attorney-General</w:t>
          </w:r>
        </w:p>
      </w:sdtContent>
    </w:sdt>
    <w:p w14:paraId="2875CD7C" w14:textId="77777777" w:rsidR="00B10644" w:rsidRPr="00A511E0" w:rsidRDefault="00B10644" w:rsidP="00B10644">
      <w:pPr>
        <w:spacing w:after="120"/>
        <w:jc w:val="center"/>
        <w:rPr>
          <w:b/>
          <w:bCs/>
          <w:szCs w:val="24"/>
        </w:rPr>
        <w:sectPr w:rsidR="00B10644" w:rsidRPr="00A511E0" w:rsidSect="00B10644">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pgNumType w:start="0"/>
          <w:cols w:space="708"/>
          <w:titlePg/>
          <w:docGrid w:linePitch="360"/>
        </w:sectPr>
      </w:pPr>
      <w:r w:rsidRPr="00A511E0">
        <w:rPr>
          <w:b/>
          <w:bCs/>
          <w:szCs w:val="24"/>
        </w:rPr>
        <w:br w:type="page"/>
      </w:r>
    </w:p>
    <w:p w14:paraId="07B5D126" w14:textId="75F1764A" w:rsidR="00E81A2F" w:rsidRDefault="00E81A2F" w:rsidP="00E81A2F">
      <w:pPr>
        <w:spacing w:after="120"/>
        <w:jc w:val="center"/>
        <w:rPr>
          <w:b/>
          <w:bCs/>
          <w:caps/>
          <w:szCs w:val="24"/>
        </w:rPr>
      </w:pPr>
      <w:bookmarkStart w:id="1" w:name="_Toc524517790"/>
      <w:bookmarkStart w:id="2" w:name="_Toc525903858"/>
      <w:bookmarkStart w:id="3" w:name="_Toc1399147"/>
      <w:bookmarkStart w:id="4" w:name="_Toc426711259"/>
      <w:bookmarkStart w:id="5" w:name="_Toc429052822"/>
      <w:r w:rsidRPr="00A511E0">
        <w:rPr>
          <w:b/>
          <w:bCs/>
          <w:caps/>
          <w:szCs w:val="24"/>
        </w:rPr>
        <w:lastRenderedPageBreak/>
        <w:t xml:space="preserve">Royal </w:t>
      </w:r>
      <w:r w:rsidRPr="009D6787">
        <w:rPr>
          <w:b/>
          <w:bCs/>
          <w:caps/>
          <w:szCs w:val="24"/>
        </w:rPr>
        <w:t>Commission Criminal Justice Legislation</w:t>
      </w:r>
      <w:r w:rsidRPr="00A511E0">
        <w:rPr>
          <w:b/>
          <w:bCs/>
          <w:caps/>
          <w:szCs w:val="24"/>
        </w:rPr>
        <w:t xml:space="preserve"> Amendment Bill 20</w:t>
      </w:r>
      <w:r>
        <w:rPr>
          <w:b/>
          <w:bCs/>
          <w:caps/>
          <w:szCs w:val="24"/>
        </w:rPr>
        <w:t>20</w:t>
      </w:r>
    </w:p>
    <w:p w14:paraId="6ABB0F1B" w14:textId="77777777" w:rsidR="00B51056" w:rsidRDefault="00B51056" w:rsidP="00B51056">
      <w:pPr>
        <w:pStyle w:val="Title"/>
      </w:pPr>
      <w:bookmarkStart w:id="6" w:name="_Toc426711258"/>
      <w:bookmarkStart w:id="7" w:name="_Toc429052821"/>
      <w:bookmarkStart w:id="8" w:name="_Toc500401676"/>
      <w:bookmarkStart w:id="9" w:name="_Toc43913442"/>
      <w:r w:rsidRPr="0088781C">
        <w:t>Outline</w:t>
      </w:r>
      <w:bookmarkEnd w:id="6"/>
      <w:bookmarkEnd w:id="7"/>
      <w:bookmarkEnd w:id="8"/>
      <w:bookmarkEnd w:id="9"/>
    </w:p>
    <w:p w14:paraId="4B53D910" w14:textId="77777777" w:rsidR="00B51056" w:rsidRPr="00A511E0" w:rsidRDefault="00B51056" w:rsidP="00E81A2F">
      <w:pPr>
        <w:spacing w:after="120"/>
        <w:jc w:val="center"/>
        <w:rPr>
          <w:b/>
          <w:bCs/>
          <w:caps/>
          <w:szCs w:val="24"/>
        </w:rPr>
      </w:pPr>
    </w:p>
    <w:p w14:paraId="0E06F59F" w14:textId="51321973" w:rsidR="00CF0519" w:rsidRDefault="00B51056">
      <w:pPr>
        <w:pStyle w:val="TOC1"/>
        <w:tabs>
          <w:tab w:val="right" w:leader="dot" w:pos="9016"/>
        </w:tabs>
        <w:rPr>
          <w:rFonts w:asciiTheme="minorHAnsi" w:eastAsiaTheme="minorEastAsia" w:hAnsiTheme="minorHAnsi" w:cstheme="minorBidi"/>
          <w:noProof/>
          <w:sz w:val="22"/>
          <w:lang w:eastAsia="en-AU"/>
        </w:rPr>
      </w:pPr>
      <w:r>
        <w:fldChar w:fldCharType="begin"/>
      </w:r>
      <w:r>
        <w:instrText xml:space="preserve"> TOC \o "1-3" \h \z \u </w:instrText>
      </w:r>
      <w:r>
        <w:fldChar w:fldCharType="separate"/>
      </w:r>
      <w:hyperlink w:anchor="_Toc43913442" w:history="1">
        <w:r w:rsidR="00CF0519" w:rsidRPr="007E18A6">
          <w:rPr>
            <w:rStyle w:val="Hyperlink"/>
            <w:noProof/>
          </w:rPr>
          <w:t>Outline</w:t>
        </w:r>
        <w:r w:rsidR="00CF0519">
          <w:rPr>
            <w:noProof/>
            <w:webHidden/>
          </w:rPr>
          <w:tab/>
        </w:r>
        <w:r w:rsidR="00CF0519">
          <w:rPr>
            <w:noProof/>
            <w:webHidden/>
          </w:rPr>
          <w:fldChar w:fldCharType="begin"/>
        </w:r>
        <w:r w:rsidR="00CF0519">
          <w:rPr>
            <w:noProof/>
            <w:webHidden/>
          </w:rPr>
          <w:instrText xml:space="preserve"> PAGEREF _Toc43913442 \h </w:instrText>
        </w:r>
        <w:r w:rsidR="00CF0519">
          <w:rPr>
            <w:noProof/>
            <w:webHidden/>
          </w:rPr>
        </w:r>
        <w:r w:rsidR="00CF0519">
          <w:rPr>
            <w:noProof/>
            <w:webHidden/>
          </w:rPr>
          <w:fldChar w:fldCharType="separate"/>
        </w:r>
        <w:r w:rsidR="007119B1">
          <w:rPr>
            <w:noProof/>
            <w:webHidden/>
          </w:rPr>
          <w:t>1</w:t>
        </w:r>
        <w:r w:rsidR="00CF0519">
          <w:rPr>
            <w:noProof/>
            <w:webHidden/>
          </w:rPr>
          <w:fldChar w:fldCharType="end"/>
        </w:r>
      </w:hyperlink>
    </w:p>
    <w:p w14:paraId="3C099606" w14:textId="6B6F3A5A" w:rsidR="00CF0519" w:rsidRDefault="00A47E36">
      <w:pPr>
        <w:pStyle w:val="TOC2"/>
        <w:tabs>
          <w:tab w:val="right" w:leader="dot" w:pos="9016"/>
        </w:tabs>
        <w:rPr>
          <w:rFonts w:asciiTheme="minorHAnsi" w:eastAsiaTheme="minorEastAsia" w:hAnsiTheme="minorHAnsi" w:cstheme="minorBidi"/>
          <w:noProof/>
          <w:sz w:val="22"/>
          <w:lang w:eastAsia="en-AU"/>
        </w:rPr>
      </w:pPr>
      <w:hyperlink w:anchor="_Toc43913443" w:history="1">
        <w:r w:rsidR="00CF0519" w:rsidRPr="007E18A6">
          <w:rPr>
            <w:rStyle w:val="Hyperlink"/>
            <w:noProof/>
          </w:rPr>
          <w:t>Introduction</w:t>
        </w:r>
        <w:r w:rsidR="00CF0519">
          <w:rPr>
            <w:noProof/>
            <w:webHidden/>
          </w:rPr>
          <w:tab/>
        </w:r>
        <w:r w:rsidR="00CF0519">
          <w:rPr>
            <w:noProof/>
            <w:webHidden/>
          </w:rPr>
          <w:fldChar w:fldCharType="begin"/>
        </w:r>
        <w:r w:rsidR="00CF0519">
          <w:rPr>
            <w:noProof/>
            <w:webHidden/>
          </w:rPr>
          <w:instrText xml:space="preserve"> PAGEREF _Toc43913443 \h </w:instrText>
        </w:r>
        <w:r w:rsidR="00CF0519">
          <w:rPr>
            <w:noProof/>
            <w:webHidden/>
          </w:rPr>
        </w:r>
        <w:r w:rsidR="00CF0519">
          <w:rPr>
            <w:noProof/>
            <w:webHidden/>
          </w:rPr>
          <w:fldChar w:fldCharType="separate"/>
        </w:r>
        <w:r w:rsidR="007119B1">
          <w:rPr>
            <w:noProof/>
            <w:webHidden/>
          </w:rPr>
          <w:t>3</w:t>
        </w:r>
        <w:r w:rsidR="00CF0519">
          <w:rPr>
            <w:noProof/>
            <w:webHidden/>
          </w:rPr>
          <w:fldChar w:fldCharType="end"/>
        </w:r>
      </w:hyperlink>
    </w:p>
    <w:p w14:paraId="56CD4609" w14:textId="04A15F65" w:rsidR="00CF0519" w:rsidRDefault="00A47E36">
      <w:pPr>
        <w:pStyle w:val="TOC2"/>
        <w:tabs>
          <w:tab w:val="right" w:leader="dot" w:pos="9016"/>
        </w:tabs>
        <w:rPr>
          <w:rFonts w:asciiTheme="minorHAnsi" w:eastAsiaTheme="minorEastAsia" w:hAnsiTheme="minorHAnsi" w:cstheme="minorBidi"/>
          <w:noProof/>
          <w:sz w:val="22"/>
          <w:lang w:eastAsia="en-AU"/>
        </w:rPr>
      </w:pPr>
      <w:hyperlink w:anchor="_Toc43913444" w:history="1">
        <w:r w:rsidR="00CF0519" w:rsidRPr="007E18A6">
          <w:rPr>
            <w:rStyle w:val="Hyperlink"/>
            <w:noProof/>
          </w:rPr>
          <w:t>Purpose of the Bill</w:t>
        </w:r>
        <w:r w:rsidR="00CF0519">
          <w:rPr>
            <w:noProof/>
            <w:webHidden/>
          </w:rPr>
          <w:tab/>
        </w:r>
        <w:r w:rsidR="00CF0519">
          <w:rPr>
            <w:noProof/>
            <w:webHidden/>
          </w:rPr>
          <w:fldChar w:fldCharType="begin"/>
        </w:r>
        <w:r w:rsidR="00CF0519">
          <w:rPr>
            <w:noProof/>
            <w:webHidden/>
          </w:rPr>
          <w:instrText xml:space="preserve"> PAGEREF _Toc43913444 \h </w:instrText>
        </w:r>
        <w:r w:rsidR="00CF0519">
          <w:rPr>
            <w:noProof/>
            <w:webHidden/>
          </w:rPr>
        </w:r>
        <w:r w:rsidR="00CF0519">
          <w:rPr>
            <w:noProof/>
            <w:webHidden/>
          </w:rPr>
          <w:fldChar w:fldCharType="separate"/>
        </w:r>
        <w:r w:rsidR="007119B1">
          <w:rPr>
            <w:noProof/>
            <w:webHidden/>
          </w:rPr>
          <w:t>3</w:t>
        </w:r>
        <w:r w:rsidR="00CF0519">
          <w:rPr>
            <w:noProof/>
            <w:webHidden/>
          </w:rPr>
          <w:fldChar w:fldCharType="end"/>
        </w:r>
      </w:hyperlink>
    </w:p>
    <w:p w14:paraId="1C04A9A7" w14:textId="33CBF3E9" w:rsidR="00CF0519" w:rsidRDefault="00A47E36">
      <w:pPr>
        <w:pStyle w:val="TOC3"/>
        <w:tabs>
          <w:tab w:val="right" w:leader="dot" w:pos="9016"/>
        </w:tabs>
        <w:rPr>
          <w:rFonts w:asciiTheme="minorHAnsi" w:eastAsiaTheme="minorEastAsia" w:hAnsiTheme="minorHAnsi" w:cstheme="minorBidi"/>
          <w:noProof/>
          <w:sz w:val="22"/>
          <w:lang w:eastAsia="en-AU"/>
        </w:rPr>
      </w:pPr>
      <w:hyperlink w:anchor="_Toc43913445" w:history="1">
        <w:r w:rsidR="00CF0519" w:rsidRPr="007E18A6">
          <w:rPr>
            <w:rStyle w:val="Hyperlink"/>
            <w:noProof/>
          </w:rPr>
          <w:t>Consultation on the proposed approach</w:t>
        </w:r>
        <w:r w:rsidR="00CF0519">
          <w:rPr>
            <w:noProof/>
            <w:webHidden/>
          </w:rPr>
          <w:tab/>
        </w:r>
        <w:r w:rsidR="00CF0519">
          <w:rPr>
            <w:noProof/>
            <w:webHidden/>
          </w:rPr>
          <w:fldChar w:fldCharType="begin"/>
        </w:r>
        <w:r w:rsidR="00CF0519">
          <w:rPr>
            <w:noProof/>
            <w:webHidden/>
          </w:rPr>
          <w:instrText xml:space="preserve"> PAGEREF _Toc43913445 \h </w:instrText>
        </w:r>
        <w:r w:rsidR="00CF0519">
          <w:rPr>
            <w:noProof/>
            <w:webHidden/>
          </w:rPr>
        </w:r>
        <w:r w:rsidR="00CF0519">
          <w:rPr>
            <w:noProof/>
            <w:webHidden/>
          </w:rPr>
          <w:fldChar w:fldCharType="separate"/>
        </w:r>
        <w:r w:rsidR="007119B1">
          <w:rPr>
            <w:noProof/>
            <w:webHidden/>
          </w:rPr>
          <w:t>6</w:t>
        </w:r>
        <w:r w:rsidR="00CF0519">
          <w:rPr>
            <w:noProof/>
            <w:webHidden/>
          </w:rPr>
          <w:fldChar w:fldCharType="end"/>
        </w:r>
      </w:hyperlink>
    </w:p>
    <w:p w14:paraId="79ED3219" w14:textId="2077CA99" w:rsidR="00CF0519" w:rsidRDefault="00A47E36">
      <w:pPr>
        <w:pStyle w:val="TOC2"/>
        <w:tabs>
          <w:tab w:val="right" w:leader="dot" w:pos="9016"/>
        </w:tabs>
        <w:rPr>
          <w:rFonts w:asciiTheme="minorHAnsi" w:eastAsiaTheme="minorEastAsia" w:hAnsiTheme="minorHAnsi" w:cstheme="minorBidi"/>
          <w:noProof/>
          <w:sz w:val="22"/>
          <w:lang w:eastAsia="en-AU"/>
        </w:rPr>
      </w:pPr>
      <w:hyperlink w:anchor="_Toc43913446" w:history="1">
        <w:r w:rsidR="00CF0519" w:rsidRPr="007E18A6">
          <w:rPr>
            <w:rStyle w:val="Hyperlink"/>
            <w:noProof/>
          </w:rPr>
          <w:t>Human Rights Considerations</w:t>
        </w:r>
        <w:r w:rsidR="00CF0519">
          <w:rPr>
            <w:noProof/>
            <w:webHidden/>
          </w:rPr>
          <w:tab/>
        </w:r>
        <w:r w:rsidR="00CF0519">
          <w:rPr>
            <w:noProof/>
            <w:webHidden/>
          </w:rPr>
          <w:fldChar w:fldCharType="begin"/>
        </w:r>
        <w:r w:rsidR="00CF0519">
          <w:rPr>
            <w:noProof/>
            <w:webHidden/>
          </w:rPr>
          <w:instrText xml:space="preserve"> PAGEREF _Toc43913446 \h </w:instrText>
        </w:r>
        <w:r w:rsidR="00CF0519">
          <w:rPr>
            <w:noProof/>
            <w:webHidden/>
          </w:rPr>
        </w:r>
        <w:r w:rsidR="00CF0519">
          <w:rPr>
            <w:noProof/>
            <w:webHidden/>
          </w:rPr>
          <w:fldChar w:fldCharType="separate"/>
        </w:r>
        <w:r w:rsidR="007119B1">
          <w:rPr>
            <w:noProof/>
            <w:webHidden/>
          </w:rPr>
          <w:t>6</w:t>
        </w:r>
        <w:r w:rsidR="00CF0519">
          <w:rPr>
            <w:noProof/>
            <w:webHidden/>
          </w:rPr>
          <w:fldChar w:fldCharType="end"/>
        </w:r>
      </w:hyperlink>
    </w:p>
    <w:p w14:paraId="1BA7DF65" w14:textId="00114C6A" w:rsidR="00CF0519" w:rsidRDefault="00A47E36">
      <w:pPr>
        <w:pStyle w:val="TOC1"/>
        <w:tabs>
          <w:tab w:val="right" w:leader="dot" w:pos="9016"/>
        </w:tabs>
        <w:rPr>
          <w:rFonts w:asciiTheme="minorHAnsi" w:eastAsiaTheme="minorEastAsia" w:hAnsiTheme="minorHAnsi" w:cstheme="minorBidi"/>
          <w:noProof/>
          <w:sz w:val="22"/>
          <w:lang w:eastAsia="en-AU"/>
        </w:rPr>
      </w:pPr>
      <w:hyperlink w:anchor="_Toc43913447" w:history="1">
        <w:r w:rsidR="00CF0519" w:rsidRPr="007E18A6">
          <w:rPr>
            <w:rStyle w:val="Hyperlink"/>
            <w:noProof/>
            <w:lang w:eastAsia="en-AU"/>
          </w:rPr>
          <w:t>Detail</w:t>
        </w:r>
        <w:r w:rsidR="00CF0519">
          <w:rPr>
            <w:noProof/>
            <w:webHidden/>
          </w:rPr>
          <w:tab/>
        </w:r>
        <w:r w:rsidR="00CF0519">
          <w:rPr>
            <w:noProof/>
            <w:webHidden/>
          </w:rPr>
          <w:fldChar w:fldCharType="begin"/>
        </w:r>
        <w:r w:rsidR="00CF0519">
          <w:rPr>
            <w:noProof/>
            <w:webHidden/>
          </w:rPr>
          <w:instrText xml:space="preserve"> PAGEREF _Toc43913447 \h </w:instrText>
        </w:r>
        <w:r w:rsidR="00CF0519">
          <w:rPr>
            <w:noProof/>
            <w:webHidden/>
          </w:rPr>
        </w:r>
        <w:r w:rsidR="00CF0519">
          <w:rPr>
            <w:noProof/>
            <w:webHidden/>
          </w:rPr>
          <w:fldChar w:fldCharType="separate"/>
        </w:r>
        <w:r w:rsidR="007119B1">
          <w:rPr>
            <w:noProof/>
            <w:webHidden/>
          </w:rPr>
          <w:t>30</w:t>
        </w:r>
        <w:r w:rsidR="00CF0519">
          <w:rPr>
            <w:noProof/>
            <w:webHidden/>
          </w:rPr>
          <w:fldChar w:fldCharType="end"/>
        </w:r>
      </w:hyperlink>
    </w:p>
    <w:p w14:paraId="1231F857" w14:textId="40829513" w:rsidR="00CF0519" w:rsidRDefault="00A47E36">
      <w:pPr>
        <w:pStyle w:val="TOC1"/>
        <w:tabs>
          <w:tab w:val="right" w:leader="dot" w:pos="9016"/>
        </w:tabs>
        <w:rPr>
          <w:rFonts w:asciiTheme="minorHAnsi" w:eastAsiaTheme="minorEastAsia" w:hAnsiTheme="minorHAnsi" w:cstheme="minorBidi"/>
          <w:noProof/>
          <w:sz w:val="22"/>
          <w:lang w:eastAsia="en-AU"/>
        </w:rPr>
      </w:pPr>
      <w:hyperlink w:anchor="_Toc43913448" w:history="1">
        <w:r w:rsidR="00CF0519" w:rsidRPr="007E18A6">
          <w:rPr>
            <w:rStyle w:val="Hyperlink"/>
            <w:noProof/>
            <w:lang w:eastAsia="en-AU"/>
          </w:rPr>
          <w:t>Part 1 – Preliminary</w:t>
        </w:r>
        <w:r w:rsidR="00CF0519">
          <w:rPr>
            <w:noProof/>
            <w:webHidden/>
          </w:rPr>
          <w:tab/>
        </w:r>
        <w:r w:rsidR="00CF0519">
          <w:rPr>
            <w:noProof/>
            <w:webHidden/>
          </w:rPr>
          <w:fldChar w:fldCharType="begin"/>
        </w:r>
        <w:r w:rsidR="00CF0519">
          <w:rPr>
            <w:noProof/>
            <w:webHidden/>
          </w:rPr>
          <w:instrText xml:space="preserve"> PAGEREF _Toc43913448 \h </w:instrText>
        </w:r>
        <w:r w:rsidR="00CF0519">
          <w:rPr>
            <w:noProof/>
            <w:webHidden/>
          </w:rPr>
        </w:r>
        <w:r w:rsidR="00CF0519">
          <w:rPr>
            <w:noProof/>
            <w:webHidden/>
          </w:rPr>
          <w:fldChar w:fldCharType="separate"/>
        </w:r>
        <w:r w:rsidR="007119B1">
          <w:rPr>
            <w:noProof/>
            <w:webHidden/>
          </w:rPr>
          <w:t>30</w:t>
        </w:r>
        <w:r w:rsidR="00CF0519">
          <w:rPr>
            <w:noProof/>
            <w:webHidden/>
          </w:rPr>
          <w:fldChar w:fldCharType="end"/>
        </w:r>
      </w:hyperlink>
    </w:p>
    <w:p w14:paraId="2210E27F" w14:textId="3654CD64" w:rsidR="00CF0519" w:rsidRDefault="00A47E36">
      <w:pPr>
        <w:pStyle w:val="TOC3"/>
        <w:tabs>
          <w:tab w:val="right" w:leader="dot" w:pos="9016"/>
        </w:tabs>
        <w:rPr>
          <w:rFonts w:asciiTheme="minorHAnsi" w:eastAsiaTheme="minorEastAsia" w:hAnsiTheme="minorHAnsi" w:cstheme="minorBidi"/>
          <w:noProof/>
          <w:sz w:val="22"/>
          <w:lang w:eastAsia="en-AU"/>
        </w:rPr>
      </w:pPr>
      <w:hyperlink w:anchor="_Toc43913449" w:history="1">
        <w:r w:rsidR="00CF0519" w:rsidRPr="007E18A6">
          <w:rPr>
            <w:rStyle w:val="Hyperlink"/>
            <w:noProof/>
          </w:rPr>
          <w:t>Clause 1</w:t>
        </w:r>
        <w:r w:rsidR="00CF0519" w:rsidRPr="007E18A6">
          <w:rPr>
            <w:rStyle w:val="Hyperlink"/>
            <w:bCs/>
            <w:noProof/>
            <w:lang w:eastAsia="en-AU"/>
          </w:rPr>
          <w:t xml:space="preserve"> — Name of Act</w:t>
        </w:r>
        <w:r w:rsidR="00CF0519">
          <w:rPr>
            <w:noProof/>
            <w:webHidden/>
          </w:rPr>
          <w:tab/>
        </w:r>
        <w:r w:rsidR="00CF0519">
          <w:rPr>
            <w:noProof/>
            <w:webHidden/>
          </w:rPr>
          <w:fldChar w:fldCharType="begin"/>
        </w:r>
        <w:r w:rsidR="00CF0519">
          <w:rPr>
            <w:noProof/>
            <w:webHidden/>
          </w:rPr>
          <w:instrText xml:space="preserve"> PAGEREF _Toc43913449 \h </w:instrText>
        </w:r>
        <w:r w:rsidR="00CF0519">
          <w:rPr>
            <w:noProof/>
            <w:webHidden/>
          </w:rPr>
        </w:r>
        <w:r w:rsidR="00CF0519">
          <w:rPr>
            <w:noProof/>
            <w:webHidden/>
          </w:rPr>
          <w:fldChar w:fldCharType="separate"/>
        </w:r>
        <w:r w:rsidR="007119B1">
          <w:rPr>
            <w:noProof/>
            <w:webHidden/>
          </w:rPr>
          <w:t>30</w:t>
        </w:r>
        <w:r w:rsidR="00CF0519">
          <w:rPr>
            <w:noProof/>
            <w:webHidden/>
          </w:rPr>
          <w:fldChar w:fldCharType="end"/>
        </w:r>
      </w:hyperlink>
    </w:p>
    <w:p w14:paraId="7CCDE126" w14:textId="48FE5438" w:rsidR="00CF0519" w:rsidRDefault="00A47E36">
      <w:pPr>
        <w:pStyle w:val="TOC3"/>
        <w:tabs>
          <w:tab w:val="right" w:leader="dot" w:pos="9016"/>
        </w:tabs>
        <w:rPr>
          <w:rFonts w:asciiTheme="minorHAnsi" w:eastAsiaTheme="minorEastAsia" w:hAnsiTheme="minorHAnsi" w:cstheme="minorBidi"/>
          <w:noProof/>
          <w:sz w:val="22"/>
          <w:lang w:eastAsia="en-AU"/>
        </w:rPr>
      </w:pPr>
      <w:hyperlink w:anchor="_Toc43913450" w:history="1">
        <w:r w:rsidR="00CF0519" w:rsidRPr="007E18A6">
          <w:rPr>
            <w:rStyle w:val="Hyperlink"/>
            <w:noProof/>
          </w:rPr>
          <w:t>Clause 2</w:t>
        </w:r>
        <w:r w:rsidR="00CF0519" w:rsidRPr="007E18A6">
          <w:rPr>
            <w:rStyle w:val="Hyperlink"/>
            <w:bCs/>
            <w:noProof/>
            <w:lang w:eastAsia="en-AU"/>
          </w:rPr>
          <w:t xml:space="preserve"> — Commencement</w:t>
        </w:r>
        <w:r w:rsidR="00CF0519">
          <w:rPr>
            <w:noProof/>
            <w:webHidden/>
          </w:rPr>
          <w:tab/>
        </w:r>
        <w:r w:rsidR="00CF0519">
          <w:rPr>
            <w:noProof/>
            <w:webHidden/>
          </w:rPr>
          <w:fldChar w:fldCharType="begin"/>
        </w:r>
        <w:r w:rsidR="00CF0519">
          <w:rPr>
            <w:noProof/>
            <w:webHidden/>
          </w:rPr>
          <w:instrText xml:space="preserve"> PAGEREF _Toc43913450 \h </w:instrText>
        </w:r>
        <w:r w:rsidR="00CF0519">
          <w:rPr>
            <w:noProof/>
            <w:webHidden/>
          </w:rPr>
        </w:r>
        <w:r w:rsidR="00CF0519">
          <w:rPr>
            <w:noProof/>
            <w:webHidden/>
          </w:rPr>
          <w:fldChar w:fldCharType="separate"/>
        </w:r>
        <w:r w:rsidR="007119B1">
          <w:rPr>
            <w:noProof/>
            <w:webHidden/>
          </w:rPr>
          <w:t>30</w:t>
        </w:r>
        <w:r w:rsidR="00CF0519">
          <w:rPr>
            <w:noProof/>
            <w:webHidden/>
          </w:rPr>
          <w:fldChar w:fldCharType="end"/>
        </w:r>
      </w:hyperlink>
    </w:p>
    <w:p w14:paraId="014365CC" w14:textId="64E9AE94" w:rsidR="00CF0519" w:rsidRDefault="00A47E36">
      <w:pPr>
        <w:pStyle w:val="TOC3"/>
        <w:tabs>
          <w:tab w:val="right" w:leader="dot" w:pos="9016"/>
        </w:tabs>
        <w:rPr>
          <w:rFonts w:asciiTheme="minorHAnsi" w:eastAsiaTheme="minorEastAsia" w:hAnsiTheme="minorHAnsi" w:cstheme="minorBidi"/>
          <w:noProof/>
          <w:sz w:val="22"/>
          <w:lang w:eastAsia="en-AU"/>
        </w:rPr>
      </w:pPr>
      <w:hyperlink w:anchor="_Toc43913451" w:history="1">
        <w:r w:rsidR="00CF0519" w:rsidRPr="007E18A6">
          <w:rPr>
            <w:rStyle w:val="Hyperlink"/>
            <w:noProof/>
          </w:rPr>
          <w:t>Clause 3</w:t>
        </w:r>
        <w:r w:rsidR="00CF0519" w:rsidRPr="007E18A6">
          <w:rPr>
            <w:rStyle w:val="Hyperlink"/>
            <w:bCs/>
            <w:noProof/>
            <w:lang w:eastAsia="en-AU"/>
          </w:rPr>
          <w:t xml:space="preserve"> — Legislation Amended</w:t>
        </w:r>
        <w:r w:rsidR="00CF0519">
          <w:rPr>
            <w:noProof/>
            <w:webHidden/>
          </w:rPr>
          <w:tab/>
        </w:r>
        <w:r w:rsidR="00CF0519">
          <w:rPr>
            <w:noProof/>
            <w:webHidden/>
          </w:rPr>
          <w:fldChar w:fldCharType="begin"/>
        </w:r>
        <w:r w:rsidR="00CF0519">
          <w:rPr>
            <w:noProof/>
            <w:webHidden/>
          </w:rPr>
          <w:instrText xml:space="preserve"> PAGEREF _Toc43913451 \h </w:instrText>
        </w:r>
        <w:r w:rsidR="00CF0519">
          <w:rPr>
            <w:noProof/>
            <w:webHidden/>
          </w:rPr>
        </w:r>
        <w:r w:rsidR="00CF0519">
          <w:rPr>
            <w:noProof/>
            <w:webHidden/>
          </w:rPr>
          <w:fldChar w:fldCharType="separate"/>
        </w:r>
        <w:r w:rsidR="007119B1">
          <w:rPr>
            <w:noProof/>
            <w:webHidden/>
          </w:rPr>
          <w:t>30</w:t>
        </w:r>
        <w:r w:rsidR="00CF0519">
          <w:rPr>
            <w:noProof/>
            <w:webHidden/>
          </w:rPr>
          <w:fldChar w:fldCharType="end"/>
        </w:r>
      </w:hyperlink>
    </w:p>
    <w:p w14:paraId="11A4E14F" w14:textId="0ED04CAD" w:rsidR="00CF0519" w:rsidRDefault="00A47E36">
      <w:pPr>
        <w:pStyle w:val="TOC1"/>
        <w:tabs>
          <w:tab w:val="right" w:leader="dot" w:pos="9016"/>
        </w:tabs>
        <w:rPr>
          <w:rFonts w:asciiTheme="minorHAnsi" w:eastAsiaTheme="minorEastAsia" w:hAnsiTheme="minorHAnsi" w:cstheme="minorBidi"/>
          <w:noProof/>
          <w:sz w:val="22"/>
          <w:lang w:eastAsia="en-AU"/>
        </w:rPr>
      </w:pPr>
      <w:hyperlink w:anchor="_Toc43913452" w:history="1">
        <w:r w:rsidR="00CF0519" w:rsidRPr="007E18A6">
          <w:rPr>
            <w:rStyle w:val="Hyperlink"/>
            <w:noProof/>
            <w:lang w:eastAsia="en-AU"/>
          </w:rPr>
          <w:t>Part 2 – Crimes Act 1900</w:t>
        </w:r>
        <w:r w:rsidR="00CF0519">
          <w:rPr>
            <w:noProof/>
            <w:webHidden/>
          </w:rPr>
          <w:tab/>
        </w:r>
        <w:r w:rsidR="00CF0519">
          <w:rPr>
            <w:noProof/>
            <w:webHidden/>
          </w:rPr>
          <w:fldChar w:fldCharType="begin"/>
        </w:r>
        <w:r w:rsidR="00CF0519">
          <w:rPr>
            <w:noProof/>
            <w:webHidden/>
          </w:rPr>
          <w:instrText xml:space="preserve"> PAGEREF _Toc43913452 \h </w:instrText>
        </w:r>
        <w:r w:rsidR="00CF0519">
          <w:rPr>
            <w:noProof/>
            <w:webHidden/>
          </w:rPr>
        </w:r>
        <w:r w:rsidR="00CF0519">
          <w:rPr>
            <w:noProof/>
            <w:webHidden/>
          </w:rPr>
          <w:fldChar w:fldCharType="separate"/>
        </w:r>
        <w:r w:rsidR="007119B1">
          <w:rPr>
            <w:noProof/>
            <w:webHidden/>
          </w:rPr>
          <w:t>30</w:t>
        </w:r>
        <w:r w:rsidR="00CF0519">
          <w:rPr>
            <w:noProof/>
            <w:webHidden/>
          </w:rPr>
          <w:fldChar w:fldCharType="end"/>
        </w:r>
      </w:hyperlink>
    </w:p>
    <w:p w14:paraId="7D644EE4" w14:textId="4C876559" w:rsidR="00CF0519" w:rsidRDefault="00A47E36">
      <w:pPr>
        <w:pStyle w:val="TOC3"/>
        <w:tabs>
          <w:tab w:val="right" w:leader="dot" w:pos="9016"/>
        </w:tabs>
        <w:rPr>
          <w:rFonts w:asciiTheme="minorHAnsi" w:eastAsiaTheme="minorEastAsia" w:hAnsiTheme="minorHAnsi" w:cstheme="minorBidi"/>
          <w:noProof/>
          <w:sz w:val="22"/>
          <w:lang w:eastAsia="en-AU"/>
        </w:rPr>
      </w:pPr>
      <w:hyperlink w:anchor="_Toc43913453" w:history="1">
        <w:r w:rsidR="00CF0519" w:rsidRPr="007E18A6">
          <w:rPr>
            <w:rStyle w:val="Hyperlink"/>
            <w:noProof/>
          </w:rPr>
          <w:t>Clause 4 – Sexual intercourse with young person under special care Section 55A (2)</w:t>
        </w:r>
        <w:r w:rsidR="00CF0519">
          <w:rPr>
            <w:noProof/>
            <w:webHidden/>
          </w:rPr>
          <w:tab/>
        </w:r>
        <w:r w:rsidR="00CF0519">
          <w:rPr>
            <w:noProof/>
            <w:webHidden/>
          </w:rPr>
          <w:fldChar w:fldCharType="begin"/>
        </w:r>
        <w:r w:rsidR="00CF0519">
          <w:rPr>
            <w:noProof/>
            <w:webHidden/>
          </w:rPr>
          <w:instrText xml:space="preserve"> PAGEREF _Toc43913453 \h </w:instrText>
        </w:r>
        <w:r w:rsidR="00CF0519">
          <w:rPr>
            <w:noProof/>
            <w:webHidden/>
          </w:rPr>
        </w:r>
        <w:r w:rsidR="00CF0519">
          <w:rPr>
            <w:noProof/>
            <w:webHidden/>
          </w:rPr>
          <w:fldChar w:fldCharType="separate"/>
        </w:r>
        <w:r w:rsidR="007119B1">
          <w:rPr>
            <w:noProof/>
            <w:webHidden/>
          </w:rPr>
          <w:t>30</w:t>
        </w:r>
        <w:r w:rsidR="00CF0519">
          <w:rPr>
            <w:noProof/>
            <w:webHidden/>
          </w:rPr>
          <w:fldChar w:fldCharType="end"/>
        </w:r>
      </w:hyperlink>
    </w:p>
    <w:p w14:paraId="0C337934" w14:textId="0B3C2CDD" w:rsidR="00CF0519" w:rsidRDefault="00A47E36">
      <w:pPr>
        <w:pStyle w:val="TOC3"/>
        <w:tabs>
          <w:tab w:val="right" w:leader="dot" w:pos="9016"/>
        </w:tabs>
        <w:rPr>
          <w:rFonts w:asciiTheme="minorHAnsi" w:eastAsiaTheme="minorEastAsia" w:hAnsiTheme="minorHAnsi" w:cstheme="minorBidi"/>
          <w:noProof/>
          <w:sz w:val="22"/>
          <w:lang w:eastAsia="en-AU"/>
        </w:rPr>
      </w:pPr>
      <w:hyperlink w:anchor="_Toc43913454" w:history="1">
        <w:r w:rsidR="00CF0519" w:rsidRPr="007E18A6">
          <w:rPr>
            <w:rStyle w:val="Hyperlink"/>
            <w:noProof/>
            <w:lang w:eastAsia="en-AU"/>
          </w:rPr>
          <w:t xml:space="preserve">Clause </w:t>
        </w:r>
        <w:r w:rsidR="00CF0519" w:rsidRPr="007E18A6">
          <w:rPr>
            <w:rStyle w:val="Hyperlink"/>
            <w:noProof/>
          </w:rPr>
          <w:t>5</w:t>
        </w:r>
        <w:r w:rsidR="00CF0519" w:rsidRPr="007E18A6">
          <w:rPr>
            <w:rStyle w:val="Hyperlink"/>
            <w:noProof/>
            <w:lang w:eastAsia="en-AU"/>
          </w:rPr>
          <w:t xml:space="preserve"> – Section 55A (5), new definition of </w:t>
        </w:r>
        <w:r w:rsidR="00CF0519" w:rsidRPr="007E18A6">
          <w:rPr>
            <w:rStyle w:val="Hyperlink"/>
            <w:i/>
            <w:iCs/>
            <w:noProof/>
            <w:lang w:eastAsia="en-AU"/>
          </w:rPr>
          <w:t>foster carer</w:t>
        </w:r>
        <w:r w:rsidR="00CF0519">
          <w:rPr>
            <w:noProof/>
            <w:webHidden/>
          </w:rPr>
          <w:tab/>
        </w:r>
        <w:r w:rsidR="00CF0519">
          <w:rPr>
            <w:noProof/>
            <w:webHidden/>
          </w:rPr>
          <w:fldChar w:fldCharType="begin"/>
        </w:r>
        <w:r w:rsidR="00CF0519">
          <w:rPr>
            <w:noProof/>
            <w:webHidden/>
          </w:rPr>
          <w:instrText xml:space="preserve"> PAGEREF _Toc43913454 \h </w:instrText>
        </w:r>
        <w:r w:rsidR="00CF0519">
          <w:rPr>
            <w:noProof/>
            <w:webHidden/>
          </w:rPr>
        </w:r>
        <w:r w:rsidR="00CF0519">
          <w:rPr>
            <w:noProof/>
            <w:webHidden/>
          </w:rPr>
          <w:fldChar w:fldCharType="separate"/>
        </w:r>
        <w:r w:rsidR="007119B1">
          <w:rPr>
            <w:noProof/>
            <w:webHidden/>
          </w:rPr>
          <w:t>30</w:t>
        </w:r>
        <w:r w:rsidR="00CF0519">
          <w:rPr>
            <w:noProof/>
            <w:webHidden/>
          </w:rPr>
          <w:fldChar w:fldCharType="end"/>
        </w:r>
      </w:hyperlink>
    </w:p>
    <w:p w14:paraId="2DBD7F35" w14:textId="54A7F862" w:rsidR="00CF0519" w:rsidRDefault="00A47E36">
      <w:pPr>
        <w:pStyle w:val="TOC3"/>
        <w:tabs>
          <w:tab w:val="right" w:leader="dot" w:pos="9016"/>
        </w:tabs>
        <w:rPr>
          <w:rFonts w:asciiTheme="minorHAnsi" w:eastAsiaTheme="minorEastAsia" w:hAnsiTheme="minorHAnsi" w:cstheme="minorBidi"/>
          <w:noProof/>
          <w:sz w:val="22"/>
          <w:lang w:eastAsia="en-AU"/>
        </w:rPr>
      </w:pPr>
      <w:hyperlink w:anchor="_Toc43913455" w:history="1">
        <w:r w:rsidR="00CF0519" w:rsidRPr="007E18A6">
          <w:rPr>
            <w:rStyle w:val="Hyperlink"/>
            <w:noProof/>
          </w:rPr>
          <w:t>Clause 6 – Section 56  Sexual relationship with a child or young person under special care</w:t>
        </w:r>
        <w:r w:rsidR="00CF0519">
          <w:rPr>
            <w:noProof/>
            <w:webHidden/>
          </w:rPr>
          <w:tab/>
        </w:r>
        <w:r w:rsidR="00CF0519">
          <w:rPr>
            <w:noProof/>
            <w:webHidden/>
          </w:rPr>
          <w:fldChar w:fldCharType="begin"/>
        </w:r>
        <w:r w:rsidR="00CF0519">
          <w:rPr>
            <w:noProof/>
            <w:webHidden/>
          </w:rPr>
          <w:instrText xml:space="preserve"> PAGEREF _Toc43913455 \h </w:instrText>
        </w:r>
        <w:r w:rsidR="00CF0519">
          <w:rPr>
            <w:noProof/>
            <w:webHidden/>
          </w:rPr>
        </w:r>
        <w:r w:rsidR="00CF0519">
          <w:rPr>
            <w:noProof/>
            <w:webHidden/>
          </w:rPr>
          <w:fldChar w:fldCharType="separate"/>
        </w:r>
        <w:r w:rsidR="007119B1">
          <w:rPr>
            <w:noProof/>
            <w:webHidden/>
          </w:rPr>
          <w:t>30</w:t>
        </w:r>
        <w:r w:rsidR="00CF0519">
          <w:rPr>
            <w:noProof/>
            <w:webHidden/>
          </w:rPr>
          <w:fldChar w:fldCharType="end"/>
        </w:r>
      </w:hyperlink>
    </w:p>
    <w:p w14:paraId="59C5DA63" w14:textId="6232E697" w:rsidR="00CF0519" w:rsidRDefault="00A47E36">
      <w:pPr>
        <w:pStyle w:val="TOC3"/>
        <w:tabs>
          <w:tab w:val="right" w:leader="dot" w:pos="9016"/>
        </w:tabs>
        <w:rPr>
          <w:rFonts w:asciiTheme="minorHAnsi" w:eastAsiaTheme="minorEastAsia" w:hAnsiTheme="minorHAnsi" w:cstheme="minorBidi"/>
          <w:noProof/>
          <w:sz w:val="22"/>
          <w:lang w:eastAsia="en-AU"/>
        </w:rPr>
      </w:pPr>
      <w:hyperlink w:anchor="_Toc43913456" w:history="1">
        <w:r w:rsidR="00CF0519" w:rsidRPr="007E18A6">
          <w:rPr>
            <w:rStyle w:val="Hyperlink"/>
            <w:noProof/>
          </w:rPr>
          <w:t>Clause 7 – Act of indecency with young person under special care, Section 61A (2), omit</w:t>
        </w:r>
        <w:r w:rsidR="00CF0519">
          <w:rPr>
            <w:noProof/>
            <w:webHidden/>
          </w:rPr>
          <w:tab/>
        </w:r>
        <w:r w:rsidR="00CF0519">
          <w:rPr>
            <w:noProof/>
            <w:webHidden/>
          </w:rPr>
          <w:fldChar w:fldCharType="begin"/>
        </w:r>
        <w:r w:rsidR="00CF0519">
          <w:rPr>
            <w:noProof/>
            <w:webHidden/>
          </w:rPr>
          <w:instrText xml:space="preserve"> PAGEREF _Toc43913456 \h </w:instrText>
        </w:r>
        <w:r w:rsidR="00CF0519">
          <w:rPr>
            <w:noProof/>
            <w:webHidden/>
          </w:rPr>
        </w:r>
        <w:r w:rsidR="00CF0519">
          <w:rPr>
            <w:noProof/>
            <w:webHidden/>
          </w:rPr>
          <w:fldChar w:fldCharType="separate"/>
        </w:r>
        <w:r w:rsidR="007119B1">
          <w:rPr>
            <w:noProof/>
            <w:webHidden/>
          </w:rPr>
          <w:t>34</w:t>
        </w:r>
        <w:r w:rsidR="00CF0519">
          <w:rPr>
            <w:noProof/>
            <w:webHidden/>
          </w:rPr>
          <w:fldChar w:fldCharType="end"/>
        </w:r>
      </w:hyperlink>
    </w:p>
    <w:p w14:paraId="1657E268" w14:textId="3B28F482" w:rsidR="00CF0519" w:rsidRDefault="00A47E36">
      <w:pPr>
        <w:pStyle w:val="TOC3"/>
        <w:tabs>
          <w:tab w:val="right" w:leader="dot" w:pos="9016"/>
        </w:tabs>
        <w:rPr>
          <w:rFonts w:asciiTheme="minorHAnsi" w:eastAsiaTheme="minorEastAsia" w:hAnsiTheme="minorHAnsi" w:cstheme="minorBidi"/>
          <w:noProof/>
          <w:sz w:val="22"/>
          <w:lang w:eastAsia="en-AU"/>
        </w:rPr>
      </w:pPr>
      <w:hyperlink w:anchor="_Toc43913457" w:history="1">
        <w:r w:rsidR="00CF0519" w:rsidRPr="007E18A6">
          <w:rPr>
            <w:rStyle w:val="Hyperlink"/>
            <w:noProof/>
            <w:lang w:eastAsia="en-AU"/>
          </w:rPr>
          <w:t xml:space="preserve">Clause </w:t>
        </w:r>
        <w:r w:rsidR="00CF0519" w:rsidRPr="007E18A6">
          <w:rPr>
            <w:rStyle w:val="Hyperlink"/>
            <w:noProof/>
          </w:rPr>
          <w:t>8</w:t>
        </w:r>
        <w:r w:rsidR="00CF0519" w:rsidRPr="007E18A6">
          <w:rPr>
            <w:rStyle w:val="Hyperlink"/>
            <w:noProof/>
            <w:lang w:eastAsia="en-AU"/>
          </w:rPr>
          <w:t xml:space="preserve"> –Section 61A (5), definitions</w:t>
        </w:r>
        <w:r w:rsidR="00CF0519">
          <w:rPr>
            <w:noProof/>
            <w:webHidden/>
          </w:rPr>
          <w:tab/>
        </w:r>
        <w:r w:rsidR="00CF0519">
          <w:rPr>
            <w:noProof/>
            <w:webHidden/>
          </w:rPr>
          <w:fldChar w:fldCharType="begin"/>
        </w:r>
        <w:r w:rsidR="00CF0519">
          <w:rPr>
            <w:noProof/>
            <w:webHidden/>
          </w:rPr>
          <w:instrText xml:space="preserve"> PAGEREF _Toc43913457 \h </w:instrText>
        </w:r>
        <w:r w:rsidR="00CF0519">
          <w:rPr>
            <w:noProof/>
            <w:webHidden/>
          </w:rPr>
        </w:r>
        <w:r w:rsidR="00CF0519">
          <w:rPr>
            <w:noProof/>
            <w:webHidden/>
          </w:rPr>
          <w:fldChar w:fldCharType="separate"/>
        </w:r>
        <w:r w:rsidR="007119B1">
          <w:rPr>
            <w:noProof/>
            <w:webHidden/>
          </w:rPr>
          <w:t>34</w:t>
        </w:r>
        <w:r w:rsidR="00CF0519">
          <w:rPr>
            <w:noProof/>
            <w:webHidden/>
          </w:rPr>
          <w:fldChar w:fldCharType="end"/>
        </w:r>
      </w:hyperlink>
    </w:p>
    <w:p w14:paraId="44956C79" w14:textId="68825C8D" w:rsidR="00CF0519" w:rsidRDefault="00A47E36">
      <w:pPr>
        <w:pStyle w:val="TOC3"/>
        <w:tabs>
          <w:tab w:val="right" w:leader="dot" w:pos="9016"/>
        </w:tabs>
        <w:rPr>
          <w:rFonts w:asciiTheme="minorHAnsi" w:eastAsiaTheme="minorEastAsia" w:hAnsiTheme="minorHAnsi" w:cstheme="minorBidi"/>
          <w:noProof/>
          <w:sz w:val="22"/>
          <w:lang w:eastAsia="en-AU"/>
        </w:rPr>
      </w:pPr>
      <w:hyperlink w:anchor="_Toc43913458" w:history="1">
        <w:r w:rsidR="00CF0519" w:rsidRPr="007E18A6">
          <w:rPr>
            <w:rStyle w:val="Hyperlink"/>
            <w:noProof/>
            <w:lang w:eastAsia="en-AU"/>
          </w:rPr>
          <w:t xml:space="preserve">Clause </w:t>
        </w:r>
        <w:r w:rsidR="00CF0519" w:rsidRPr="007E18A6">
          <w:rPr>
            <w:rStyle w:val="Hyperlink"/>
            <w:noProof/>
          </w:rPr>
          <w:t>9</w:t>
        </w:r>
        <w:r w:rsidR="00CF0519" w:rsidRPr="007E18A6">
          <w:rPr>
            <w:rStyle w:val="Hyperlink"/>
            <w:noProof/>
            <w:lang w:eastAsia="en-AU"/>
          </w:rPr>
          <w:t xml:space="preserve"> –Section 61A (5), new definition of </w:t>
        </w:r>
        <w:r w:rsidR="00CF0519" w:rsidRPr="007E18A6">
          <w:rPr>
            <w:rStyle w:val="Hyperlink"/>
            <w:i/>
            <w:iCs/>
            <w:noProof/>
            <w:lang w:eastAsia="en-AU"/>
          </w:rPr>
          <w:t>special care</w:t>
        </w:r>
        <w:r w:rsidR="00CF0519">
          <w:rPr>
            <w:noProof/>
            <w:webHidden/>
          </w:rPr>
          <w:tab/>
        </w:r>
        <w:r w:rsidR="00CF0519">
          <w:rPr>
            <w:noProof/>
            <w:webHidden/>
          </w:rPr>
          <w:fldChar w:fldCharType="begin"/>
        </w:r>
        <w:r w:rsidR="00CF0519">
          <w:rPr>
            <w:noProof/>
            <w:webHidden/>
          </w:rPr>
          <w:instrText xml:space="preserve"> PAGEREF _Toc43913458 \h </w:instrText>
        </w:r>
        <w:r w:rsidR="00CF0519">
          <w:rPr>
            <w:noProof/>
            <w:webHidden/>
          </w:rPr>
        </w:r>
        <w:r w:rsidR="00CF0519">
          <w:rPr>
            <w:noProof/>
            <w:webHidden/>
          </w:rPr>
          <w:fldChar w:fldCharType="separate"/>
        </w:r>
        <w:r w:rsidR="007119B1">
          <w:rPr>
            <w:noProof/>
            <w:webHidden/>
          </w:rPr>
          <w:t>34</w:t>
        </w:r>
        <w:r w:rsidR="00CF0519">
          <w:rPr>
            <w:noProof/>
            <w:webHidden/>
          </w:rPr>
          <w:fldChar w:fldCharType="end"/>
        </w:r>
      </w:hyperlink>
    </w:p>
    <w:p w14:paraId="336F3CBE" w14:textId="630C84FA" w:rsidR="00CF0519" w:rsidRDefault="00A47E36">
      <w:pPr>
        <w:pStyle w:val="TOC3"/>
        <w:tabs>
          <w:tab w:val="right" w:leader="dot" w:pos="9016"/>
        </w:tabs>
        <w:rPr>
          <w:rFonts w:asciiTheme="minorHAnsi" w:eastAsiaTheme="minorEastAsia" w:hAnsiTheme="minorHAnsi" w:cstheme="minorBidi"/>
          <w:noProof/>
          <w:sz w:val="22"/>
          <w:lang w:eastAsia="en-AU"/>
        </w:rPr>
      </w:pPr>
      <w:hyperlink w:anchor="_Toc43913459" w:history="1">
        <w:r w:rsidR="00CF0519" w:rsidRPr="007E18A6">
          <w:rPr>
            <w:rStyle w:val="Hyperlink"/>
            <w:noProof/>
            <w:lang w:eastAsia="en-AU"/>
          </w:rPr>
          <w:t xml:space="preserve">Clause </w:t>
        </w:r>
        <w:r w:rsidR="00CF0519" w:rsidRPr="007E18A6">
          <w:rPr>
            <w:rStyle w:val="Hyperlink"/>
            <w:noProof/>
          </w:rPr>
          <w:t>10</w:t>
        </w:r>
        <w:r w:rsidR="00CF0519" w:rsidRPr="007E18A6">
          <w:rPr>
            <w:rStyle w:val="Hyperlink"/>
            <w:noProof/>
            <w:lang w:eastAsia="en-AU"/>
          </w:rPr>
          <w:t xml:space="preserve"> – Failure by person in authority to protect child or young person from sexual offence, new section 66A (2) (aa).</w:t>
        </w:r>
        <w:r w:rsidR="00CF0519">
          <w:rPr>
            <w:noProof/>
            <w:webHidden/>
          </w:rPr>
          <w:tab/>
        </w:r>
        <w:r w:rsidR="00CF0519">
          <w:rPr>
            <w:noProof/>
            <w:webHidden/>
          </w:rPr>
          <w:fldChar w:fldCharType="begin"/>
        </w:r>
        <w:r w:rsidR="00CF0519">
          <w:rPr>
            <w:noProof/>
            <w:webHidden/>
          </w:rPr>
          <w:instrText xml:space="preserve"> PAGEREF _Toc43913459 \h </w:instrText>
        </w:r>
        <w:r w:rsidR="00CF0519">
          <w:rPr>
            <w:noProof/>
            <w:webHidden/>
          </w:rPr>
        </w:r>
        <w:r w:rsidR="00CF0519">
          <w:rPr>
            <w:noProof/>
            <w:webHidden/>
          </w:rPr>
          <w:fldChar w:fldCharType="separate"/>
        </w:r>
        <w:r w:rsidR="007119B1">
          <w:rPr>
            <w:noProof/>
            <w:webHidden/>
          </w:rPr>
          <w:t>34</w:t>
        </w:r>
        <w:r w:rsidR="00CF0519">
          <w:rPr>
            <w:noProof/>
            <w:webHidden/>
          </w:rPr>
          <w:fldChar w:fldCharType="end"/>
        </w:r>
      </w:hyperlink>
    </w:p>
    <w:p w14:paraId="4D7A163F" w14:textId="01F6851B" w:rsidR="00CF0519" w:rsidRDefault="00A47E36">
      <w:pPr>
        <w:pStyle w:val="TOC3"/>
        <w:tabs>
          <w:tab w:val="right" w:leader="dot" w:pos="9016"/>
        </w:tabs>
        <w:rPr>
          <w:rFonts w:asciiTheme="minorHAnsi" w:eastAsiaTheme="minorEastAsia" w:hAnsiTheme="minorHAnsi" w:cstheme="minorBidi"/>
          <w:noProof/>
          <w:sz w:val="22"/>
          <w:lang w:eastAsia="en-AU"/>
        </w:rPr>
      </w:pPr>
      <w:hyperlink w:anchor="_Toc43913460" w:history="1">
        <w:r w:rsidR="00CF0519" w:rsidRPr="007E18A6">
          <w:rPr>
            <w:rStyle w:val="Hyperlink"/>
            <w:noProof/>
            <w:lang w:eastAsia="en-AU"/>
          </w:rPr>
          <w:t xml:space="preserve">Clause </w:t>
        </w:r>
        <w:r w:rsidR="00CF0519" w:rsidRPr="007E18A6">
          <w:rPr>
            <w:rStyle w:val="Hyperlink"/>
            <w:noProof/>
          </w:rPr>
          <w:t>11</w:t>
        </w:r>
        <w:r w:rsidR="00CF0519" w:rsidRPr="007E18A6">
          <w:rPr>
            <w:rStyle w:val="Hyperlink"/>
            <w:noProof/>
            <w:lang w:eastAsia="en-AU"/>
          </w:rPr>
          <w:t xml:space="preserve"> – Section 66A (5), new definition of religious confession</w:t>
        </w:r>
        <w:r w:rsidR="00CF0519">
          <w:rPr>
            <w:noProof/>
            <w:webHidden/>
          </w:rPr>
          <w:tab/>
        </w:r>
        <w:r w:rsidR="00CF0519">
          <w:rPr>
            <w:noProof/>
            <w:webHidden/>
          </w:rPr>
          <w:fldChar w:fldCharType="begin"/>
        </w:r>
        <w:r w:rsidR="00CF0519">
          <w:rPr>
            <w:noProof/>
            <w:webHidden/>
          </w:rPr>
          <w:instrText xml:space="preserve"> PAGEREF _Toc43913460 \h </w:instrText>
        </w:r>
        <w:r w:rsidR="00CF0519">
          <w:rPr>
            <w:noProof/>
            <w:webHidden/>
          </w:rPr>
        </w:r>
        <w:r w:rsidR="00CF0519">
          <w:rPr>
            <w:noProof/>
            <w:webHidden/>
          </w:rPr>
          <w:fldChar w:fldCharType="separate"/>
        </w:r>
        <w:r w:rsidR="007119B1">
          <w:rPr>
            <w:noProof/>
            <w:webHidden/>
          </w:rPr>
          <w:t>34</w:t>
        </w:r>
        <w:r w:rsidR="00CF0519">
          <w:rPr>
            <w:noProof/>
            <w:webHidden/>
          </w:rPr>
          <w:fldChar w:fldCharType="end"/>
        </w:r>
      </w:hyperlink>
    </w:p>
    <w:p w14:paraId="5FB444D4" w14:textId="63CCAA93" w:rsidR="00CF0519" w:rsidRDefault="00A47E36">
      <w:pPr>
        <w:pStyle w:val="TOC1"/>
        <w:tabs>
          <w:tab w:val="right" w:leader="dot" w:pos="9016"/>
        </w:tabs>
        <w:rPr>
          <w:rFonts w:asciiTheme="minorHAnsi" w:eastAsiaTheme="minorEastAsia" w:hAnsiTheme="minorHAnsi" w:cstheme="minorBidi"/>
          <w:noProof/>
          <w:sz w:val="22"/>
          <w:lang w:eastAsia="en-AU"/>
        </w:rPr>
      </w:pPr>
      <w:hyperlink w:anchor="_Toc43913461" w:history="1">
        <w:r w:rsidR="00CF0519" w:rsidRPr="007E18A6">
          <w:rPr>
            <w:rStyle w:val="Hyperlink"/>
            <w:noProof/>
            <w:lang w:eastAsia="en-AU"/>
          </w:rPr>
          <w:t>Part 3 – Evidence Act 2011</w:t>
        </w:r>
        <w:r w:rsidR="00CF0519">
          <w:rPr>
            <w:noProof/>
            <w:webHidden/>
          </w:rPr>
          <w:tab/>
        </w:r>
        <w:r w:rsidR="00CF0519">
          <w:rPr>
            <w:noProof/>
            <w:webHidden/>
          </w:rPr>
          <w:fldChar w:fldCharType="begin"/>
        </w:r>
        <w:r w:rsidR="00CF0519">
          <w:rPr>
            <w:noProof/>
            <w:webHidden/>
          </w:rPr>
          <w:instrText xml:space="preserve"> PAGEREF _Toc43913461 \h </w:instrText>
        </w:r>
        <w:r w:rsidR="00CF0519">
          <w:rPr>
            <w:noProof/>
            <w:webHidden/>
          </w:rPr>
        </w:r>
        <w:r w:rsidR="00CF0519">
          <w:rPr>
            <w:noProof/>
            <w:webHidden/>
          </w:rPr>
          <w:fldChar w:fldCharType="separate"/>
        </w:r>
        <w:r w:rsidR="007119B1">
          <w:rPr>
            <w:noProof/>
            <w:webHidden/>
          </w:rPr>
          <w:t>34</w:t>
        </w:r>
        <w:r w:rsidR="00CF0519">
          <w:rPr>
            <w:noProof/>
            <w:webHidden/>
          </w:rPr>
          <w:fldChar w:fldCharType="end"/>
        </w:r>
      </w:hyperlink>
    </w:p>
    <w:p w14:paraId="21C15FF8" w14:textId="65E446A0" w:rsidR="00CF0519" w:rsidRDefault="00A47E36">
      <w:pPr>
        <w:pStyle w:val="TOC3"/>
        <w:tabs>
          <w:tab w:val="right" w:leader="dot" w:pos="9016"/>
        </w:tabs>
        <w:rPr>
          <w:rFonts w:asciiTheme="minorHAnsi" w:eastAsiaTheme="minorEastAsia" w:hAnsiTheme="minorHAnsi" w:cstheme="minorBidi"/>
          <w:noProof/>
          <w:sz w:val="22"/>
          <w:lang w:eastAsia="en-AU"/>
        </w:rPr>
      </w:pPr>
      <w:hyperlink w:anchor="_Toc43913462" w:history="1">
        <w:r w:rsidR="00CF0519" w:rsidRPr="007E18A6">
          <w:rPr>
            <w:rStyle w:val="Hyperlink"/>
            <w:noProof/>
          </w:rPr>
          <w:t>Clause 12 – Application – pt 3.6</w:t>
        </w:r>
        <w:r w:rsidR="00CF0519">
          <w:rPr>
            <w:noProof/>
            <w:webHidden/>
          </w:rPr>
          <w:tab/>
        </w:r>
        <w:r w:rsidR="00CF0519">
          <w:rPr>
            <w:noProof/>
            <w:webHidden/>
          </w:rPr>
          <w:fldChar w:fldCharType="begin"/>
        </w:r>
        <w:r w:rsidR="00CF0519">
          <w:rPr>
            <w:noProof/>
            <w:webHidden/>
          </w:rPr>
          <w:instrText xml:space="preserve"> PAGEREF _Toc43913462 \h </w:instrText>
        </w:r>
        <w:r w:rsidR="00CF0519">
          <w:rPr>
            <w:noProof/>
            <w:webHidden/>
          </w:rPr>
        </w:r>
        <w:r w:rsidR="00CF0519">
          <w:rPr>
            <w:noProof/>
            <w:webHidden/>
          </w:rPr>
          <w:fldChar w:fldCharType="separate"/>
        </w:r>
        <w:r w:rsidR="007119B1">
          <w:rPr>
            <w:noProof/>
            <w:webHidden/>
          </w:rPr>
          <w:t>35</w:t>
        </w:r>
        <w:r w:rsidR="00CF0519">
          <w:rPr>
            <w:noProof/>
            <w:webHidden/>
          </w:rPr>
          <w:fldChar w:fldCharType="end"/>
        </w:r>
      </w:hyperlink>
    </w:p>
    <w:p w14:paraId="128B769A" w14:textId="4E3B57FA" w:rsidR="00CF0519" w:rsidRDefault="00A47E36">
      <w:pPr>
        <w:pStyle w:val="TOC3"/>
        <w:tabs>
          <w:tab w:val="right" w:leader="dot" w:pos="9016"/>
        </w:tabs>
        <w:rPr>
          <w:rFonts w:asciiTheme="minorHAnsi" w:eastAsiaTheme="minorEastAsia" w:hAnsiTheme="minorHAnsi" w:cstheme="minorBidi"/>
          <w:noProof/>
          <w:sz w:val="22"/>
          <w:lang w:eastAsia="en-AU"/>
        </w:rPr>
      </w:pPr>
      <w:hyperlink w:anchor="_Toc43913463" w:history="1">
        <w:r w:rsidR="00CF0519" w:rsidRPr="007E18A6">
          <w:rPr>
            <w:rStyle w:val="Hyperlink"/>
            <w:noProof/>
          </w:rPr>
          <w:t>Clause 13 –New section 97A, Admissibility of tendency evidence in proceedings involving child sexual offences -</w:t>
        </w:r>
        <w:r w:rsidR="00CF0519">
          <w:rPr>
            <w:noProof/>
            <w:webHidden/>
          </w:rPr>
          <w:tab/>
        </w:r>
        <w:r w:rsidR="00CF0519">
          <w:rPr>
            <w:noProof/>
            <w:webHidden/>
          </w:rPr>
          <w:fldChar w:fldCharType="begin"/>
        </w:r>
        <w:r w:rsidR="00CF0519">
          <w:rPr>
            <w:noProof/>
            <w:webHidden/>
          </w:rPr>
          <w:instrText xml:space="preserve"> PAGEREF _Toc43913463 \h </w:instrText>
        </w:r>
        <w:r w:rsidR="00CF0519">
          <w:rPr>
            <w:noProof/>
            <w:webHidden/>
          </w:rPr>
        </w:r>
        <w:r w:rsidR="00CF0519">
          <w:rPr>
            <w:noProof/>
            <w:webHidden/>
          </w:rPr>
          <w:fldChar w:fldCharType="separate"/>
        </w:r>
        <w:r w:rsidR="007119B1">
          <w:rPr>
            <w:noProof/>
            <w:webHidden/>
          </w:rPr>
          <w:t>35</w:t>
        </w:r>
        <w:r w:rsidR="00CF0519">
          <w:rPr>
            <w:noProof/>
            <w:webHidden/>
          </w:rPr>
          <w:fldChar w:fldCharType="end"/>
        </w:r>
      </w:hyperlink>
    </w:p>
    <w:p w14:paraId="0B51ACB1" w14:textId="7D072C91" w:rsidR="00CF0519" w:rsidRDefault="00A47E36">
      <w:pPr>
        <w:pStyle w:val="TOC3"/>
        <w:tabs>
          <w:tab w:val="right" w:leader="dot" w:pos="9016"/>
        </w:tabs>
        <w:rPr>
          <w:rFonts w:asciiTheme="minorHAnsi" w:eastAsiaTheme="minorEastAsia" w:hAnsiTheme="minorHAnsi" w:cstheme="minorBidi"/>
          <w:noProof/>
          <w:sz w:val="22"/>
          <w:lang w:eastAsia="en-AU"/>
        </w:rPr>
      </w:pPr>
      <w:hyperlink w:anchor="_Toc43913464" w:history="1">
        <w:r w:rsidR="00CF0519" w:rsidRPr="007E18A6">
          <w:rPr>
            <w:rStyle w:val="Hyperlink"/>
            <w:noProof/>
          </w:rPr>
          <w:t>Clause 14 – The coincidence rule, New section 98 (1A)</w:t>
        </w:r>
        <w:r w:rsidR="00CF0519">
          <w:rPr>
            <w:noProof/>
            <w:webHidden/>
          </w:rPr>
          <w:tab/>
        </w:r>
        <w:r w:rsidR="00CF0519">
          <w:rPr>
            <w:noProof/>
            <w:webHidden/>
          </w:rPr>
          <w:fldChar w:fldCharType="begin"/>
        </w:r>
        <w:r w:rsidR="00CF0519">
          <w:rPr>
            <w:noProof/>
            <w:webHidden/>
          </w:rPr>
          <w:instrText xml:space="preserve"> PAGEREF _Toc43913464 \h </w:instrText>
        </w:r>
        <w:r w:rsidR="00CF0519">
          <w:rPr>
            <w:noProof/>
            <w:webHidden/>
          </w:rPr>
        </w:r>
        <w:r w:rsidR="00CF0519">
          <w:rPr>
            <w:noProof/>
            <w:webHidden/>
          </w:rPr>
          <w:fldChar w:fldCharType="separate"/>
        </w:r>
        <w:r w:rsidR="007119B1">
          <w:rPr>
            <w:noProof/>
            <w:webHidden/>
          </w:rPr>
          <w:t>36</w:t>
        </w:r>
        <w:r w:rsidR="00CF0519">
          <w:rPr>
            <w:noProof/>
            <w:webHidden/>
          </w:rPr>
          <w:fldChar w:fldCharType="end"/>
        </w:r>
      </w:hyperlink>
    </w:p>
    <w:p w14:paraId="575AC55C" w14:textId="354D3DF3" w:rsidR="00CF0519" w:rsidRDefault="00A47E36">
      <w:pPr>
        <w:pStyle w:val="TOC3"/>
        <w:tabs>
          <w:tab w:val="right" w:leader="dot" w:pos="9016"/>
        </w:tabs>
        <w:rPr>
          <w:rFonts w:asciiTheme="minorHAnsi" w:eastAsiaTheme="minorEastAsia" w:hAnsiTheme="minorHAnsi" w:cstheme="minorBidi"/>
          <w:noProof/>
          <w:sz w:val="22"/>
          <w:lang w:eastAsia="en-AU"/>
        </w:rPr>
      </w:pPr>
      <w:hyperlink w:anchor="_Toc43913465" w:history="1">
        <w:r w:rsidR="00CF0519" w:rsidRPr="007E18A6">
          <w:rPr>
            <w:rStyle w:val="Hyperlink"/>
            <w:noProof/>
          </w:rPr>
          <w:t>Clause 15 – Further restrictions on tendency evidence and coincidence evidence presented by prosecution, Section 101(2)</w:t>
        </w:r>
        <w:r w:rsidR="00CF0519">
          <w:rPr>
            <w:noProof/>
            <w:webHidden/>
          </w:rPr>
          <w:tab/>
        </w:r>
        <w:r w:rsidR="00CF0519">
          <w:rPr>
            <w:noProof/>
            <w:webHidden/>
          </w:rPr>
          <w:fldChar w:fldCharType="begin"/>
        </w:r>
        <w:r w:rsidR="00CF0519">
          <w:rPr>
            <w:noProof/>
            <w:webHidden/>
          </w:rPr>
          <w:instrText xml:space="preserve"> PAGEREF _Toc43913465 \h </w:instrText>
        </w:r>
        <w:r w:rsidR="00CF0519">
          <w:rPr>
            <w:noProof/>
            <w:webHidden/>
          </w:rPr>
        </w:r>
        <w:r w:rsidR="00CF0519">
          <w:rPr>
            <w:noProof/>
            <w:webHidden/>
          </w:rPr>
          <w:fldChar w:fldCharType="separate"/>
        </w:r>
        <w:r w:rsidR="007119B1">
          <w:rPr>
            <w:noProof/>
            <w:webHidden/>
          </w:rPr>
          <w:t>36</w:t>
        </w:r>
        <w:r w:rsidR="00CF0519">
          <w:rPr>
            <w:noProof/>
            <w:webHidden/>
          </w:rPr>
          <w:fldChar w:fldCharType="end"/>
        </w:r>
      </w:hyperlink>
    </w:p>
    <w:p w14:paraId="50524A10" w14:textId="6F95F6C3" w:rsidR="00CF0519" w:rsidRDefault="00A47E36">
      <w:pPr>
        <w:pStyle w:val="TOC1"/>
        <w:tabs>
          <w:tab w:val="right" w:leader="dot" w:pos="9016"/>
        </w:tabs>
        <w:rPr>
          <w:rFonts w:asciiTheme="minorHAnsi" w:eastAsiaTheme="minorEastAsia" w:hAnsiTheme="minorHAnsi" w:cstheme="minorBidi"/>
          <w:noProof/>
          <w:sz w:val="22"/>
          <w:lang w:eastAsia="en-AU"/>
        </w:rPr>
      </w:pPr>
      <w:hyperlink w:anchor="_Toc43913466" w:history="1">
        <w:r w:rsidR="00CF0519" w:rsidRPr="007E18A6">
          <w:rPr>
            <w:rStyle w:val="Hyperlink"/>
            <w:noProof/>
            <w:lang w:eastAsia="en-AU"/>
          </w:rPr>
          <w:t>Schedule 1 – Consequential amendments</w:t>
        </w:r>
        <w:r w:rsidR="00CF0519">
          <w:rPr>
            <w:noProof/>
            <w:webHidden/>
          </w:rPr>
          <w:tab/>
        </w:r>
        <w:r w:rsidR="00CF0519">
          <w:rPr>
            <w:noProof/>
            <w:webHidden/>
          </w:rPr>
          <w:fldChar w:fldCharType="begin"/>
        </w:r>
        <w:r w:rsidR="00CF0519">
          <w:rPr>
            <w:noProof/>
            <w:webHidden/>
          </w:rPr>
          <w:instrText xml:space="preserve"> PAGEREF _Toc43913466 \h </w:instrText>
        </w:r>
        <w:r w:rsidR="00CF0519">
          <w:rPr>
            <w:noProof/>
            <w:webHidden/>
          </w:rPr>
        </w:r>
        <w:r w:rsidR="00CF0519">
          <w:rPr>
            <w:noProof/>
            <w:webHidden/>
          </w:rPr>
          <w:fldChar w:fldCharType="separate"/>
        </w:r>
        <w:r w:rsidR="007119B1">
          <w:rPr>
            <w:noProof/>
            <w:webHidden/>
          </w:rPr>
          <w:t>37</w:t>
        </w:r>
        <w:r w:rsidR="00CF0519">
          <w:rPr>
            <w:noProof/>
            <w:webHidden/>
          </w:rPr>
          <w:fldChar w:fldCharType="end"/>
        </w:r>
      </w:hyperlink>
    </w:p>
    <w:p w14:paraId="6E7E8B60" w14:textId="7FF03A60" w:rsidR="00E81A2F" w:rsidRDefault="00B51056" w:rsidP="00B51056">
      <w:r>
        <w:fldChar w:fldCharType="end"/>
      </w:r>
    </w:p>
    <w:p w14:paraId="1F4E720A" w14:textId="77777777" w:rsidR="00B51056" w:rsidRDefault="00B51056">
      <w:pPr>
        <w:spacing w:after="160" w:line="259" w:lineRule="auto"/>
        <w:jc w:val="left"/>
        <w:rPr>
          <w:b/>
          <w:u w:val="single"/>
        </w:rPr>
      </w:pPr>
      <w:r>
        <w:rPr>
          <w:b/>
          <w:u w:val="single"/>
        </w:rPr>
        <w:br w:type="page"/>
      </w:r>
    </w:p>
    <w:p w14:paraId="22FA8540" w14:textId="09DA85DF" w:rsidR="00B51056" w:rsidRPr="00B51056" w:rsidRDefault="00B51056" w:rsidP="00B51056">
      <w:pPr>
        <w:jc w:val="center"/>
        <w:rPr>
          <w:u w:val="single"/>
        </w:rPr>
      </w:pPr>
      <w:r w:rsidRPr="00B51056">
        <w:rPr>
          <w:b/>
          <w:u w:val="single"/>
        </w:rPr>
        <w:lastRenderedPageBreak/>
        <w:t>ROYAL COMMISSION CRIMINAL JUSTICE LEGISLATION AMENDMENT BILL 2020</w:t>
      </w:r>
    </w:p>
    <w:p w14:paraId="7FECEE61" w14:textId="77777777" w:rsidR="00B51056" w:rsidRPr="00B51056" w:rsidRDefault="00B51056" w:rsidP="00B51056"/>
    <w:p w14:paraId="6564E892" w14:textId="06FC955B" w:rsidR="00B10644" w:rsidRPr="00A511E0" w:rsidRDefault="00B10644" w:rsidP="00B51056">
      <w:pPr>
        <w:pStyle w:val="Heading2"/>
      </w:pPr>
      <w:bookmarkStart w:id="10" w:name="_Toc43913443"/>
      <w:r w:rsidRPr="00A511E0">
        <w:t>Introduction</w:t>
      </w:r>
      <w:bookmarkEnd w:id="1"/>
      <w:bookmarkEnd w:id="2"/>
      <w:bookmarkEnd w:id="3"/>
      <w:bookmarkEnd w:id="10"/>
    </w:p>
    <w:p w14:paraId="6B3B17DB" w14:textId="0E98890E" w:rsidR="00B10644" w:rsidRPr="00A511E0" w:rsidRDefault="00B10644" w:rsidP="00B10644">
      <w:r w:rsidRPr="00A511E0">
        <w:t xml:space="preserve">This Explanatory Statement relates to the </w:t>
      </w:r>
      <w:r w:rsidRPr="00A511E0">
        <w:rPr>
          <w:i/>
        </w:rPr>
        <w:t xml:space="preserve">Royal </w:t>
      </w:r>
      <w:r w:rsidRPr="009D6787">
        <w:rPr>
          <w:i/>
        </w:rPr>
        <w:t>Commission Criminal Justice Legislation</w:t>
      </w:r>
      <w:r w:rsidRPr="00A511E0">
        <w:rPr>
          <w:i/>
        </w:rPr>
        <w:t xml:space="preserve"> Amendment Bill </w:t>
      </w:r>
      <w:r w:rsidR="00DB5FAF" w:rsidRPr="00A511E0">
        <w:rPr>
          <w:i/>
        </w:rPr>
        <w:t>20</w:t>
      </w:r>
      <w:r w:rsidR="00DB5FAF">
        <w:rPr>
          <w:i/>
        </w:rPr>
        <w:t>20</w:t>
      </w:r>
      <w:r w:rsidR="00DB5FAF" w:rsidRPr="00A511E0">
        <w:rPr>
          <w:i/>
        </w:rPr>
        <w:t xml:space="preserve"> </w:t>
      </w:r>
      <w:r w:rsidRPr="00A511E0">
        <w:t xml:space="preserve">(the Bill) as presented to the ACT Legislative Assembly. It has been prepared in order to assist the reader of the Bill and to help inform debate on it. It does not form part of the Bill and has not been endorsed by the Assembly. </w:t>
      </w:r>
    </w:p>
    <w:p w14:paraId="550F1F33" w14:textId="49D6CBA6" w:rsidR="00B10644" w:rsidRDefault="00B10644" w:rsidP="00B10644">
      <w:r w:rsidRPr="00A511E0">
        <w:t>The</w:t>
      </w:r>
      <w:r>
        <w:t xml:space="preserve"> Explanatory</w:t>
      </w:r>
      <w:r w:rsidRPr="00A511E0">
        <w:t xml:space="preserve"> Statement must be read in conjunction with the Bill. It is not, and is not meant to be, a comprehensive description of the amendments. What is said about a provision is not to be taken as an authoritative guide to the meaning of a provision, this being a task for the courts.</w:t>
      </w:r>
    </w:p>
    <w:p w14:paraId="504F6C55" w14:textId="56212F06" w:rsidR="006230ED" w:rsidRPr="006230ED" w:rsidRDefault="006230ED" w:rsidP="00B10644">
      <w:r w:rsidRPr="0051718C">
        <w:t xml:space="preserve">The Bill </w:t>
      </w:r>
      <w:r w:rsidRPr="006230ED">
        <w:t>is</w:t>
      </w:r>
      <w:r w:rsidRPr="0051718C">
        <w:t xml:space="preserve"> a Significant Bill. Significant Bills are bills that have been assessed as likely to have significant engagement of human rights and require more detailed reasoning in relation to compatibility with the Human Rights Act 2004.</w:t>
      </w:r>
    </w:p>
    <w:p w14:paraId="0F848A84" w14:textId="77777777" w:rsidR="00B10644" w:rsidRPr="00A511E0" w:rsidRDefault="00B10644" w:rsidP="00B51056">
      <w:pPr>
        <w:pStyle w:val="Heading2"/>
      </w:pPr>
      <w:bookmarkStart w:id="11" w:name="_Toc524517791"/>
      <w:bookmarkStart w:id="12" w:name="_Toc525903859"/>
      <w:bookmarkStart w:id="13" w:name="_Toc1399148"/>
      <w:bookmarkStart w:id="14" w:name="_Toc43913444"/>
      <w:r w:rsidRPr="00A511E0">
        <w:t>Purpose of the Bill</w:t>
      </w:r>
      <w:bookmarkEnd w:id="4"/>
      <w:bookmarkEnd w:id="5"/>
      <w:bookmarkEnd w:id="11"/>
      <w:bookmarkEnd w:id="12"/>
      <w:bookmarkEnd w:id="13"/>
      <w:bookmarkEnd w:id="14"/>
    </w:p>
    <w:p w14:paraId="6AC2927D" w14:textId="77777777" w:rsidR="00B10644" w:rsidRDefault="00B10644" w:rsidP="00B10644">
      <w:r>
        <w:t>The policy objectives of the</w:t>
      </w:r>
      <w:r w:rsidRPr="00A511E0">
        <w:t xml:space="preserve"> </w:t>
      </w:r>
      <w:r>
        <w:t>B</w:t>
      </w:r>
      <w:r w:rsidRPr="00A511E0">
        <w:t xml:space="preserve">ill </w:t>
      </w:r>
      <w:r>
        <w:t>are</w:t>
      </w:r>
      <w:r w:rsidRPr="00A511E0">
        <w:t xml:space="preserve"> to</w:t>
      </w:r>
      <w:r>
        <w:t>:</w:t>
      </w:r>
    </w:p>
    <w:p w14:paraId="457AA984" w14:textId="39ABBE91" w:rsidR="00B10644" w:rsidRDefault="00B10644" w:rsidP="00B10644">
      <w:pPr>
        <w:pStyle w:val="ListParagraph"/>
        <w:numPr>
          <w:ilvl w:val="0"/>
          <w:numId w:val="24"/>
        </w:numPr>
      </w:pPr>
      <w:r w:rsidRPr="00A511E0">
        <w:t xml:space="preserve">implement a number of recommendations made by the </w:t>
      </w:r>
      <w:r w:rsidRPr="00246DD1">
        <w:rPr>
          <w:i/>
        </w:rPr>
        <w:t>Royal Commission into Institutional Responses to Child Sexual Abuse</w:t>
      </w:r>
      <w:r w:rsidRPr="00A511E0">
        <w:t xml:space="preserve"> (the Royal Commission) in its Criminal Justice Report</w:t>
      </w:r>
      <w:r w:rsidRPr="00A511E0">
        <w:rPr>
          <w:rStyle w:val="FootnoteReference"/>
          <w:szCs w:val="24"/>
        </w:rPr>
        <w:footnoteReference w:id="1"/>
      </w:r>
      <w:r>
        <w:t>, and</w:t>
      </w:r>
    </w:p>
    <w:p w14:paraId="43EBAFD2" w14:textId="04AA69CF" w:rsidR="00E662E4" w:rsidRDefault="00E662E4" w:rsidP="00E662E4">
      <w:pPr>
        <w:pStyle w:val="ListParagraph"/>
        <w:numPr>
          <w:ilvl w:val="0"/>
          <w:numId w:val="24"/>
        </w:numPr>
      </w:pPr>
      <w:r>
        <w:t xml:space="preserve">amend s 127 of the </w:t>
      </w:r>
      <w:r w:rsidRPr="00E662E4">
        <w:rPr>
          <w:i/>
          <w:iCs/>
        </w:rPr>
        <w:t xml:space="preserve">Evidence Act 2011 </w:t>
      </w:r>
      <w:r>
        <w:t xml:space="preserve">(ACT) </w:t>
      </w:r>
      <w:r w:rsidRPr="00E662E4">
        <w:t>relating to religious confessions</w:t>
      </w:r>
      <w:r>
        <w:t>, to</w:t>
      </w:r>
      <w:r w:rsidRPr="00E662E4">
        <w:t xml:space="preserve"> support </w:t>
      </w:r>
      <w:r>
        <w:t xml:space="preserve">the </w:t>
      </w:r>
      <w:r w:rsidRPr="00E662E4">
        <w:t xml:space="preserve">reforms passed </w:t>
      </w:r>
      <w:r>
        <w:t>in 2019</w:t>
      </w:r>
      <w:r w:rsidRPr="00E662E4">
        <w:t xml:space="preserve"> </w:t>
      </w:r>
      <w:r>
        <w:t>which</w:t>
      </w:r>
      <w:r w:rsidRPr="00E662E4">
        <w:t xml:space="preserve"> implement</w:t>
      </w:r>
      <w:r>
        <w:t>ed</w:t>
      </w:r>
      <w:r w:rsidRPr="00E662E4">
        <w:t xml:space="preserve"> </w:t>
      </w:r>
      <w:r>
        <w:t xml:space="preserve">the </w:t>
      </w:r>
      <w:r w:rsidRPr="00E662E4">
        <w:t>Royal Commission recommendations relating to reporting laws</w:t>
      </w:r>
      <w:r w:rsidR="00A13DB9">
        <w:t>.</w:t>
      </w:r>
      <w:r w:rsidR="00F57F89">
        <w:rPr>
          <w:rStyle w:val="FootnoteReference"/>
        </w:rPr>
        <w:footnoteReference w:id="2"/>
      </w:r>
    </w:p>
    <w:p w14:paraId="7F1C8124" w14:textId="77777777" w:rsidR="00B10644" w:rsidRPr="00E81A2F" w:rsidRDefault="00B10644" w:rsidP="00B10644">
      <w:pPr>
        <w:autoSpaceDE w:val="0"/>
        <w:autoSpaceDN w:val="0"/>
        <w:adjustRightInd w:val="0"/>
        <w:spacing w:before="240" w:after="120"/>
        <w:rPr>
          <w:szCs w:val="24"/>
        </w:rPr>
      </w:pPr>
      <w:r w:rsidRPr="00E81A2F">
        <w:rPr>
          <w:szCs w:val="24"/>
        </w:rPr>
        <w:t>The Bill will address the following Royal Commission recommendations:</w:t>
      </w:r>
    </w:p>
    <w:p w14:paraId="6BA37A31" w14:textId="77777777" w:rsidR="00E81A2F" w:rsidRPr="00E81A2F" w:rsidRDefault="00B10644" w:rsidP="00E81A2F">
      <w:pPr>
        <w:pStyle w:val="ListParagraph"/>
        <w:numPr>
          <w:ilvl w:val="0"/>
          <w:numId w:val="31"/>
        </w:numPr>
        <w:autoSpaceDE w:val="0"/>
        <w:autoSpaceDN w:val="0"/>
        <w:adjustRightInd w:val="0"/>
        <w:spacing w:before="240" w:after="120"/>
        <w:rPr>
          <w:szCs w:val="24"/>
        </w:rPr>
      </w:pPr>
      <w:r w:rsidRPr="00E81A2F">
        <w:rPr>
          <w:szCs w:val="24"/>
        </w:rPr>
        <w:t xml:space="preserve">Recommendation </w:t>
      </w:r>
      <w:r w:rsidR="00A13DB9" w:rsidRPr="00E81A2F">
        <w:rPr>
          <w:szCs w:val="24"/>
        </w:rPr>
        <w:t>21</w:t>
      </w:r>
      <w:r w:rsidRPr="00E81A2F">
        <w:rPr>
          <w:szCs w:val="24"/>
        </w:rPr>
        <w:t xml:space="preserve"> of the Criminal Justice Report which recommends</w:t>
      </w:r>
      <w:r w:rsidR="00E81A2F" w:rsidRPr="00E81A2F">
        <w:rPr>
          <w:szCs w:val="24"/>
        </w:rPr>
        <w:t xml:space="preserve"> that </w:t>
      </w:r>
      <w:r w:rsidR="00E81A2F" w:rsidRPr="00E81A2F">
        <w:t xml:space="preserve">each state and territory government should introduce legislation to amend its persistent child sexual abuse offence so that: </w:t>
      </w:r>
    </w:p>
    <w:p w14:paraId="3F60EF3E" w14:textId="77777777" w:rsidR="00E81A2F" w:rsidRPr="00E81A2F" w:rsidRDefault="00E81A2F" w:rsidP="00E81A2F">
      <w:pPr>
        <w:autoSpaceDE w:val="0"/>
        <w:autoSpaceDN w:val="0"/>
        <w:adjustRightInd w:val="0"/>
        <w:spacing w:before="240" w:after="120"/>
        <w:ind w:firstLine="720"/>
      </w:pPr>
      <w:r w:rsidRPr="00E81A2F">
        <w:t xml:space="preserve">a. the actus reus is the maintaining of an unlawful sexual relationship </w:t>
      </w:r>
    </w:p>
    <w:p w14:paraId="620F054E" w14:textId="77777777" w:rsidR="00E81A2F" w:rsidRPr="00E81A2F" w:rsidRDefault="00E81A2F" w:rsidP="00E81A2F">
      <w:pPr>
        <w:autoSpaceDE w:val="0"/>
        <w:autoSpaceDN w:val="0"/>
        <w:adjustRightInd w:val="0"/>
        <w:spacing w:before="240" w:after="120"/>
        <w:ind w:left="720"/>
      </w:pPr>
      <w:r w:rsidRPr="00E81A2F">
        <w:t xml:space="preserve">b. an unlawful sexual relationship is established by more than one unlawful sexual act </w:t>
      </w:r>
    </w:p>
    <w:p w14:paraId="6B53CCB6" w14:textId="77777777" w:rsidR="00E81A2F" w:rsidRPr="00E81A2F" w:rsidRDefault="00E81A2F" w:rsidP="00E81A2F">
      <w:pPr>
        <w:autoSpaceDE w:val="0"/>
        <w:autoSpaceDN w:val="0"/>
        <w:adjustRightInd w:val="0"/>
        <w:spacing w:before="240" w:after="120"/>
        <w:ind w:left="720"/>
      </w:pPr>
      <w:r w:rsidRPr="00E81A2F">
        <w:lastRenderedPageBreak/>
        <w:t xml:space="preserve">c. the trier of fact must be satisfied beyond reasonable doubt that the unlawful sexual relationship existed but, where the trier of fact is a jury, jurors need not be satisfied of the same unlawful sexual acts </w:t>
      </w:r>
    </w:p>
    <w:p w14:paraId="44F0EA4D" w14:textId="77777777" w:rsidR="00E81A2F" w:rsidRPr="00E81A2F" w:rsidRDefault="00E81A2F" w:rsidP="00E81A2F">
      <w:pPr>
        <w:autoSpaceDE w:val="0"/>
        <w:autoSpaceDN w:val="0"/>
        <w:adjustRightInd w:val="0"/>
        <w:spacing w:before="240" w:after="120"/>
        <w:ind w:left="720"/>
      </w:pPr>
      <w:r w:rsidRPr="00E81A2F">
        <w:t xml:space="preserve">d. the offence applies retrospectively but only to sexual acts that were unlawful at the time they were committed </w:t>
      </w:r>
    </w:p>
    <w:p w14:paraId="039343A2" w14:textId="46DDB3A9" w:rsidR="00B10644" w:rsidRPr="00E81A2F" w:rsidRDefault="00E81A2F" w:rsidP="00E81A2F">
      <w:pPr>
        <w:autoSpaceDE w:val="0"/>
        <w:autoSpaceDN w:val="0"/>
        <w:adjustRightInd w:val="0"/>
        <w:spacing w:before="240" w:after="120"/>
        <w:ind w:left="720"/>
        <w:rPr>
          <w:szCs w:val="24"/>
        </w:rPr>
      </w:pPr>
      <w:r w:rsidRPr="00E81A2F">
        <w:t>e. on sentencing, regard is to be had to relevant lower statutory maximum penalties if the offence is charged with retrospective application.</w:t>
      </w:r>
    </w:p>
    <w:p w14:paraId="43965393" w14:textId="64CDA569" w:rsidR="00B10644" w:rsidRPr="00E81A2F" w:rsidRDefault="00B10644" w:rsidP="00B10644">
      <w:pPr>
        <w:pStyle w:val="ListParagraph"/>
        <w:numPr>
          <w:ilvl w:val="0"/>
          <w:numId w:val="31"/>
        </w:numPr>
        <w:autoSpaceDE w:val="0"/>
        <w:autoSpaceDN w:val="0"/>
        <w:adjustRightInd w:val="0"/>
        <w:spacing w:before="240" w:after="120"/>
        <w:rPr>
          <w:szCs w:val="24"/>
        </w:rPr>
      </w:pPr>
      <w:r w:rsidRPr="00E81A2F">
        <w:rPr>
          <w:szCs w:val="24"/>
        </w:rPr>
        <w:t xml:space="preserve">Recommendation </w:t>
      </w:r>
      <w:r w:rsidR="00A13DB9" w:rsidRPr="00E81A2F">
        <w:rPr>
          <w:szCs w:val="24"/>
        </w:rPr>
        <w:t xml:space="preserve">22 </w:t>
      </w:r>
      <w:r w:rsidRPr="00E81A2F">
        <w:rPr>
          <w:szCs w:val="24"/>
        </w:rPr>
        <w:t>of the Criminal Justice Report which recommends</w:t>
      </w:r>
      <w:r w:rsidR="00E81A2F">
        <w:rPr>
          <w:szCs w:val="24"/>
        </w:rPr>
        <w:t xml:space="preserve"> </w:t>
      </w:r>
      <w:r w:rsidR="00CC7067">
        <w:rPr>
          <w:szCs w:val="24"/>
        </w:rPr>
        <w:t xml:space="preserve">that </w:t>
      </w:r>
      <w:r w:rsidR="00CC7067">
        <w:t>legislation</w:t>
      </w:r>
      <w:r w:rsidR="00994C12">
        <w:t xml:space="preserve"> for a persistent child abuse offence,</w:t>
      </w:r>
      <w:r w:rsidR="00CC7067">
        <w:t xml:space="preserve"> to the effect of the Royal Commission draft provision (Appendix H)</w:t>
      </w:r>
      <w:r w:rsidR="00994C12">
        <w:t>,</w:t>
      </w:r>
      <w:r w:rsidR="00CC7067">
        <w:t xml:space="preserve"> should be introduced</w:t>
      </w:r>
      <w:r w:rsidRPr="00E81A2F">
        <w:rPr>
          <w:szCs w:val="24"/>
        </w:rPr>
        <w:t xml:space="preserve">; </w:t>
      </w:r>
    </w:p>
    <w:p w14:paraId="7911114E" w14:textId="5F336C3A" w:rsidR="00B10644" w:rsidRPr="00E81A2F" w:rsidRDefault="00B10644" w:rsidP="00B10644">
      <w:pPr>
        <w:pStyle w:val="ListParagraph"/>
        <w:numPr>
          <w:ilvl w:val="0"/>
          <w:numId w:val="31"/>
        </w:numPr>
        <w:autoSpaceDE w:val="0"/>
        <w:autoSpaceDN w:val="0"/>
        <w:adjustRightInd w:val="0"/>
        <w:spacing w:before="240" w:after="120"/>
        <w:rPr>
          <w:szCs w:val="24"/>
        </w:rPr>
      </w:pPr>
      <w:r w:rsidRPr="00E81A2F">
        <w:rPr>
          <w:szCs w:val="24"/>
        </w:rPr>
        <w:t xml:space="preserve">Recommendation </w:t>
      </w:r>
      <w:r w:rsidR="00A43062" w:rsidRPr="00E81A2F">
        <w:rPr>
          <w:szCs w:val="24"/>
        </w:rPr>
        <w:t>44</w:t>
      </w:r>
      <w:r w:rsidRPr="00E81A2F">
        <w:rPr>
          <w:szCs w:val="24"/>
        </w:rPr>
        <w:t xml:space="preserve"> of the Criminal Justice Report which recommends</w:t>
      </w:r>
      <w:r w:rsidR="00CC7067">
        <w:rPr>
          <w:szCs w:val="24"/>
        </w:rPr>
        <w:t xml:space="preserve"> that</w:t>
      </w:r>
      <w:r w:rsidR="00CC7067">
        <w:t xml:space="preserve"> in order to ensure justice for complainants and the community, the laws governing the admissibility of tendency and coincidence evidence in prosecutions for child sexual abuse offences should be reformed to facilitate greater admissibility and cross-admissibility of tendency and coincidence evidence and joint trials</w:t>
      </w:r>
      <w:r w:rsidRPr="00E81A2F">
        <w:rPr>
          <w:szCs w:val="24"/>
        </w:rPr>
        <w:t>;</w:t>
      </w:r>
    </w:p>
    <w:p w14:paraId="75B418F6" w14:textId="77777777" w:rsidR="00CC7067" w:rsidRPr="00CC7067" w:rsidRDefault="00A43062" w:rsidP="00B10644">
      <w:pPr>
        <w:pStyle w:val="ListParagraph"/>
        <w:numPr>
          <w:ilvl w:val="0"/>
          <w:numId w:val="31"/>
        </w:numPr>
        <w:autoSpaceDE w:val="0"/>
        <w:autoSpaceDN w:val="0"/>
        <w:adjustRightInd w:val="0"/>
        <w:spacing w:before="240" w:after="120"/>
        <w:rPr>
          <w:szCs w:val="24"/>
        </w:rPr>
      </w:pPr>
      <w:r w:rsidRPr="00E81A2F">
        <w:rPr>
          <w:szCs w:val="24"/>
        </w:rPr>
        <w:t>Recommendation 45 of the Criminal Justice Report which recommends</w:t>
      </w:r>
      <w:r w:rsidR="00CC7067">
        <w:rPr>
          <w:szCs w:val="24"/>
        </w:rPr>
        <w:t xml:space="preserve"> that </w:t>
      </w:r>
      <w:r w:rsidR="00CC7067">
        <w:t xml:space="preserve">tendency or coincidence evidence about the defendant in a child sexual offence prosecution should be admissible: </w:t>
      </w:r>
    </w:p>
    <w:p w14:paraId="2932EA8D" w14:textId="77777777" w:rsidR="00CC7067" w:rsidRDefault="00CC7067" w:rsidP="00CC7067">
      <w:pPr>
        <w:pStyle w:val="ListParagraph"/>
        <w:autoSpaceDE w:val="0"/>
        <w:autoSpaceDN w:val="0"/>
        <w:adjustRightInd w:val="0"/>
        <w:spacing w:before="240" w:after="120"/>
      </w:pPr>
      <w:r>
        <w:t xml:space="preserve">a. if the court thinks that the evidence will, either by itself or having regard to the other evidence, be ‘relevant to an important evidentiary issue’ in the proceeding, with each of the following kinds of evidence defined to be ‘relevant to an important evidentiary issue’ in a child sexual offence proceeding: </w:t>
      </w:r>
    </w:p>
    <w:p w14:paraId="02157DA9" w14:textId="77777777" w:rsidR="00CC7067" w:rsidRDefault="00CC7067" w:rsidP="00CC7067">
      <w:pPr>
        <w:pStyle w:val="ListParagraph"/>
        <w:autoSpaceDE w:val="0"/>
        <w:autoSpaceDN w:val="0"/>
        <w:adjustRightInd w:val="0"/>
        <w:spacing w:before="240" w:after="120"/>
        <w:ind w:left="1440"/>
      </w:pPr>
      <w:r>
        <w:t xml:space="preserve">i. evidence that shows a propensity of the defendant to commit particular kinds of offences if the commission of an offence of the same or a similar kind is in issue in the proceeding </w:t>
      </w:r>
    </w:p>
    <w:p w14:paraId="5EE27D01" w14:textId="77777777" w:rsidR="00CC7067" w:rsidRDefault="00CC7067" w:rsidP="00CC7067">
      <w:pPr>
        <w:pStyle w:val="ListParagraph"/>
        <w:autoSpaceDE w:val="0"/>
        <w:autoSpaceDN w:val="0"/>
        <w:adjustRightInd w:val="0"/>
        <w:spacing w:before="240" w:after="120"/>
        <w:ind w:left="1440"/>
      </w:pPr>
      <w:r>
        <w:t xml:space="preserve">ii. evidence that is relevant to any matter in issue in the proceeding if the matter concerns an act or state of mind of the defendant and is important in the context of the proceeding as a whole </w:t>
      </w:r>
    </w:p>
    <w:p w14:paraId="1E99398F" w14:textId="7BFCD4E5" w:rsidR="00A43062" w:rsidRPr="00CC7067" w:rsidRDefault="00CC7067" w:rsidP="00CC7067">
      <w:pPr>
        <w:autoSpaceDE w:val="0"/>
        <w:autoSpaceDN w:val="0"/>
        <w:adjustRightInd w:val="0"/>
        <w:spacing w:before="240" w:after="120"/>
        <w:ind w:left="720"/>
        <w:rPr>
          <w:szCs w:val="24"/>
        </w:rPr>
      </w:pPr>
      <w:r>
        <w:t>b. unless, on the application of the defendant, the court thinks, having regard to the particular circumstances of the proceeding, that both: i. admission of the evidence is more likely than not to result in the proceeding being unfair to the defendant ii. if there is a jury, the giving of appropriate directions to the jury about the relevance and use of the evidence will not remove the risk;</w:t>
      </w:r>
    </w:p>
    <w:p w14:paraId="480DC76B" w14:textId="321B464D" w:rsidR="00A43062" w:rsidRPr="00E81A2F" w:rsidRDefault="00A43062" w:rsidP="00B10644">
      <w:pPr>
        <w:pStyle w:val="ListParagraph"/>
        <w:numPr>
          <w:ilvl w:val="0"/>
          <w:numId w:val="31"/>
        </w:numPr>
        <w:autoSpaceDE w:val="0"/>
        <w:autoSpaceDN w:val="0"/>
        <w:adjustRightInd w:val="0"/>
        <w:spacing w:before="240" w:after="120"/>
        <w:rPr>
          <w:szCs w:val="24"/>
        </w:rPr>
      </w:pPr>
      <w:r w:rsidRPr="00E81A2F">
        <w:rPr>
          <w:szCs w:val="24"/>
        </w:rPr>
        <w:lastRenderedPageBreak/>
        <w:t>Recommendation 46 of the Criminal Justice Report which recommends</w:t>
      </w:r>
      <w:r w:rsidR="00CC7067">
        <w:rPr>
          <w:szCs w:val="24"/>
        </w:rPr>
        <w:t xml:space="preserve"> that </w:t>
      </w:r>
      <w:r w:rsidR="00CC7067">
        <w:t>common law principles or rules that restrict the admission of propensity or similar fact evidence should be explicitly abolished or excluded in relation to the admissibility of tendency or coincidence evidence about the defendant in a child sexual offence prosecution;</w:t>
      </w:r>
    </w:p>
    <w:p w14:paraId="03073D4B" w14:textId="1ECDD0E8" w:rsidR="00A43062" w:rsidRPr="00E81A2F" w:rsidRDefault="00A43062" w:rsidP="00B10644">
      <w:pPr>
        <w:pStyle w:val="ListParagraph"/>
        <w:numPr>
          <w:ilvl w:val="0"/>
          <w:numId w:val="31"/>
        </w:numPr>
        <w:autoSpaceDE w:val="0"/>
        <w:autoSpaceDN w:val="0"/>
        <w:adjustRightInd w:val="0"/>
        <w:spacing w:before="240" w:after="120"/>
        <w:rPr>
          <w:szCs w:val="24"/>
        </w:rPr>
      </w:pPr>
      <w:r w:rsidRPr="00E81A2F">
        <w:rPr>
          <w:szCs w:val="24"/>
        </w:rPr>
        <w:t>Recommendation 47 of the Criminal Justice Report which recommends</w:t>
      </w:r>
      <w:r w:rsidR="00CC7067">
        <w:rPr>
          <w:szCs w:val="24"/>
        </w:rPr>
        <w:t xml:space="preserve"> that </w:t>
      </w:r>
      <w:r w:rsidR="00CC7067">
        <w:t>issues of concoction, collusion or contamination should not affect the admissibility of tendency or coincidence evidence about the defendant in a child sexual offence prosecution. The court should determine admissibility on the assumption that the evidence will be accepted as credible and reliable, and the impact of any evidence of concoction, collusion or contamination should be left to the jury or other fact-finder;</w:t>
      </w:r>
    </w:p>
    <w:p w14:paraId="5365A5F9" w14:textId="12A3AEA4" w:rsidR="00A43062" w:rsidRPr="00E81A2F" w:rsidRDefault="00A43062" w:rsidP="00B10644">
      <w:pPr>
        <w:pStyle w:val="ListParagraph"/>
        <w:numPr>
          <w:ilvl w:val="0"/>
          <w:numId w:val="31"/>
        </w:numPr>
        <w:autoSpaceDE w:val="0"/>
        <w:autoSpaceDN w:val="0"/>
        <w:adjustRightInd w:val="0"/>
        <w:spacing w:before="240" w:after="120"/>
        <w:rPr>
          <w:szCs w:val="24"/>
        </w:rPr>
      </w:pPr>
      <w:r w:rsidRPr="00E81A2F">
        <w:rPr>
          <w:szCs w:val="24"/>
        </w:rPr>
        <w:t>Recommendation 48 of the Criminal Justice Report which recommends</w:t>
      </w:r>
      <w:r w:rsidR="00CC7067">
        <w:rPr>
          <w:szCs w:val="24"/>
        </w:rPr>
        <w:t xml:space="preserve"> that </w:t>
      </w:r>
      <w:r w:rsidR="00CC7067">
        <w:t>tendency or coincidence evidence about a defendant in a child sexual offence prosecution should not be required to be proved beyond reasonable doubt;</w:t>
      </w:r>
    </w:p>
    <w:p w14:paraId="17D50963" w14:textId="77777777" w:rsidR="00CC7067" w:rsidRPr="00CC7067" w:rsidRDefault="00A43062" w:rsidP="00B10644">
      <w:pPr>
        <w:pStyle w:val="ListParagraph"/>
        <w:numPr>
          <w:ilvl w:val="0"/>
          <w:numId w:val="31"/>
        </w:numPr>
        <w:autoSpaceDE w:val="0"/>
        <w:autoSpaceDN w:val="0"/>
        <w:adjustRightInd w:val="0"/>
        <w:spacing w:before="240" w:after="120"/>
        <w:rPr>
          <w:szCs w:val="24"/>
        </w:rPr>
      </w:pPr>
      <w:r w:rsidRPr="00E81A2F">
        <w:rPr>
          <w:szCs w:val="24"/>
        </w:rPr>
        <w:t>Recommendation 49 of the Criminal Justice Report which recommends</w:t>
      </w:r>
      <w:r w:rsidR="00CC7067">
        <w:rPr>
          <w:szCs w:val="24"/>
        </w:rPr>
        <w:t xml:space="preserve"> that </w:t>
      </w:r>
      <w:r w:rsidR="00CC7067">
        <w:t xml:space="preserve">evidence of: </w:t>
      </w:r>
    </w:p>
    <w:p w14:paraId="3ECDDD30" w14:textId="77777777" w:rsidR="00CC7067" w:rsidRDefault="00CC7067" w:rsidP="00CC7067">
      <w:pPr>
        <w:pStyle w:val="ListParagraph"/>
        <w:autoSpaceDE w:val="0"/>
        <w:autoSpaceDN w:val="0"/>
        <w:adjustRightInd w:val="0"/>
        <w:spacing w:before="240" w:after="120"/>
        <w:ind w:firstLine="720"/>
      </w:pPr>
      <w:r>
        <w:t xml:space="preserve">a. the defendant’s prior convictions </w:t>
      </w:r>
    </w:p>
    <w:p w14:paraId="474A9416" w14:textId="77777777" w:rsidR="00994C12" w:rsidRDefault="00CC7067" w:rsidP="00CC7067">
      <w:pPr>
        <w:pStyle w:val="ListParagraph"/>
        <w:autoSpaceDE w:val="0"/>
        <w:autoSpaceDN w:val="0"/>
        <w:adjustRightInd w:val="0"/>
        <w:spacing w:before="240" w:after="120"/>
        <w:ind w:left="1440"/>
      </w:pPr>
      <w:r>
        <w:t>b. acts for which the defendant has been charged but not convicted (other than acts for which the defendant has been acquitted)</w:t>
      </w:r>
    </w:p>
    <w:p w14:paraId="0794AA9E" w14:textId="0B8C73FE" w:rsidR="00A43062" w:rsidRPr="00994C12" w:rsidRDefault="00CC7067" w:rsidP="00045755">
      <w:pPr>
        <w:autoSpaceDE w:val="0"/>
        <w:autoSpaceDN w:val="0"/>
        <w:adjustRightInd w:val="0"/>
        <w:spacing w:before="240" w:after="120"/>
        <w:ind w:left="720"/>
        <w:rPr>
          <w:szCs w:val="24"/>
        </w:rPr>
      </w:pPr>
      <w:r>
        <w:t>should be admissible as tendency or coincidence evidence if it otherwise satisfies the test for admissibility of tendency or coincidence evidence about a defendant in a child sexual offence prosecution.</w:t>
      </w:r>
    </w:p>
    <w:p w14:paraId="030DE806" w14:textId="181252E3" w:rsidR="00A43062" w:rsidRPr="00E81A2F" w:rsidRDefault="00A43062" w:rsidP="00B10644">
      <w:pPr>
        <w:pStyle w:val="ListParagraph"/>
        <w:numPr>
          <w:ilvl w:val="0"/>
          <w:numId w:val="31"/>
        </w:numPr>
        <w:autoSpaceDE w:val="0"/>
        <w:autoSpaceDN w:val="0"/>
        <w:adjustRightInd w:val="0"/>
        <w:spacing w:before="240" w:after="120"/>
        <w:rPr>
          <w:szCs w:val="24"/>
        </w:rPr>
      </w:pPr>
      <w:r w:rsidRPr="00E81A2F">
        <w:rPr>
          <w:szCs w:val="24"/>
        </w:rPr>
        <w:t>Recommendation 50 of the Criminal Justice Report which recommends</w:t>
      </w:r>
      <w:r w:rsidR="00CC7067">
        <w:rPr>
          <w:szCs w:val="24"/>
        </w:rPr>
        <w:t xml:space="preserve"> that </w:t>
      </w:r>
      <w:r w:rsidR="00CC7067">
        <w:t>Australian governments should introduce legislation to make the reforms recommend</w:t>
      </w:r>
      <w:r w:rsidR="00C9244E">
        <w:t>ed by the Royal Commission</w:t>
      </w:r>
      <w:r w:rsidR="00CC7067">
        <w:t xml:space="preserve"> to the rules governing the admissibility of tendency and coincidence evidence;</w:t>
      </w:r>
    </w:p>
    <w:p w14:paraId="07F9CE08" w14:textId="7AD3626B" w:rsidR="00B10644" w:rsidRPr="00E81A2F" w:rsidRDefault="00A43062" w:rsidP="0063693D">
      <w:pPr>
        <w:pStyle w:val="ListParagraph"/>
        <w:numPr>
          <w:ilvl w:val="0"/>
          <w:numId w:val="31"/>
        </w:numPr>
        <w:autoSpaceDE w:val="0"/>
        <w:autoSpaceDN w:val="0"/>
        <w:adjustRightInd w:val="0"/>
        <w:spacing w:before="240" w:after="120"/>
        <w:rPr>
          <w:szCs w:val="24"/>
        </w:rPr>
      </w:pPr>
      <w:r w:rsidRPr="00E81A2F">
        <w:rPr>
          <w:szCs w:val="24"/>
        </w:rPr>
        <w:t>Recommendation 51 of the Criminal Justice Report which recommends</w:t>
      </w:r>
      <w:r w:rsidR="00CC7067">
        <w:rPr>
          <w:szCs w:val="24"/>
        </w:rPr>
        <w:t xml:space="preserve"> </w:t>
      </w:r>
      <w:r w:rsidR="00CC7067">
        <w:t>that legislation to the effect of the Royal Commission draft provisions (Appendix N) should be introduced for Uniform Evidence Act jurisdictions and non–Uniform Evidence Act jurisdictions.</w:t>
      </w:r>
    </w:p>
    <w:p w14:paraId="1561B425" w14:textId="77777777" w:rsidR="00B10644" w:rsidRPr="00A511E0" w:rsidRDefault="00B10644" w:rsidP="00B10644">
      <w:pPr>
        <w:autoSpaceDE w:val="0"/>
        <w:autoSpaceDN w:val="0"/>
        <w:adjustRightInd w:val="0"/>
        <w:spacing w:before="240" w:after="120"/>
        <w:rPr>
          <w:szCs w:val="24"/>
        </w:rPr>
      </w:pPr>
      <w:r w:rsidRPr="00A511E0">
        <w:rPr>
          <w:szCs w:val="24"/>
        </w:rPr>
        <w:t xml:space="preserve">In summary, the Bill will: </w:t>
      </w:r>
    </w:p>
    <w:p w14:paraId="60489B7F" w14:textId="1202810B" w:rsidR="00B10644" w:rsidRDefault="00A43062" w:rsidP="00B10644">
      <w:pPr>
        <w:numPr>
          <w:ilvl w:val="1"/>
          <w:numId w:val="1"/>
        </w:numPr>
        <w:autoSpaceDE w:val="0"/>
        <w:autoSpaceDN w:val="0"/>
        <w:adjustRightInd w:val="0"/>
        <w:spacing w:before="240" w:after="120"/>
        <w:rPr>
          <w:szCs w:val="24"/>
        </w:rPr>
      </w:pPr>
      <w:r>
        <w:rPr>
          <w:szCs w:val="24"/>
        </w:rPr>
        <w:t xml:space="preserve">Amend section 56 of the </w:t>
      </w:r>
      <w:r>
        <w:rPr>
          <w:i/>
          <w:iCs/>
          <w:szCs w:val="24"/>
        </w:rPr>
        <w:t xml:space="preserve">Crimes Act 1900 </w:t>
      </w:r>
      <w:r>
        <w:rPr>
          <w:szCs w:val="24"/>
        </w:rPr>
        <w:t xml:space="preserve">to give </w:t>
      </w:r>
      <w:r w:rsidR="00C9244E">
        <w:rPr>
          <w:szCs w:val="24"/>
        </w:rPr>
        <w:t>effect</w:t>
      </w:r>
      <w:r>
        <w:rPr>
          <w:szCs w:val="24"/>
        </w:rPr>
        <w:t xml:space="preserve"> to the recommendations of the Royal Commission regarding persistent child sexual abuse offences, and to address issues which arose in the cases of </w:t>
      </w:r>
      <w:bookmarkStart w:id="15" w:name="_Hlk38957211"/>
      <w:r w:rsidRPr="00FF0EB3">
        <w:rPr>
          <w:i/>
          <w:iCs/>
          <w:lang w:eastAsia="en-AU"/>
        </w:rPr>
        <w:t>KN v R</w:t>
      </w:r>
      <w:r w:rsidRPr="00783637">
        <w:rPr>
          <w:lang w:eastAsia="en-AU"/>
        </w:rPr>
        <w:t xml:space="preserve"> [2019] ACTCA 37</w:t>
      </w:r>
      <w:bookmarkEnd w:id="15"/>
      <w:r w:rsidR="00F24DE4">
        <w:rPr>
          <w:lang w:eastAsia="en-AU"/>
        </w:rPr>
        <w:t xml:space="preserve"> (</w:t>
      </w:r>
      <w:r w:rsidR="00F24DE4">
        <w:rPr>
          <w:i/>
          <w:iCs/>
          <w:lang w:eastAsia="en-AU"/>
        </w:rPr>
        <w:t>KN v R</w:t>
      </w:r>
      <w:r w:rsidR="00F24DE4">
        <w:rPr>
          <w:lang w:eastAsia="en-AU"/>
        </w:rPr>
        <w:t>)</w:t>
      </w:r>
      <w:r>
        <w:rPr>
          <w:lang w:eastAsia="en-AU"/>
        </w:rPr>
        <w:t xml:space="preserve"> and </w:t>
      </w:r>
      <w:r w:rsidR="00630273">
        <w:rPr>
          <w:i/>
          <w:iCs/>
          <w:lang w:eastAsia="en-AU"/>
        </w:rPr>
        <w:t xml:space="preserve">R v EN </w:t>
      </w:r>
      <w:r w:rsidR="00630273" w:rsidRPr="00630273">
        <w:rPr>
          <w:lang w:eastAsia="en-AU"/>
        </w:rPr>
        <w:t>[2019] ACTSC 354</w:t>
      </w:r>
      <w:r>
        <w:rPr>
          <w:i/>
          <w:iCs/>
          <w:lang w:eastAsia="en-AU"/>
        </w:rPr>
        <w:t>.</w:t>
      </w:r>
      <w:r w:rsidR="00B10644">
        <w:rPr>
          <w:szCs w:val="24"/>
        </w:rPr>
        <w:t xml:space="preserve"> </w:t>
      </w:r>
    </w:p>
    <w:p w14:paraId="5C824FD8" w14:textId="6DD5A019" w:rsidR="00B10644" w:rsidRDefault="00A43062" w:rsidP="00B10644">
      <w:pPr>
        <w:numPr>
          <w:ilvl w:val="1"/>
          <w:numId w:val="1"/>
        </w:numPr>
        <w:autoSpaceDE w:val="0"/>
        <w:autoSpaceDN w:val="0"/>
        <w:adjustRightInd w:val="0"/>
        <w:spacing w:before="240" w:after="120"/>
        <w:rPr>
          <w:szCs w:val="24"/>
        </w:rPr>
      </w:pPr>
      <w:r>
        <w:rPr>
          <w:szCs w:val="24"/>
        </w:rPr>
        <w:lastRenderedPageBreak/>
        <w:t xml:space="preserve">Amend the tendency and coincidence evidence provisions in the </w:t>
      </w:r>
      <w:r>
        <w:rPr>
          <w:i/>
          <w:iCs/>
          <w:szCs w:val="24"/>
        </w:rPr>
        <w:t xml:space="preserve">Evidence Act 2011 </w:t>
      </w:r>
      <w:r>
        <w:rPr>
          <w:szCs w:val="24"/>
        </w:rPr>
        <w:t xml:space="preserve">to implement the model provisions developed by the Council of Attorneys-General working group and agreed to by the Council of Attorneys-General </w:t>
      </w:r>
      <w:r w:rsidR="004E3B00">
        <w:rPr>
          <w:szCs w:val="24"/>
        </w:rPr>
        <w:t>in December 2019.</w:t>
      </w:r>
    </w:p>
    <w:p w14:paraId="45FC79FD" w14:textId="55D8B4EC" w:rsidR="00A43062" w:rsidRDefault="00A43062" w:rsidP="00B10644">
      <w:pPr>
        <w:numPr>
          <w:ilvl w:val="1"/>
          <w:numId w:val="1"/>
        </w:numPr>
        <w:autoSpaceDE w:val="0"/>
        <w:autoSpaceDN w:val="0"/>
        <w:adjustRightInd w:val="0"/>
        <w:spacing w:before="240" w:after="120"/>
        <w:rPr>
          <w:szCs w:val="24"/>
        </w:rPr>
      </w:pPr>
      <w:r>
        <w:rPr>
          <w:szCs w:val="24"/>
        </w:rPr>
        <w:t xml:space="preserve">Amend section 127 of the </w:t>
      </w:r>
      <w:r>
        <w:rPr>
          <w:i/>
          <w:iCs/>
          <w:szCs w:val="24"/>
        </w:rPr>
        <w:t xml:space="preserve">Evidence Act 2011 </w:t>
      </w:r>
      <w:r>
        <w:rPr>
          <w:szCs w:val="24"/>
        </w:rPr>
        <w:t>to provide that information regarding sexual abuse or non-accidental physical injury that is being experienced, has been experienced or there is a substantial risk may be experienced, by a child, is not captured</w:t>
      </w:r>
      <w:r w:rsidR="00DF5A13">
        <w:rPr>
          <w:szCs w:val="24"/>
        </w:rPr>
        <w:t xml:space="preserve"> by the entitlement</w:t>
      </w:r>
      <w:r w:rsidR="006B4D11">
        <w:rPr>
          <w:szCs w:val="24"/>
        </w:rPr>
        <w:t xml:space="preserve"> of a member of the clergy</w:t>
      </w:r>
      <w:r w:rsidR="00DF5A13">
        <w:rPr>
          <w:szCs w:val="24"/>
        </w:rPr>
        <w:t xml:space="preserve"> to </w:t>
      </w:r>
      <w:r w:rsidR="00704CBD">
        <w:rPr>
          <w:szCs w:val="24"/>
        </w:rPr>
        <w:t>refuse to divulge</w:t>
      </w:r>
      <w:r w:rsidR="006B4D11">
        <w:rPr>
          <w:szCs w:val="24"/>
        </w:rPr>
        <w:t xml:space="preserve"> that a religious confession was made or the contents of a religious confession.</w:t>
      </w:r>
    </w:p>
    <w:p w14:paraId="3B9C304C" w14:textId="15EC7906" w:rsidR="00B10644" w:rsidRDefault="00B10644" w:rsidP="00B10644">
      <w:pPr>
        <w:autoSpaceDE w:val="0"/>
        <w:autoSpaceDN w:val="0"/>
        <w:adjustRightInd w:val="0"/>
        <w:spacing w:before="240" w:after="120"/>
      </w:pPr>
      <w:r w:rsidRPr="00A511E0">
        <w:t xml:space="preserve">The </w:t>
      </w:r>
      <w:r>
        <w:t xml:space="preserve">overriding purpose of the Bill is to </w:t>
      </w:r>
      <w:r w:rsidRPr="00A511E0">
        <w:t>enhance the protection of children from abuse and improve the justice system’s response to abuse.</w:t>
      </w:r>
    </w:p>
    <w:p w14:paraId="086D61F4" w14:textId="77777777" w:rsidR="006230ED" w:rsidRPr="002E1092" w:rsidRDefault="006230ED" w:rsidP="00C9244E">
      <w:pPr>
        <w:pStyle w:val="Heading3"/>
      </w:pPr>
      <w:bookmarkStart w:id="16" w:name="_Toc43913445"/>
      <w:r>
        <w:t>Consultation on the proposed approach</w:t>
      </w:r>
      <w:bookmarkEnd w:id="16"/>
    </w:p>
    <w:p w14:paraId="7AE25960" w14:textId="6470A083" w:rsidR="006C078D" w:rsidRDefault="00223E89" w:rsidP="006230ED">
      <w:pPr>
        <w:autoSpaceDE w:val="0"/>
        <w:autoSpaceDN w:val="0"/>
        <w:adjustRightInd w:val="0"/>
        <w:spacing w:before="240" w:after="120"/>
        <w:rPr>
          <w:szCs w:val="24"/>
        </w:rPr>
      </w:pPr>
      <w:r>
        <w:rPr>
          <w:szCs w:val="24"/>
        </w:rPr>
        <w:t xml:space="preserve">The Justice and Community Safety Directorate </w:t>
      </w:r>
      <w:r w:rsidR="006C078D" w:rsidRPr="006C078D">
        <w:rPr>
          <w:szCs w:val="24"/>
        </w:rPr>
        <w:t>has consulted with the Sexual Assault Reform Program (SARP) Reference Group on the draft Bill. Comments received were broadly supportive of the reforms and comments on the draft Bill were considered in the development of the Bill.</w:t>
      </w:r>
      <w:r w:rsidR="006C078D">
        <w:rPr>
          <w:szCs w:val="24"/>
        </w:rPr>
        <w:t xml:space="preserve"> </w:t>
      </w:r>
    </w:p>
    <w:p w14:paraId="2D516F76" w14:textId="503D8968" w:rsidR="006C078D" w:rsidRDefault="006C078D" w:rsidP="006230ED">
      <w:pPr>
        <w:autoSpaceDE w:val="0"/>
        <w:autoSpaceDN w:val="0"/>
        <w:adjustRightInd w:val="0"/>
        <w:spacing w:before="240" w:after="120"/>
        <w:rPr>
          <w:szCs w:val="24"/>
        </w:rPr>
      </w:pPr>
      <w:r>
        <w:rPr>
          <w:szCs w:val="24"/>
        </w:rPr>
        <w:t>Significant targeted consultation occurred in relation to the amendments at Part 2 of the Bill, which relate to amendments to the</w:t>
      </w:r>
      <w:r w:rsidR="00C9244E">
        <w:rPr>
          <w:szCs w:val="24"/>
        </w:rPr>
        <w:t xml:space="preserve"> offence of a sexual</w:t>
      </w:r>
      <w:r>
        <w:rPr>
          <w:szCs w:val="24"/>
        </w:rPr>
        <w:t xml:space="preserve"> relationship with a child or young person under special care. This</w:t>
      </w:r>
      <w:r w:rsidR="00C9244E">
        <w:rPr>
          <w:szCs w:val="24"/>
        </w:rPr>
        <w:t xml:space="preserve"> </w:t>
      </w:r>
      <w:r>
        <w:rPr>
          <w:szCs w:val="24"/>
        </w:rPr>
        <w:t xml:space="preserve">included opportunities to contribute to policy discussions, as well as an opportunity to provide feedback in relation to the technical construction of the offence. </w:t>
      </w:r>
    </w:p>
    <w:p w14:paraId="1E21BBC1" w14:textId="321FF86D" w:rsidR="006C078D" w:rsidRDefault="006C078D" w:rsidP="006230ED">
      <w:pPr>
        <w:autoSpaceDE w:val="0"/>
        <w:autoSpaceDN w:val="0"/>
        <w:adjustRightInd w:val="0"/>
        <w:spacing w:before="240" w:after="120"/>
        <w:rPr>
          <w:szCs w:val="24"/>
        </w:rPr>
      </w:pPr>
      <w:r>
        <w:rPr>
          <w:szCs w:val="24"/>
        </w:rPr>
        <w:t>Consultation on the amendments in relation to tendency and coincidence were part of a national consultation process which including the drafting, consultation and agreement by the Council of Attorneys-General (CAG). The tendency and coincidence provisions, which are in Part 3 of this Bill, are based on the model laws agreed to by CAG.</w:t>
      </w:r>
    </w:p>
    <w:p w14:paraId="1A0643AD" w14:textId="63CD4ADF" w:rsidR="006C078D" w:rsidRPr="00954B32" w:rsidRDefault="00C9244E">
      <w:pPr>
        <w:autoSpaceDE w:val="0"/>
        <w:autoSpaceDN w:val="0"/>
        <w:adjustRightInd w:val="0"/>
        <w:spacing w:before="240" w:after="120"/>
        <w:rPr>
          <w:szCs w:val="24"/>
        </w:rPr>
      </w:pPr>
      <w:r>
        <w:rPr>
          <w:szCs w:val="24"/>
        </w:rPr>
        <w:t>F</w:t>
      </w:r>
      <w:r w:rsidR="006C078D">
        <w:rPr>
          <w:szCs w:val="24"/>
        </w:rPr>
        <w:t>eedback has informed the drafting of this Bill.</w:t>
      </w:r>
    </w:p>
    <w:p w14:paraId="71F5A43B" w14:textId="77777777" w:rsidR="00B10644" w:rsidRPr="00954B32" w:rsidRDefault="00B10644" w:rsidP="00B10644">
      <w:pPr>
        <w:autoSpaceDE w:val="0"/>
        <w:autoSpaceDN w:val="0"/>
        <w:adjustRightInd w:val="0"/>
        <w:spacing w:before="240" w:after="120"/>
        <w:rPr>
          <w:szCs w:val="24"/>
        </w:rPr>
      </w:pPr>
    </w:p>
    <w:p w14:paraId="77AA565A" w14:textId="29A812AB" w:rsidR="00B10644" w:rsidRPr="00A511E0" w:rsidRDefault="00B10644" w:rsidP="00B10644">
      <w:pPr>
        <w:pStyle w:val="Heading2"/>
        <w:jc w:val="center"/>
      </w:pPr>
      <w:bookmarkStart w:id="17" w:name="_Toc426711260"/>
      <w:bookmarkStart w:id="18" w:name="_Toc429052823"/>
      <w:bookmarkStart w:id="19" w:name="_Toc524517792"/>
      <w:bookmarkStart w:id="20" w:name="_Toc525903860"/>
      <w:bookmarkStart w:id="21" w:name="_Toc1399149"/>
      <w:bookmarkStart w:id="22" w:name="_Toc43913446"/>
      <w:r w:rsidRPr="00A511E0">
        <w:t>Human Rig</w:t>
      </w:r>
      <w:r w:rsidR="00C9244E">
        <w:t>h</w:t>
      </w:r>
      <w:r w:rsidRPr="00A511E0">
        <w:t>ts Considerations</w:t>
      </w:r>
      <w:bookmarkEnd w:id="17"/>
      <w:bookmarkEnd w:id="18"/>
      <w:bookmarkEnd w:id="19"/>
      <w:bookmarkEnd w:id="20"/>
      <w:bookmarkEnd w:id="21"/>
      <w:bookmarkEnd w:id="22"/>
    </w:p>
    <w:p w14:paraId="5CBFC2B0" w14:textId="77777777" w:rsidR="00B10644" w:rsidRDefault="00B10644" w:rsidP="00B10644">
      <w:pPr>
        <w:rPr>
          <w:szCs w:val="24"/>
        </w:rPr>
      </w:pPr>
      <w:r w:rsidRPr="00A511E0">
        <w:t xml:space="preserve">The Royal Commission was established in January 2013 to investigate institutions that have failed to protect children or respond to allegations of child sexual abuse. </w:t>
      </w:r>
      <w:r w:rsidRPr="00A511E0">
        <w:rPr>
          <w:szCs w:val="24"/>
        </w:rPr>
        <w:t xml:space="preserve">The Royal Commission showed that countless children have been sexually abused in many institutions in Australia, and that society’s institutions have failed to protect them and hold perpetrators to account. </w:t>
      </w:r>
      <w:r>
        <w:rPr>
          <w:szCs w:val="24"/>
        </w:rPr>
        <w:t>The Royal Commission found that</w:t>
      </w:r>
      <w:r>
        <w:rPr>
          <w:rStyle w:val="FootnoteReference"/>
          <w:szCs w:val="24"/>
        </w:rPr>
        <w:footnoteReference w:id="3"/>
      </w:r>
      <w:r>
        <w:rPr>
          <w:szCs w:val="24"/>
        </w:rPr>
        <w:t xml:space="preserve"> </w:t>
      </w:r>
    </w:p>
    <w:p w14:paraId="439CCDDA" w14:textId="77777777" w:rsidR="00B10644" w:rsidRPr="005B12A0" w:rsidRDefault="00B10644" w:rsidP="00B10644">
      <w:pPr>
        <w:ind w:left="720"/>
        <w:rPr>
          <w:i/>
          <w:szCs w:val="24"/>
        </w:rPr>
      </w:pPr>
      <w:r w:rsidRPr="005B12A0">
        <w:rPr>
          <w:i/>
          <w:szCs w:val="24"/>
        </w:rPr>
        <w:t xml:space="preserve">The impacts of child sexual abuse are different for each victim.  For many victims, the abuse can have profound and lasting impacts.  They experience deep, complex trauma, </w:t>
      </w:r>
      <w:r w:rsidRPr="005B12A0">
        <w:rPr>
          <w:i/>
          <w:szCs w:val="24"/>
        </w:rPr>
        <w:lastRenderedPageBreak/>
        <w:t xml:space="preserve">which can pervade all aspects of their lives, and cause a range of effects across their lifespans.  Other victims do not perceive themselves to be profoundly harmed by the experience. </w:t>
      </w:r>
    </w:p>
    <w:p w14:paraId="7191FDF5" w14:textId="77777777" w:rsidR="00B10644" w:rsidRPr="005B12A0" w:rsidRDefault="00B10644" w:rsidP="00B10644">
      <w:pPr>
        <w:ind w:left="720"/>
        <w:rPr>
          <w:i/>
          <w:szCs w:val="24"/>
        </w:rPr>
      </w:pPr>
      <w:r w:rsidRPr="005B12A0">
        <w:rPr>
          <w:i/>
          <w:szCs w:val="24"/>
        </w:rPr>
        <w:t xml:space="preserve">Some impacts on victims are immediate and temporary, while others can last throughout adulthood.  Some emerge later in life; others abate only to re-emerge or manifest in response to triggers or events.  As victims have new experiences or enter new stages of development over their life courses, the consequences of abuse may manifest in different ways. </w:t>
      </w:r>
    </w:p>
    <w:p w14:paraId="08C89113" w14:textId="77777777" w:rsidR="00B10644" w:rsidRPr="005B12A0" w:rsidRDefault="00B10644" w:rsidP="00B10644">
      <w:pPr>
        <w:ind w:left="720"/>
        <w:rPr>
          <w:i/>
          <w:szCs w:val="24"/>
        </w:rPr>
      </w:pPr>
      <w:r w:rsidRPr="005B12A0">
        <w:rPr>
          <w:i/>
          <w:szCs w:val="24"/>
        </w:rPr>
        <w:t>[ … ]</w:t>
      </w:r>
    </w:p>
    <w:p w14:paraId="11723D21" w14:textId="77777777" w:rsidR="00B10644" w:rsidRPr="005B12A0" w:rsidRDefault="00B10644" w:rsidP="00B10644">
      <w:pPr>
        <w:ind w:left="720"/>
        <w:rPr>
          <w:i/>
          <w:szCs w:val="24"/>
        </w:rPr>
      </w:pPr>
      <w:r w:rsidRPr="005B12A0">
        <w:rPr>
          <w:i/>
          <w:szCs w:val="24"/>
        </w:rPr>
        <w:t xml:space="preserve">While the impacts of child sexual abuse in institutional contexts are similar to those of child sexual abuse in other settings, we learned that there are often particular effects when a child is sexually abused in an institution.  </w:t>
      </w:r>
    </w:p>
    <w:p w14:paraId="669FC971" w14:textId="77777777" w:rsidR="00B10644" w:rsidRPr="00A511E0" w:rsidRDefault="00B10644" w:rsidP="00B10644">
      <w:pPr>
        <w:rPr>
          <w:szCs w:val="24"/>
        </w:rPr>
      </w:pPr>
      <w:r w:rsidRPr="00A511E0">
        <w:rPr>
          <w:szCs w:val="24"/>
        </w:rPr>
        <w:t xml:space="preserve">The issue of child sexual abuse raises important human rights issues, and engages many rights under the </w:t>
      </w:r>
      <w:r w:rsidRPr="00A511E0">
        <w:rPr>
          <w:i/>
          <w:szCs w:val="24"/>
        </w:rPr>
        <w:t>Human Rights Act 2004</w:t>
      </w:r>
      <w:r w:rsidRPr="00A511E0">
        <w:rPr>
          <w:szCs w:val="24"/>
        </w:rPr>
        <w:t xml:space="preserve"> (HR Act). Child sexual abuse violates children’s most basic rights including the right to protection from torture and cruel, inhuman or degrading treatment (s 10 HR Act), the right to protection of family and children (s 11 HR Act), and the right to liberty and security of person (s 12 HR Act). </w:t>
      </w:r>
    </w:p>
    <w:p w14:paraId="1AFFE592" w14:textId="77777777" w:rsidR="00B10644" w:rsidRPr="00A511E0" w:rsidRDefault="00B10644" w:rsidP="00B10644">
      <w:pPr>
        <w:autoSpaceDE w:val="0"/>
        <w:autoSpaceDN w:val="0"/>
        <w:adjustRightInd w:val="0"/>
        <w:spacing w:before="240" w:after="120"/>
        <w:rPr>
          <w:szCs w:val="24"/>
        </w:rPr>
      </w:pPr>
      <w:r w:rsidRPr="00A511E0">
        <w:rPr>
          <w:szCs w:val="24"/>
        </w:rPr>
        <w:t>It is incumbent on all parts of society to do what they can to protect children from abuse. The Royal Commission made recommendations for legislative change to impr</w:t>
      </w:r>
      <w:r>
        <w:rPr>
          <w:szCs w:val="24"/>
        </w:rPr>
        <w:t>ove the criminal justice system and society’</w:t>
      </w:r>
      <w:r w:rsidRPr="00A511E0">
        <w:rPr>
          <w:szCs w:val="24"/>
        </w:rPr>
        <w:t xml:space="preserve">s response to child sexual abuse. </w:t>
      </w:r>
      <w:r>
        <w:rPr>
          <w:szCs w:val="24"/>
        </w:rPr>
        <w:t xml:space="preserve">A number of recommendations were designed, and have been legislated, to go beyond institutional child sexual abuse to recognise that while there are particular harms that stem from institutionalised abuse, any child sexual abuse is unacceptable in today’s society. </w:t>
      </w:r>
      <w:r w:rsidRPr="00A511E0">
        <w:rPr>
          <w:szCs w:val="24"/>
        </w:rPr>
        <w:t>This Bill implements a number of those recommendations. In doing so, the Bill engages and places limitations on a number of human rights in the HR Act. These limitations are appropriate</w:t>
      </w:r>
      <w:r>
        <w:rPr>
          <w:szCs w:val="24"/>
        </w:rPr>
        <w:t xml:space="preserve"> having regard to</w:t>
      </w:r>
      <w:r w:rsidRPr="00A511E0">
        <w:rPr>
          <w:szCs w:val="24"/>
        </w:rPr>
        <w:t xml:space="preserve"> the human rights of children to safety, protection and justice. </w:t>
      </w:r>
    </w:p>
    <w:p w14:paraId="6616CCA2" w14:textId="77777777" w:rsidR="00B10644" w:rsidRPr="00A511E0" w:rsidRDefault="00B10644" w:rsidP="00B10644">
      <w:pPr>
        <w:autoSpaceDE w:val="0"/>
        <w:autoSpaceDN w:val="0"/>
        <w:adjustRightInd w:val="0"/>
        <w:spacing w:before="240" w:after="120"/>
        <w:rPr>
          <w:bCs/>
          <w:szCs w:val="24"/>
        </w:rPr>
      </w:pPr>
      <w:r w:rsidRPr="00A511E0">
        <w:rPr>
          <w:bCs/>
          <w:szCs w:val="24"/>
        </w:rPr>
        <w:t xml:space="preserve">Broadly, the Bill places limitations on the following HR Act rights: </w:t>
      </w:r>
    </w:p>
    <w:p w14:paraId="2B256121" w14:textId="77777777" w:rsidR="00B10644" w:rsidRDefault="00B10644" w:rsidP="00B10644">
      <w:pPr>
        <w:numPr>
          <w:ilvl w:val="0"/>
          <w:numId w:val="2"/>
        </w:numPr>
        <w:autoSpaceDE w:val="0"/>
        <w:autoSpaceDN w:val="0"/>
        <w:adjustRightInd w:val="0"/>
        <w:spacing w:before="240" w:after="120"/>
        <w:rPr>
          <w:bCs/>
          <w:szCs w:val="24"/>
        </w:rPr>
      </w:pPr>
      <w:r w:rsidRPr="00A511E0">
        <w:rPr>
          <w:bCs/>
          <w:szCs w:val="24"/>
        </w:rPr>
        <w:t>Section 12 – Right to privacy and reputation;</w:t>
      </w:r>
    </w:p>
    <w:p w14:paraId="540BFA71" w14:textId="77777777" w:rsidR="00B10644" w:rsidRPr="00A511E0" w:rsidRDefault="00B10644" w:rsidP="00B10644">
      <w:pPr>
        <w:numPr>
          <w:ilvl w:val="0"/>
          <w:numId w:val="2"/>
        </w:numPr>
        <w:autoSpaceDE w:val="0"/>
        <w:autoSpaceDN w:val="0"/>
        <w:adjustRightInd w:val="0"/>
        <w:spacing w:before="240" w:after="120"/>
        <w:rPr>
          <w:bCs/>
          <w:szCs w:val="24"/>
        </w:rPr>
      </w:pPr>
      <w:r>
        <w:rPr>
          <w:bCs/>
          <w:szCs w:val="24"/>
        </w:rPr>
        <w:t>Section 14 – Right to freedom of religion;</w:t>
      </w:r>
    </w:p>
    <w:p w14:paraId="6A939784" w14:textId="48CDAD2D" w:rsidR="00B10644" w:rsidRDefault="00B10644" w:rsidP="00B10644">
      <w:pPr>
        <w:numPr>
          <w:ilvl w:val="0"/>
          <w:numId w:val="2"/>
        </w:numPr>
        <w:autoSpaceDE w:val="0"/>
        <w:autoSpaceDN w:val="0"/>
        <w:adjustRightInd w:val="0"/>
        <w:spacing w:before="240" w:after="120"/>
        <w:rPr>
          <w:bCs/>
          <w:szCs w:val="24"/>
        </w:rPr>
      </w:pPr>
      <w:r w:rsidRPr="009715F4">
        <w:rPr>
          <w:bCs/>
          <w:szCs w:val="24"/>
        </w:rPr>
        <w:t>Section 21 – Right to a fair trial;</w:t>
      </w:r>
    </w:p>
    <w:p w14:paraId="099404D4" w14:textId="46051C2D" w:rsidR="003E4132" w:rsidRPr="009715F4" w:rsidRDefault="003E4132" w:rsidP="00B10644">
      <w:pPr>
        <w:numPr>
          <w:ilvl w:val="0"/>
          <w:numId w:val="2"/>
        </w:numPr>
        <w:autoSpaceDE w:val="0"/>
        <w:autoSpaceDN w:val="0"/>
        <w:adjustRightInd w:val="0"/>
        <w:spacing w:before="240" w:after="120"/>
        <w:rPr>
          <w:bCs/>
          <w:szCs w:val="24"/>
        </w:rPr>
      </w:pPr>
      <w:r>
        <w:rPr>
          <w:bCs/>
          <w:szCs w:val="24"/>
        </w:rPr>
        <w:t>Section 24 – Right not to be tried or punished more than once; and</w:t>
      </w:r>
    </w:p>
    <w:p w14:paraId="3B289452" w14:textId="77777777" w:rsidR="00B10644" w:rsidRPr="00525B05" w:rsidRDefault="00B10644" w:rsidP="00B10644">
      <w:pPr>
        <w:numPr>
          <w:ilvl w:val="0"/>
          <w:numId w:val="2"/>
        </w:numPr>
        <w:autoSpaceDE w:val="0"/>
        <w:autoSpaceDN w:val="0"/>
        <w:adjustRightInd w:val="0"/>
        <w:spacing w:before="240" w:after="120"/>
        <w:rPr>
          <w:bCs/>
          <w:szCs w:val="24"/>
        </w:rPr>
      </w:pPr>
      <w:r w:rsidRPr="00A511E0">
        <w:rPr>
          <w:bCs/>
          <w:szCs w:val="24"/>
        </w:rPr>
        <w:t>Section 25 – Retrospective criminal laws.</w:t>
      </w:r>
    </w:p>
    <w:p w14:paraId="1ECEE0D0" w14:textId="77777777" w:rsidR="00B10644" w:rsidRPr="00A511E0" w:rsidRDefault="00B10644" w:rsidP="00B10644">
      <w:pPr>
        <w:keepNext/>
        <w:autoSpaceDE w:val="0"/>
        <w:autoSpaceDN w:val="0"/>
        <w:adjustRightInd w:val="0"/>
        <w:spacing w:before="240" w:after="120"/>
        <w:rPr>
          <w:bCs/>
          <w:szCs w:val="24"/>
        </w:rPr>
      </w:pPr>
      <w:r w:rsidRPr="00A511E0">
        <w:rPr>
          <w:bCs/>
          <w:szCs w:val="24"/>
        </w:rPr>
        <w:lastRenderedPageBreak/>
        <w:t>The Bill also supports the following HR Act rights:</w:t>
      </w:r>
    </w:p>
    <w:p w14:paraId="019348EF" w14:textId="77777777" w:rsidR="00B10644" w:rsidRPr="00A511E0" w:rsidRDefault="00B10644" w:rsidP="00B10644">
      <w:pPr>
        <w:keepNext/>
        <w:numPr>
          <w:ilvl w:val="0"/>
          <w:numId w:val="3"/>
        </w:numPr>
        <w:autoSpaceDE w:val="0"/>
        <w:autoSpaceDN w:val="0"/>
        <w:adjustRightInd w:val="0"/>
        <w:spacing w:before="240" w:after="120"/>
        <w:rPr>
          <w:bCs/>
          <w:szCs w:val="24"/>
        </w:rPr>
      </w:pPr>
      <w:r w:rsidRPr="00A511E0">
        <w:rPr>
          <w:bCs/>
          <w:szCs w:val="24"/>
        </w:rPr>
        <w:t>Section 10 – Protection from torture and cruel, inhuman or degrading treatment;</w:t>
      </w:r>
    </w:p>
    <w:p w14:paraId="0A61A33D" w14:textId="77777777" w:rsidR="00B10644" w:rsidRPr="00A511E0" w:rsidRDefault="00B10644" w:rsidP="00B10644">
      <w:pPr>
        <w:numPr>
          <w:ilvl w:val="0"/>
          <w:numId w:val="3"/>
        </w:numPr>
        <w:autoSpaceDE w:val="0"/>
        <w:autoSpaceDN w:val="0"/>
        <w:adjustRightInd w:val="0"/>
        <w:spacing w:before="240" w:after="120"/>
        <w:rPr>
          <w:bCs/>
          <w:szCs w:val="24"/>
        </w:rPr>
      </w:pPr>
      <w:r w:rsidRPr="00A511E0">
        <w:rPr>
          <w:bCs/>
          <w:szCs w:val="24"/>
        </w:rPr>
        <w:t>Section 11 – Protection of family and children;</w:t>
      </w:r>
    </w:p>
    <w:p w14:paraId="5EC0074B" w14:textId="77777777" w:rsidR="00B10644" w:rsidRPr="00A511E0" w:rsidRDefault="00B10644" w:rsidP="00B10644">
      <w:pPr>
        <w:numPr>
          <w:ilvl w:val="0"/>
          <w:numId w:val="3"/>
        </w:numPr>
        <w:autoSpaceDE w:val="0"/>
        <w:autoSpaceDN w:val="0"/>
        <w:adjustRightInd w:val="0"/>
        <w:spacing w:before="240" w:after="120"/>
        <w:rPr>
          <w:bCs/>
          <w:szCs w:val="24"/>
        </w:rPr>
      </w:pPr>
      <w:r w:rsidRPr="00A511E0">
        <w:rPr>
          <w:bCs/>
          <w:szCs w:val="24"/>
        </w:rPr>
        <w:t>Section 18 – Right to liberty and security of person;</w:t>
      </w:r>
      <w:r>
        <w:rPr>
          <w:bCs/>
          <w:szCs w:val="24"/>
        </w:rPr>
        <w:t xml:space="preserve"> and</w:t>
      </w:r>
    </w:p>
    <w:p w14:paraId="07E4AD11" w14:textId="77777777" w:rsidR="00B10644" w:rsidRPr="00A511E0" w:rsidRDefault="00B10644" w:rsidP="00B10644">
      <w:pPr>
        <w:numPr>
          <w:ilvl w:val="0"/>
          <w:numId w:val="3"/>
        </w:numPr>
        <w:autoSpaceDE w:val="0"/>
        <w:autoSpaceDN w:val="0"/>
        <w:adjustRightInd w:val="0"/>
        <w:spacing w:before="240" w:after="120"/>
        <w:rPr>
          <w:bCs/>
          <w:szCs w:val="24"/>
        </w:rPr>
      </w:pPr>
      <w:r w:rsidRPr="00A511E0">
        <w:rPr>
          <w:bCs/>
          <w:szCs w:val="24"/>
        </w:rPr>
        <w:t>Section 21 – Right to a fair trial</w:t>
      </w:r>
      <w:r>
        <w:rPr>
          <w:bCs/>
          <w:szCs w:val="24"/>
        </w:rPr>
        <w:t>.</w:t>
      </w:r>
    </w:p>
    <w:p w14:paraId="6AD014AE" w14:textId="77777777" w:rsidR="00B10644" w:rsidRPr="006D1244" w:rsidRDefault="00B10644" w:rsidP="00B10644">
      <w:pPr>
        <w:autoSpaceDE w:val="0"/>
        <w:autoSpaceDN w:val="0"/>
        <w:adjustRightInd w:val="0"/>
        <w:spacing w:before="240" w:after="120"/>
        <w:rPr>
          <w:bCs/>
          <w:szCs w:val="24"/>
        </w:rPr>
      </w:pPr>
      <w:r w:rsidRPr="006D1244">
        <w:rPr>
          <w:szCs w:val="24"/>
        </w:rPr>
        <w:t xml:space="preserve">The preamble to the HR Act notes that few rights are absolute and that they may be subject only to the reasonable limits in law that can be demonstrably justified in a free and democratic society. Section 28 (2) of the HR Act contains the framework that is used to determine the acceptable limitations that may be placed on human rights. </w:t>
      </w:r>
    </w:p>
    <w:p w14:paraId="4BB63732" w14:textId="535ADCFA" w:rsidR="00B10644" w:rsidRPr="006D1244" w:rsidRDefault="00B10644" w:rsidP="00B10644">
      <w:pPr>
        <w:autoSpaceDE w:val="0"/>
        <w:autoSpaceDN w:val="0"/>
        <w:adjustRightInd w:val="0"/>
        <w:spacing w:before="240" w:after="120"/>
        <w:rPr>
          <w:bCs/>
          <w:szCs w:val="24"/>
        </w:rPr>
      </w:pPr>
      <w:r w:rsidRPr="006D1244">
        <w:rPr>
          <w:bCs/>
          <w:szCs w:val="24"/>
        </w:rPr>
        <w:t xml:space="preserve">International human rights law places obligations on governments to “respect, protect and fulfil” rights. The obligation to respect means </w:t>
      </w:r>
      <w:r w:rsidR="006B4D11">
        <w:rPr>
          <w:bCs/>
          <w:szCs w:val="24"/>
        </w:rPr>
        <w:t xml:space="preserve">a </w:t>
      </w:r>
      <w:r w:rsidRPr="006D1244">
        <w:rPr>
          <w:bCs/>
          <w:szCs w:val="24"/>
        </w:rPr>
        <w:t xml:space="preserve">government must ensure its organs and agents do not commit violations themselves. The obligation to protect means governments must protect individuals and groups from having rights interfered with by third parties and punish perpetrators. The obligation to fulfil means governments must take positive action to facilitate the full enjoyment of rights. </w:t>
      </w:r>
    </w:p>
    <w:p w14:paraId="287046DE" w14:textId="77777777" w:rsidR="00B10644" w:rsidRPr="006D1244" w:rsidRDefault="00B10644" w:rsidP="00B10644">
      <w:pPr>
        <w:autoSpaceDE w:val="0"/>
        <w:autoSpaceDN w:val="0"/>
        <w:adjustRightInd w:val="0"/>
        <w:spacing w:before="240" w:after="120"/>
        <w:rPr>
          <w:bCs/>
          <w:szCs w:val="24"/>
        </w:rPr>
      </w:pPr>
      <w:r w:rsidRPr="006D1244">
        <w:rPr>
          <w:bCs/>
          <w:szCs w:val="24"/>
        </w:rPr>
        <w:t>The European Court of Human Rights (ECHR) has considered</w:t>
      </w:r>
      <w:r>
        <w:rPr>
          <w:bCs/>
          <w:szCs w:val="24"/>
        </w:rPr>
        <w:t>, in depth,</w:t>
      </w:r>
      <w:r w:rsidRPr="006D1244">
        <w:rPr>
          <w:bCs/>
          <w:szCs w:val="24"/>
        </w:rPr>
        <w:t xml:space="preserve"> the positive obligation of governments to uphold rights, noting government must put in place legislative and administrative frameworks to deter conduct that infringes rights, and to undertake operational measures to protect an individual who is at risk of rights infringement.</w:t>
      </w:r>
      <w:r w:rsidRPr="006D1244">
        <w:rPr>
          <w:rStyle w:val="FootnoteReference"/>
          <w:bCs/>
          <w:szCs w:val="24"/>
        </w:rPr>
        <w:footnoteReference w:id="4"/>
      </w:r>
    </w:p>
    <w:p w14:paraId="765B73FC" w14:textId="77777777" w:rsidR="00B10644" w:rsidRPr="006D1244" w:rsidRDefault="00B10644" w:rsidP="00B10644">
      <w:pPr>
        <w:autoSpaceDE w:val="0"/>
        <w:autoSpaceDN w:val="0"/>
        <w:adjustRightInd w:val="0"/>
        <w:spacing w:before="240" w:after="120"/>
        <w:rPr>
          <w:szCs w:val="24"/>
        </w:rPr>
      </w:pPr>
      <w:r w:rsidRPr="006D1244">
        <w:rPr>
          <w:szCs w:val="24"/>
        </w:rPr>
        <w:t xml:space="preserve">The ECHR has held that the positive obligation on States extends to imposing a duty to protect children from sexual abuse under Article 3 of the European Convention on Human Rights (the Convention) (the right to protection from torture and cruel, inhuman or degrading treatment). In particular, in the case of </w:t>
      </w:r>
      <w:r w:rsidRPr="006D1244">
        <w:rPr>
          <w:i/>
          <w:szCs w:val="24"/>
        </w:rPr>
        <w:t>E and Others v. the United Kingdom</w:t>
      </w:r>
      <w:r w:rsidRPr="006D1244">
        <w:rPr>
          <w:rStyle w:val="FootnoteReference"/>
          <w:i/>
          <w:szCs w:val="24"/>
        </w:rPr>
        <w:footnoteReference w:id="5"/>
      </w:r>
      <w:r w:rsidRPr="006D1244">
        <w:rPr>
          <w:szCs w:val="24"/>
        </w:rPr>
        <w:t>, the ECHR found that prolonged sexual abuse meets the threshold of an Article 3 violation, and that “a failure to take reasonably available measures which could have had a real prospect of altering the outcome or mitigating the harm is sufficient to engage the responsibility of the State”.</w:t>
      </w:r>
    </w:p>
    <w:p w14:paraId="2D7D735F" w14:textId="0BFA6B6E" w:rsidR="00B10644" w:rsidRPr="006D1244" w:rsidRDefault="00B10644" w:rsidP="00B10644">
      <w:pPr>
        <w:autoSpaceDE w:val="0"/>
        <w:autoSpaceDN w:val="0"/>
        <w:adjustRightInd w:val="0"/>
        <w:spacing w:before="240" w:after="120"/>
        <w:rPr>
          <w:szCs w:val="24"/>
        </w:rPr>
      </w:pPr>
      <w:r w:rsidRPr="006D1244">
        <w:rPr>
          <w:szCs w:val="24"/>
        </w:rPr>
        <w:t xml:space="preserve">In </w:t>
      </w:r>
      <w:r w:rsidRPr="006D1244">
        <w:rPr>
          <w:i/>
          <w:szCs w:val="24"/>
        </w:rPr>
        <w:t>O’Keefe v Ireland</w:t>
      </w:r>
      <w:r w:rsidRPr="006D1244">
        <w:rPr>
          <w:szCs w:val="24"/>
        </w:rPr>
        <w:t xml:space="preserve">, the ECHR considered the case of a teacher abusing children in a state funded, privately run school. A complaint was made by the student’s family against the teacher who resigned and moved to another school to teach, and subsequently continued to abuse other children. The ECHR held that the consequences of a failure by non-State institutions to act on prior complaints of sexual abuse, followed by later abuse of other children was a violation of </w:t>
      </w:r>
      <w:r w:rsidRPr="006D1244">
        <w:rPr>
          <w:szCs w:val="24"/>
        </w:rPr>
        <w:lastRenderedPageBreak/>
        <w:t>Article 3 of the Convention. The ECHR held that “the State must be considered to have failed to fulfil its positive obligation to protect the current applicant from the sexual abuse to which she was subjected”</w:t>
      </w:r>
      <w:r w:rsidRPr="006D1244">
        <w:rPr>
          <w:rStyle w:val="FootnoteReference"/>
          <w:szCs w:val="24"/>
        </w:rPr>
        <w:footnoteReference w:id="6"/>
      </w:r>
      <w:r w:rsidRPr="006D1244">
        <w:rPr>
          <w:szCs w:val="24"/>
        </w:rPr>
        <w:t>.</w:t>
      </w:r>
    </w:p>
    <w:p w14:paraId="40BFE1D9" w14:textId="77777777" w:rsidR="00B10644" w:rsidRPr="006D1244" w:rsidRDefault="00B10644" w:rsidP="00B10644">
      <w:pPr>
        <w:autoSpaceDE w:val="0"/>
        <w:autoSpaceDN w:val="0"/>
        <w:adjustRightInd w:val="0"/>
        <w:spacing w:before="240" w:after="120"/>
        <w:rPr>
          <w:bCs/>
          <w:szCs w:val="24"/>
        </w:rPr>
      </w:pPr>
      <w:r w:rsidRPr="006D1244">
        <w:rPr>
          <w:bCs/>
          <w:szCs w:val="24"/>
        </w:rPr>
        <w:t>The Convention on the Rights of the Child (CRC), to which Australia is a signatory, further articulates States’ human rights obligations to protect children. Article 34 of the CRC states that:</w:t>
      </w:r>
    </w:p>
    <w:p w14:paraId="1C480F9C" w14:textId="77777777" w:rsidR="00B10644" w:rsidRPr="006D1244" w:rsidRDefault="00B10644" w:rsidP="00B10644">
      <w:pPr>
        <w:autoSpaceDE w:val="0"/>
        <w:autoSpaceDN w:val="0"/>
        <w:adjustRightInd w:val="0"/>
        <w:spacing w:before="240" w:after="120"/>
        <w:ind w:left="720"/>
        <w:rPr>
          <w:bCs/>
          <w:i/>
          <w:szCs w:val="24"/>
        </w:rPr>
      </w:pPr>
      <w:r w:rsidRPr="006D1244">
        <w:rPr>
          <w:bCs/>
          <w:i/>
          <w:szCs w:val="24"/>
        </w:rPr>
        <w:t>States parties undertake to protect the child from all forms of sexual exploitation and sexual abuse.</w:t>
      </w:r>
    </w:p>
    <w:p w14:paraId="138B9BFB" w14:textId="77777777" w:rsidR="00B10644" w:rsidRPr="006D1244" w:rsidRDefault="00B10644" w:rsidP="00B10644">
      <w:pPr>
        <w:keepNext/>
        <w:autoSpaceDE w:val="0"/>
        <w:autoSpaceDN w:val="0"/>
        <w:adjustRightInd w:val="0"/>
        <w:spacing w:before="240" w:after="120"/>
        <w:rPr>
          <w:bCs/>
          <w:szCs w:val="24"/>
        </w:rPr>
      </w:pPr>
      <w:r w:rsidRPr="006D1244">
        <w:rPr>
          <w:bCs/>
          <w:szCs w:val="24"/>
        </w:rPr>
        <w:t>Article 19 of the CRC further states that:</w:t>
      </w:r>
    </w:p>
    <w:p w14:paraId="6DEBAA85" w14:textId="77777777" w:rsidR="00B10644" w:rsidRPr="006D1244" w:rsidRDefault="00B10644" w:rsidP="00B10644">
      <w:pPr>
        <w:keepNext/>
        <w:autoSpaceDE w:val="0"/>
        <w:autoSpaceDN w:val="0"/>
        <w:adjustRightInd w:val="0"/>
        <w:spacing w:before="240" w:after="120"/>
        <w:ind w:left="720"/>
        <w:rPr>
          <w:i/>
        </w:rPr>
      </w:pPr>
      <w:r w:rsidRPr="006D1244">
        <w:rPr>
          <w:bCs/>
          <w:i/>
          <w:szCs w:val="24"/>
        </w:rPr>
        <w:t xml:space="preserve">(1) </w:t>
      </w:r>
      <w:r w:rsidRPr="006D1244">
        <w:rPr>
          <w:i/>
        </w:rPr>
        <w:t xml:space="preserve">States Parties shall take all appropriate legislative, administrative, social and educational measures to protect the child from all forms of physical or mental violence, injury or abuse, neglect or negligent treatment, maltreatment or exploitation, including sexual abuse, while in the care of parent(s), legal guardian(s) or any other person who has the care of the child. </w:t>
      </w:r>
    </w:p>
    <w:p w14:paraId="04F9B551" w14:textId="77777777" w:rsidR="00B10644" w:rsidRPr="00A511E0" w:rsidRDefault="00B10644" w:rsidP="00B10644">
      <w:pPr>
        <w:autoSpaceDE w:val="0"/>
        <w:autoSpaceDN w:val="0"/>
        <w:adjustRightInd w:val="0"/>
        <w:spacing w:before="240" w:after="120"/>
        <w:ind w:left="720"/>
        <w:rPr>
          <w:bCs/>
          <w:i/>
          <w:szCs w:val="24"/>
        </w:rPr>
      </w:pPr>
      <w:r w:rsidRPr="006D1244">
        <w:rPr>
          <w:i/>
        </w:rPr>
        <w:t>(2) Such protective measures should, as appropriate, include effective procedures for the establishment of social programmes to provide necessary support for the child and for those who have the care of the child, as well as for other forms of prevention and for identification, reporting, referral, investigation, treatment and follow-up of instances of child maltreatment described heretofore, and, as appropriate, for judicial involvement.</w:t>
      </w:r>
    </w:p>
    <w:p w14:paraId="7AADA7C8" w14:textId="77777777" w:rsidR="00B10644" w:rsidRPr="00A511E0" w:rsidRDefault="00B10644" w:rsidP="00B10644">
      <w:pPr>
        <w:autoSpaceDE w:val="0"/>
        <w:autoSpaceDN w:val="0"/>
        <w:adjustRightInd w:val="0"/>
        <w:spacing w:before="240" w:after="120"/>
        <w:rPr>
          <w:b/>
          <w:szCs w:val="24"/>
          <w:u w:val="single"/>
        </w:rPr>
      </w:pPr>
      <w:r w:rsidRPr="00A511E0">
        <w:rPr>
          <w:b/>
          <w:szCs w:val="24"/>
          <w:u w:val="single"/>
        </w:rPr>
        <w:t>Detailed human rights discussion</w:t>
      </w:r>
    </w:p>
    <w:p w14:paraId="730AAF2C" w14:textId="77777777" w:rsidR="00B10644" w:rsidRPr="00A511E0" w:rsidRDefault="00B10644" w:rsidP="00B10644">
      <w:pPr>
        <w:autoSpaceDE w:val="0"/>
        <w:autoSpaceDN w:val="0"/>
        <w:adjustRightInd w:val="0"/>
        <w:spacing w:before="240" w:after="120"/>
        <w:rPr>
          <w:b/>
          <w:bCs/>
          <w:i/>
          <w:szCs w:val="24"/>
          <w:u w:val="single"/>
        </w:rPr>
      </w:pPr>
      <w:r w:rsidRPr="00A511E0">
        <w:rPr>
          <w:b/>
          <w:bCs/>
          <w:i/>
          <w:szCs w:val="24"/>
          <w:u w:val="single"/>
        </w:rPr>
        <w:t>Rights engaged and supported</w:t>
      </w:r>
    </w:p>
    <w:p w14:paraId="01FE67B5" w14:textId="6992B389" w:rsidR="00704CBD" w:rsidRDefault="00B10644" w:rsidP="00B10644">
      <w:pPr>
        <w:autoSpaceDE w:val="0"/>
        <w:autoSpaceDN w:val="0"/>
        <w:adjustRightInd w:val="0"/>
        <w:spacing w:before="240" w:after="120"/>
        <w:rPr>
          <w:szCs w:val="24"/>
        </w:rPr>
      </w:pPr>
      <w:r w:rsidRPr="00A511E0">
        <w:rPr>
          <w:szCs w:val="24"/>
          <w:lang w:eastAsia="en-AU"/>
        </w:rPr>
        <w:t xml:space="preserve">The primary purpose of the Bill is to ensure the protection and safety of children and to deter child sexual abuse. This purpose supports the </w:t>
      </w:r>
      <w:r w:rsidRPr="00A511E0">
        <w:rPr>
          <w:szCs w:val="24"/>
        </w:rPr>
        <w:t>right to protection from torture and cruel, inhuman or degrading treatment (s 10 HR Act), the right to protection of family and children (s 11 HR Act), and the right to liberty and security of person (s 1</w:t>
      </w:r>
      <w:r>
        <w:rPr>
          <w:szCs w:val="24"/>
        </w:rPr>
        <w:t>8</w:t>
      </w:r>
      <w:r w:rsidRPr="00A511E0">
        <w:rPr>
          <w:szCs w:val="24"/>
        </w:rPr>
        <w:t xml:space="preserve"> HR Act).</w:t>
      </w:r>
      <w:r w:rsidR="00704CBD" w:rsidRPr="00704CBD">
        <w:t xml:space="preserve"> </w:t>
      </w:r>
      <w:r w:rsidR="00704CBD" w:rsidRPr="00704CBD">
        <w:rPr>
          <w:szCs w:val="24"/>
        </w:rPr>
        <w:t xml:space="preserve">The amendments to section 56 (sexual relationship with a young person) </w:t>
      </w:r>
      <w:r w:rsidR="00704CBD">
        <w:rPr>
          <w:szCs w:val="24"/>
        </w:rPr>
        <w:t xml:space="preserve">of the </w:t>
      </w:r>
      <w:r w:rsidR="00704CBD">
        <w:rPr>
          <w:i/>
          <w:iCs/>
          <w:szCs w:val="24"/>
        </w:rPr>
        <w:t>Crimes Act 1900</w:t>
      </w:r>
      <w:r w:rsidR="00704CBD" w:rsidRPr="00704CBD">
        <w:rPr>
          <w:szCs w:val="24"/>
        </w:rPr>
        <w:t xml:space="preserve"> give effect to recommendations of the Royal Commission and support the rights of children subjected to sexual abuse. The primary purpose of these amendments is to</w:t>
      </w:r>
      <w:r w:rsidR="0016557C">
        <w:rPr>
          <w:szCs w:val="24"/>
        </w:rPr>
        <w:t xml:space="preserve"> ensure justice can be sought for, and by,</w:t>
      </w:r>
      <w:r w:rsidR="00704CBD" w:rsidRPr="00704CBD">
        <w:rPr>
          <w:szCs w:val="24"/>
        </w:rPr>
        <w:t xml:space="preserve"> </w:t>
      </w:r>
      <w:r w:rsidR="0016557C">
        <w:rPr>
          <w:szCs w:val="24"/>
        </w:rPr>
        <w:t xml:space="preserve">child </w:t>
      </w:r>
      <w:r w:rsidR="00704CBD" w:rsidRPr="00704CBD">
        <w:rPr>
          <w:szCs w:val="24"/>
        </w:rPr>
        <w:t xml:space="preserve">victims of sexual </w:t>
      </w:r>
      <w:r w:rsidR="0016557C">
        <w:rPr>
          <w:szCs w:val="24"/>
        </w:rPr>
        <w:t>offenders</w:t>
      </w:r>
      <w:r w:rsidR="00704CBD" w:rsidRPr="00704CBD">
        <w:rPr>
          <w:szCs w:val="24"/>
        </w:rPr>
        <w:t xml:space="preserve">.  The resulting </w:t>
      </w:r>
      <w:r w:rsidR="0016557C">
        <w:rPr>
          <w:szCs w:val="24"/>
        </w:rPr>
        <w:t xml:space="preserve">court proceedings </w:t>
      </w:r>
      <w:r w:rsidR="00704CBD" w:rsidRPr="00704CBD">
        <w:rPr>
          <w:szCs w:val="24"/>
        </w:rPr>
        <w:t xml:space="preserve"> will promote greater understanding of the circumstances and conditions that have led to abuse</w:t>
      </w:r>
      <w:r w:rsidR="0016557C">
        <w:rPr>
          <w:szCs w:val="24"/>
        </w:rPr>
        <w:t>,</w:t>
      </w:r>
      <w:r w:rsidR="00704CBD" w:rsidRPr="00704CBD">
        <w:rPr>
          <w:szCs w:val="24"/>
        </w:rPr>
        <w:t xml:space="preserve"> greater community awareness of this as a societal issue, </w:t>
      </w:r>
      <w:r w:rsidR="0016557C">
        <w:rPr>
          <w:szCs w:val="24"/>
        </w:rPr>
        <w:t xml:space="preserve"> and </w:t>
      </w:r>
      <w:r w:rsidR="00704CBD" w:rsidRPr="00704CBD">
        <w:rPr>
          <w:szCs w:val="24"/>
        </w:rPr>
        <w:t>help to remove the stigma and encourag</w:t>
      </w:r>
      <w:r w:rsidR="0016557C">
        <w:rPr>
          <w:szCs w:val="24"/>
        </w:rPr>
        <w:t>e</w:t>
      </w:r>
      <w:r w:rsidR="00704CBD" w:rsidRPr="00704CBD">
        <w:rPr>
          <w:szCs w:val="24"/>
        </w:rPr>
        <w:t xml:space="preserve"> other victims to come forward. </w:t>
      </w:r>
      <w:r w:rsidR="0016557C">
        <w:rPr>
          <w:szCs w:val="24"/>
        </w:rPr>
        <w:t xml:space="preserve"> The imposition of penalties on those convicted of this offence will signal the </w:t>
      </w:r>
      <w:r w:rsidR="0016557C">
        <w:rPr>
          <w:szCs w:val="24"/>
        </w:rPr>
        <w:lastRenderedPageBreak/>
        <w:t>community’s repudiation of this behaviour, act as general deterrent to this type of offending and enable those who offend to be appropriately punished.</w:t>
      </w:r>
    </w:p>
    <w:p w14:paraId="124D513F" w14:textId="77777777" w:rsidR="00B10644" w:rsidRPr="00A511E0" w:rsidRDefault="00B10644" w:rsidP="00B10644">
      <w:pPr>
        <w:keepNext/>
        <w:autoSpaceDE w:val="0"/>
        <w:autoSpaceDN w:val="0"/>
        <w:adjustRightInd w:val="0"/>
        <w:spacing w:before="240" w:after="120"/>
        <w:rPr>
          <w:b/>
          <w:bCs/>
          <w:i/>
          <w:szCs w:val="24"/>
          <w:u w:val="single"/>
        </w:rPr>
      </w:pPr>
      <w:r w:rsidRPr="00A511E0">
        <w:rPr>
          <w:b/>
          <w:bCs/>
          <w:i/>
          <w:szCs w:val="24"/>
          <w:u w:val="single"/>
        </w:rPr>
        <w:t>Rights engaged and limited</w:t>
      </w:r>
    </w:p>
    <w:p w14:paraId="3C7183EF" w14:textId="77777777" w:rsidR="003812EC" w:rsidRPr="00750939" w:rsidRDefault="003812EC" w:rsidP="00AD687A">
      <w:pPr>
        <w:rPr>
          <w:bCs/>
          <w:lang w:bidi="en-US"/>
        </w:rPr>
      </w:pPr>
      <w:r w:rsidRPr="00A511E0">
        <w:t>Section 28 of the HR Act requires that any limitation on a human right must be authorised by a Territory law, be based on eviden</w:t>
      </w:r>
      <w:r w:rsidRPr="00927D79">
        <w:t xml:space="preserve">ce, and be reasonable to achieve a legitimate aim. Whether a limitation is reasonable depends on whether it is proportionate. As explained in </w:t>
      </w:r>
      <w:r w:rsidRPr="007244FD">
        <w:rPr>
          <w:i/>
          <w:iCs/>
        </w:rPr>
        <w:t>R v Oakes</w:t>
      </w:r>
      <w:r w:rsidRPr="00750939">
        <w:t>,</w:t>
      </w:r>
      <w:r w:rsidRPr="00927D79">
        <w:rPr>
          <w:rStyle w:val="FootnoteReference"/>
          <w:szCs w:val="24"/>
        </w:rPr>
        <w:footnoteReference w:id="7"/>
      </w:r>
      <w:r w:rsidRPr="00927D79">
        <w:t xml:space="preserve"> ‘</w:t>
      </w:r>
      <w:r w:rsidRPr="00750939">
        <w:rPr>
          <w:bCs/>
          <w:lang w:bidi="en-US"/>
        </w:rPr>
        <w:t xml:space="preserve">there must be a proportionality between the effects of the measures which are responsible for limiting </w:t>
      </w:r>
      <w:r>
        <w:rPr>
          <w:bCs/>
          <w:lang w:bidi="en-US"/>
        </w:rPr>
        <w:t>[protected rights]</w:t>
      </w:r>
      <w:r w:rsidRPr="00750939">
        <w:rPr>
          <w:bCs/>
          <w:lang w:bidi="en-US"/>
        </w:rPr>
        <w:t xml:space="preserve">, and the objective which has been identified as of “sufficient importance”’ </w:t>
      </w:r>
      <w:r w:rsidRPr="007244FD">
        <w:rPr>
          <w:bCs/>
          <w:lang w:bidi="en-US"/>
        </w:rPr>
        <w:t xml:space="preserve">and this means that </w:t>
      </w:r>
      <w:r>
        <w:rPr>
          <w:bCs/>
          <w:lang w:bidi="en-US"/>
        </w:rPr>
        <w:t>any</w:t>
      </w:r>
      <w:r w:rsidRPr="007244FD">
        <w:rPr>
          <w:bCs/>
          <w:lang w:bidi="en-US"/>
        </w:rPr>
        <w:t xml:space="preserve"> measure </w:t>
      </w:r>
      <w:r w:rsidRPr="00927D79">
        <w:t>‘</w:t>
      </w:r>
      <w:r w:rsidRPr="00750939">
        <w:rPr>
          <w:bCs/>
          <w:lang w:bidi="en-US"/>
        </w:rPr>
        <w:t>should impair “as little as possible” the right or freedom in question.’</w:t>
      </w:r>
    </w:p>
    <w:p w14:paraId="69DF367F" w14:textId="77777777" w:rsidR="003812EC" w:rsidRPr="00A511E0" w:rsidRDefault="003812EC" w:rsidP="00AD687A">
      <w:r w:rsidRPr="00A511E0">
        <w:t xml:space="preserve">The limitations on human rights in the Bill are proportionate and justified in the circumstances because they are the least </w:t>
      </w:r>
      <w:r>
        <w:t>rights-</w:t>
      </w:r>
      <w:r w:rsidRPr="00A511E0">
        <w:t>restrictive means available to achieve the purpose of protecting children, victims of child sexual abuse, and witnesses in child sexual abuse cases</w:t>
      </w:r>
      <w:r>
        <w:t xml:space="preserve"> and improving access to justice for those victims</w:t>
      </w:r>
      <w:r w:rsidRPr="00A511E0">
        <w:t>.</w:t>
      </w:r>
    </w:p>
    <w:p w14:paraId="0CD7B4A5" w14:textId="2F8F3061" w:rsidR="00C6063F" w:rsidRPr="00AD687A" w:rsidRDefault="003812EC" w:rsidP="00AD687A">
      <w:pPr>
        <w:rPr>
          <w:bCs/>
        </w:rPr>
      </w:pPr>
      <w:r w:rsidRPr="00A511E0">
        <w:rPr>
          <w:bCs/>
        </w:rPr>
        <w:t xml:space="preserve">The amendments in the Bill engage and limit </w:t>
      </w:r>
      <w:r>
        <w:rPr>
          <w:bCs/>
        </w:rPr>
        <w:t>the right to privacy and reputation (s 12 HR Act); the right to freedom of thought, conscience, religion and belief (s 14 HR Act); the right to a fair trial (s 21 HR Act); the right not to be tried or punished more than once (s 24 HR Act)</w:t>
      </w:r>
      <w:r w:rsidR="00D50824">
        <w:rPr>
          <w:bCs/>
        </w:rPr>
        <w:t>.</w:t>
      </w:r>
      <w:r>
        <w:rPr>
          <w:bCs/>
        </w:rPr>
        <w:t xml:space="preserve"> T</w:t>
      </w:r>
      <w:r w:rsidRPr="00A511E0">
        <w:rPr>
          <w:bCs/>
        </w:rPr>
        <w:t>h</w:t>
      </w:r>
      <w:r>
        <w:rPr>
          <w:bCs/>
        </w:rPr>
        <w:t>ese</w:t>
      </w:r>
      <w:r w:rsidRPr="00A511E0">
        <w:rPr>
          <w:bCs/>
        </w:rPr>
        <w:t xml:space="preserve"> limitation</w:t>
      </w:r>
      <w:r>
        <w:rPr>
          <w:bCs/>
        </w:rPr>
        <w:t>s are</w:t>
      </w:r>
      <w:r w:rsidRPr="00A511E0">
        <w:rPr>
          <w:bCs/>
        </w:rPr>
        <w:t xml:space="preserve"> discussed in detail below.</w:t>
      </w:r>
      <w:r w:rsidR="00D50824">
        <w:rPr>
          <w:bCs/>
        </w:rPr>
        <w:t xml:space="preserve">  The absolute right regarding retrospective criminal laws</w:t>
      </w:r>
      <w:r w:rsidR="00D50824" w:rsidRPr="00A511E0">
        <w:rPr>
          <w:bCs/>
        </w:rPr>
        <w:t xml:space="preserve"> (s 2</w:t>
      </w:r>
      <w:r w:rsidR="00D50824">
        <w:rPr>
          <w:bCs/>
        </w:rPr>
        <w:t>5</w:t>
      </w:r>
      <w:r w:rsidR="00D50824" w:rsidRPr="00A511E0">
        <w:rPr>
          <w:bCs/>
        </w:rPr>
        <w:t xml:space="preserve"> HR Act)</w:t>
      </w:r>
      <w:r w:rsidR="00D50824">
        <w:rPr>
          <w:bCs/>
        </w:rPr>
        <w:t xml:space="preserve"> will also be discussed.</w:t>
      </w:r>
    </w:p>
    <w:p w14:paraId="097BCB4F" w14:textId="77777777" w:rsidR="003812EC" w:rsidRPr="00F24DE4" w:rsidRDefault="003812EC" w:rsidP="003812EC">
      <w:pPr>
        <w:pStyle w:val="Heading4"/>
      </w:pPr>
      <w:bookmarkStart w:id="23" w:name="_Toc1399150"/>
      <w:bookmarkStart w:id="24" w:name="_Toc525903861"/>
      <w:r w:rsidRPr="00F24DE4">
        <w:t>Section 12 HR Act – Right to privacy and reputation</w:t>
      </w:r>
    </w:p>
    <w:p w14:paraId="6D3357DC" w14:textId="77777777" w:rsidR="003812EC" w:rsidRDefault="003812EC" w:rsidP="003812EC">
      <w:r w:rsidRPr="00F24DE4">
        <w:t>The right to privacy and reputation is contained in section 12 of the Human Rights Act and states that everyone has the right not to have his or her privacy, family, home or correspondence interfered with unlawfully or arbitrarily. However, the nature of the right</w:t>
      </w:r>
      <w:r w:rsidRPr="00F24DE4">
        <w:rPr>
          <w:b/>
        </w:rPr>
        <w:t xml:space="preserve"> </w:t>
      </w:r>
      <w:r w:rsidRPr="00F24DE4">
        <w:t>is not absolute. The term ‘arbitrary interference’ is described as intending to guarantee that even interference provided by law should be in accordance with the provisions, aims and objectives of the ICCPR and should be reasonable in the particular circumstances.</w:t>
      </w:r>
      <w:r w:rsidRPr="00F24DE4">
        <w:rPr>
          <w:rStyle w:val="FootnoteReference"/>
        </w:rPr>
        <w:footnoteReference w:id="8"/>
      </w:r>
      <w:r w:rsidRPr="00F24DE4">
        <w:t xml:space="preserve"> Therefore, it is reasonable to suggest that a person’s right to privacy can be interfered with, provided the interference is both lawful (allowed for by the law) and not arbitrary (reasonable in the circumstances).</w:t>
      </w:r>
    </w:p>
    <w:p w14:paraId="65BE7BAB" w14:textId="77777777" w:rsidR="003812EC" w:rsidRDefault="003812EC" w:rsidP="003812EC">
      <w:r w:rsidRPr="00F24DE4">
        <w:t xml:space="preserve">The right </w:t>
      </w:r>
      <w:r>
        <w:t xml:space="preserve">to privacy </w:t>
      </w:r>
      <w:r w:rsidRPr="00F24DE4">
        <w:t xml:space="preserve">is engaged </w:t>
      </w:r>
      <w:r>
        <w:t xml:space="preserve">and limited </w:t>
      </w:r>
      <w:r w:rsidRPr="00F24DE4">
        <w:t>by the Bill as it exempts individuals, in certain circumstances, from the entitlement to refuse to divulge information regarding child sexual abuse or, in certain circumstances, physical abuse, even if those disclosures were made in the course of confidential communications. The nature</w:t>
      </w:r>
      <w:r w:rsidRPr="00F24DE4">
        <w:rPr>
          <w:b/>
        </w:rPr>
        <w:t xml:space="preserve"> </w:t>
      </w:r>
      <w:r w:rsidRPr="00F24DE4">
        <w:t xml:space="preserve">and extent of the limitation is to exempt a </w:t>
      </w:r>
      <w:r w:rsidRPr="00F24DE4">
        <w:lastRenderedPageBreak/>
        <w:t>person who has obtained information regarding the abuse from the entitlement to refuse to divulge that information in proceedings.</w:t>
      </w:r>
    </w:p>
    <w:p w14:paraId="579B4CED" w14:textId="77777777" w:rsidR="003812EC" w:rsidRPr="00750939" w:rsidRDefault="003812EC" w:rsidP="00D51B3D">
      <w:pPr>
        <w:keepNext/>
        <w:rPr>
          <w:i/>
          <w:iCs/>
        </w:rPr>
      </w:pPr>
      <w:r w:rsidRPr="00750939">
        <w:rPr>
          <w:i/>
          <w:iCs/>
        </w:rPr>
        <w:t>Legitimate objective</w:t>
      </w:r>
      <w:r>
        <w:rPr>
          <w:i/>
          <w:iCs/>
        </w:rPr>
        <w:t xml:space="preserve"> and rational connection</w:t>
      </w:r>
    </w:p>
    <w:p w14:paraId="7BE2F8F6" w14:textId="77777777" w:rsidR="003812EC" w:rsidRDefault="003812EC" w:rsidP="00AD687A">
      <w:r w:rsidRPr="00F24DE4">
        <w:t xml:space="preserve">The purpose of the limitation is to prevent the concealment of child abuse and improve access to justice for victims of child abuse. </w:t>
      </w:r>
      <w:r>
        <w:t>Requiring the disclosure of information regarding child sexual abuse (and related issues) will be effective to achieve this objective by providing a strong disincentive for anyone to collude in concealing such information from public officials.</w:t>
      </w:r>
    </w:p>
    <w:p w14:paraId="4D75DF8A" w14:textId="77777777" w:rsidR="003812EC" w:rsidRPr="00750939" w:rsidRDefault="003812EC" w:rsidP="003812EC">
      <w:pPr>
        <w:autoSpaceDE w:val="0"/>
        <w:autoSpaceDN w:val="0"/>
        <w:adjustRightInd w:val="0"/>
        <w:spacing w:before="240" w:after="120"/>
        <w:rPr>
          <w:i/>
          <w:iCs/>
        </w:rPr>
      </w:pPr>
      <w:r w:rsidRPr="00750939">
        <w:rPr>
          <w:i/>
          <w:iCs/>
        </w:rPr>
        <w:t>Proportionality</w:t>
      </w:r>
    </w:p>
    <w:p w14:paraId="0EB459FA" w14:textId="6FBFE3B3" w:rsidR="00AD687A" w:rsidRDefault="003812EC" w:rsidP="00AD687A">
      <w:r w:rsidRPr="00F24DE4">
        <w:t>Th</w:t>
      </w:r>
      <w:r>
        <w:t xml:space="preserve">is measure </w:t>
      </w:r>
      <w:r w:rsidRPr="00F24DE4">
        <w:t>is the least</w:t>
      </w:r>
      <w:r>
        <w:t xml:space="preserve"> rights-</w:t>
      </w:r>
      <w:r w:rsidRPr="00F24DE4">
        <w:t xml:space="preserve">restrictive means </w:t>
      </w:r>
      <w:r>
        <w:t>available</w:t>
      </w:r>
      <w:r w:rsidRPr="00F24DE4">
        <w:rPr>
          <w:b/>
        </w:rPr>
        <w:t xml:space="preserve"> </w:t>
      </w:r>
      <w:r>
        <w:t>of</w:t>
      </w:r>
      <w:r w:rsidRPr="00F24DE4">
        <w:t xml:space="preserve"> prevent</w:t>
      </w:r>
      <w:r>
        <w:t>ing</w:t>
      </w:r>
      <w:r w:rsidRPr="00F24DE4">
        <w:t xml:space="preserve"> the concealment of child abuse and improv</w:t>
      </w:r>
      <w:r>
        <w:t>ing</w:t>
      </w:r>
      <w:r w:rsidRPr="00F24DE4">
        <w:t xml:space="preserve"> access to justice for victims of child abuse</w:t>
      </w:r>
      <w:r>
        <w:t>. E</w:t>
      </w:r>
      <w:r w:rsidRPr="00F24DE4">
        <w:t xml:space="preserve">vidence shows that, unlike other categories of crime, child abuse is not often reported and stopped at the time of the abuse because child victims face such difficulties in disclosing or reporting abuse. Further, a failure to protect against abuse </w:t>
      </w:r>
      <w:r>
        <w:t>can</w:t>
      </w:r>
      <w:r w:rsidRPr="00F24DE4">
        <w:t xml:space="preserve"> result in the continued abuse of the victim and potentially other children.</w:t>
      </w:r>
      <w:r w:rsidRPr="00A511E0">
        <w:t xml:space="preserve"> </w:t>
      </w:r>
      <w:r w:rsidR="002B2E60">
        <w:t xml:space="preserve"> As discussed in further detail below, </w:t>
      </w:r>
      <w:r w:rsidR="002B2E60" w:rsidRPr="00374F40">
        <w:t>the Royal Commission found the confession was clearly a forum in which both the abused and abusers disclosed child sexual abuse, and that had that abuse been reported at the time, it could have prevented further abuse.</w:t>
      </w:r>
      <w:r w:rsidR="002B2E60" w:rsidRPr="00374F40">
        <w:rPr>
          <w:rStyle w:val="FootnoteReference"/>
        </w:rPr>
        <w:footnoteReference w:id="9"/>
      </w:r>
    </w:p>
    <w:p w14:paraId="3492CB8F" w14:textId="77777777" w:rsidR="00B10644" w:rsidRDefault="00B10644" w:rsidP="00B10644">
      <w:pPr>
        <w:pStyle w:val="Heading4"/>
      </w:pPr>
      <w:r w:rsidRPr="008B378B">
        <w:t>Section 14 HR Act – Freedom of thought, conscience, religion and belief</w:t>
      </w:r>
      <w:bookmarkEnd w:id="23"/>
    </w:p>
    <w:p w14:paraId="7E97FFAB" w14:textId="77777777" w:rsidR="00B10644" w:rsidRDefault="00B10644" w:rsidP="00B10644">
      <w:r>
        <w:t>Section 14 of the HR Act states that:</w:t>
      </w:r>
    </w:p>
    <w:p w14:paraId="28383158" w14:textId="77777777" w:rsidR="00B10644" w:rsidRDefault="00B10644" w:rsidP="00B10644">
      <w:pPr>
        <w:ind w:left="720"/>
        <w:rPr>
          <w:i/>
        </w:rPr>
      </w:pPr>
      <w:r w:rsidRPr="008E1B40">
        <w:rPr>
          <w:i/>
        </w:rPr>
        <w:t xml:space="preserve">(1) Everyone has the right to freedom of thought, conscience and religion. This right includes— </w:t>
      </w:r>
    </w:p>
    <w:p w14:paraId="0EC9B7F1" w14:textId="77777777" w:rsidR="00B10644" w:rsidRDefault="00B10644" w:rsidP="00B10644">
      <w:pPr>
        <w:ind w:left="720" w:firstLine="720"/>
        <w:rPr>
          <w:i/>
        </w:rPr>
      </w:pPr>
      <w:r w:rsidRPr="008E1B40">
        <w:rPr>
          <w:i/>
        </w:rPr>
        <w:t xml:space="preserve">(a) the freedom to have or to adopt a religion or belief of his or her choice; and </w:t>
      </w:r>
    </w:p>
    <w:p w14:paraId="6BA24A27" w14:textId="77777777" w:rsidR="00B10644" w:rsidRDefault="00B10644" w:rsidP="00B10644">
      <w:pPr>
        <w:ind w:left="1440"/>
        <w:rPr>
          <w:i/>
        </w:rPr>
      </w:pPr>
      <w:r w:rsidRPr="008E1B40">
        <w:rPr>
          <w:i/>
        </w:rPr>
        <w:t xml:space="preserve">(b) the freedom to demonstrate his or her religion or belief in worship, observance, practice and teaching, either individually or as part of a community and whether in public or private. </w:t>
      </w:r>
    </w:p>
    <w:p w14:paraId="4C039D73" w14:textId="77777777" w:rsidR="00B10644" w:rsidRPr="008E1B40" w:rsidRDefault="00B10644" w:rsidP="00B10644">
      <w:pPr>
        <w:ind w:left="720"/>
        <w:rPr>
          <w:i/>
        </w:rPr>
      </w:pPr>
      <w:r w:rsidRPr="008E1B40">
        <w:rPr>
          <w:i/>
        </w:rPr>
        <w:t>(2) No-one may be coerced in a way that would limit his or her freedom to have or adopt a religion or belief in worship, observance, practice or teaching.</w:t>
      </w:r>
    </w:p>
    <w:p w14:paraId="41BC122E" w14:textId="77777777" w:rsidR="00B10644" w:rsidRPr="00B51056" w:rsidRDefault="00B10644" w:rsidP="00B51056">
      <w:pPr>
        <w:rPr>
          <w:b/>
          <w:bCs/>
          <w:i/>
        </w:rPr>
      </w:pPr>
      <w:bookmarkStart w:id="25" w:name="_Toc1399151"/>
      <w:r w:rsidRPr="00B51056">
        <w:rPr>
          <w:b/>
          <w:bCs/>
        </w:rPr>
        <w:t>The nature of the right affected (s 28 (2) (a))</w:t>
      </w:r>
      <w:bookmarkEnd w:id="25"/>
    </w:p>
    <w:p w14:paraId="67123A89" w14:textId="77777777" w:rsidR="00B10644" w:rsidRDefault="00B10644" w:rsidP="00B10644">
      <w:r>
        <w:t xml:space="preserve">The right to freedom of thought, conscience, religion and belief in section 14 of the HR Act is drawn from Article 18 of the International Covenant on Civil and Political Rights (ICCPR). The UN Human Rights Committee has confirmed that the right to freedom of thought, conscience and religion “is far reaching and profound; it encompasses freedom of thoughts on </w:t>
      </w:r>
      <w:r>
        <w:lastRenderedPageBreak/>
        <w:t>all matters, personal conviction and the commitment to religious or belief, whether manifested individually or in community with others.”</w:t>
      </w:r>
      <w:r>
        <w:rPr>
          <w:rStyle w:val="FootnoteReference"/>
        </w:rPr>
        <w:footnoteReference w:id="10"/>
      </w:r>
    </w:p>
    <w:p w14:paraId="415C9314" w14:textId="6F4A38FF" w:rsidR="00B10644" w:rsidRDefault="00B10644" w:rsidP="00B10644">
      <w:r>
        <w:t>The right to have or adopt a religion or belief is a matter of individual thought and conscience, considered to be absolute and unqualified in international law, and no limitation of this aspect of the right would be considered reasonable. However, the right to ‘manifest’ or ‘demonstrate’ religion or belief, which would include the sacrament of confession, may impact on others and may thus be subject to reasonable limitation.</w:t>
      </w:r>
      <w:r>
        <w:rPr>
          <w:rStyle w:val="FootnoteReference"/>
        </w:rPr>
        <w:footnoteReference w:id="11"/>
      </w:r>
      <w:r>
        <w:t xml:space="preserve"> </w:t>
      </w:r>
    </w:p>
    <w:p w14:paraId="17834308" w14:textId="77777777" w:rsidR="00B10644" w:rsidRDefault="00B10644" w:rsidP="00B10644">
      <w:pPr>
        <w:rPr>
          <w:b/>
        </w:rPr>
      </w:pPr>
      <w:r>
        <w:rPr>
          <w:b/>
        </w:rPr>
        <w:t>The importance of the purpose of the limitation (s 28 (2) (b))</w:t>
      </w:r>
    </w:p>
    <w:p w14:paraId="21AF3870" w14:textId="3CAFEE3A" w:rsidR="00B10644" w:rsidRDefault="00B10644" w:rsidP="00B10644">
      <w:r>
        <w:t xml:space="preserve">Clauses </w:t>
      </w:r>
      <w:r w:rsidR="00F52210">
        <w:t>14 and 15</w:t>
      </w:r>
      <w:r>
        <w:t xml:space="preserve"> explicitly </w:t>
      </w:r>
      <w:r w:rsidR="00580DB9">
        <w:t xml:space="preserve">exempt </w:t>
      </w:r>
      <w:r>
        <w:t xml:space="preserve">information relating to child sexual abuse </w:t>
      </w:r>
      <w:r w:rsidR="00580DB9">
        <w:t xml:space="preserve">or non-accidental physical injury </w:t>
      </w:r>
      <w:r>
        <w:t>disclosed within the context of a religious confession</w:t>
      </w:r>
      <w:r w:rsidR="00580DB9">
        <w:t xml:space="preserve"> from being subject to the entitlement to refuse to divulge that information in section 127 of the </w:t>
      </w:r>
      <w:r w:rsidR="00580DB9">
        <w:rPr>
          <w:i/>
          <w:iCs/>
        </w:rPr>
        <w:t>Evidence Act 2011</w:t>
      </w:r>
      <w:r>
        <w:t xml:space="preserve">. </w:t>
      </w:r>
      <w:r w:rsidRPr="008E1B40">
        <w:t>The purpose of this limitation is to protect the safety of children. This purpose supports the right to protection from torture and cruel, inhuman or degrading treatment (s 10 HR Act), the right to protection of family and children (s 11 HR Act), and the right to liberty and security of person (s 12 HR Act). This purpose is especially important taking into consideration the vulnerability of children and their reduced capacity to protect themselves from the harms of sexual and physical</w:t>
      </w:r>
      <w:r>
        <w:t xml:space="preserve"> abuse. </w:t>
      </w:r>
      <w:r w:rsidR="00580DB9">
        <w:t xml:space="preserve"> It also </w:t>
      </w:r>
      <w:r w:rsidR="003812EC">
        <w:t>improves</w:t>
      </w:r>
      <w:r w:rsidR="00580DB9">
        <w:t xml:space="preserve"> access to justice for victims, ensuring that information that is required to be reported under the reporting laws introduced in 2019</w:t>
      </w:r>
      <w:r w:rsidR="00580DB9">
        <w:rPr>
          <w:rStyle w:val="FootnoteReference"/>
        </w:rPr>
        <w:footnoteReference w:id="12"/>
      </w:r>
      <w:r w:rsidR="00580DB9">
        <w:t xml:space="preserve"> is not then subject to an entitlement to refuse to divulge during criminal proceedings</w:t>
      </w:r>
      <w:r w:rsidR="007B6ED9">
        <w:t>, which would impact the ability to prosecute</w:t>
      </w:r>
      <w:r w:rsidR="00580DB9">
        <w:t>.</w:t>
      </w:r>
      <w:r w:rsidR="007B6ED9">
        <w:t xml:space="preserve"> </w:t>
      </w:r>
    </w:p>
    <w:p w14:paraId="5A14F2CF" w14:textId="77777777" w:rsidR="00B10644" w:rsidRDefault="00B10644" w:rsidP="00B10644">
      <w:pPr>
        <w:rPr>
          <w:b/>
        </w:rPr>
      </w:pPr>
      <w:r>
        <w:rPr>
          <w:b/>
        </w:rPr>
        <w:t xml:space="preserve">The nature and extent of the limitation (s 28 (2) (c)) </w:t>
      </w:r>
    </w:p>
    <w:p w14:paraId="70B3CC08" w14:textId="77777777" w:rsidR="00B10644" w:rsidRDefault="00B10644" w:rsidP="00B10644">
      <w:r>
        <w:t xml:space="preserve">The right to freedom of religion is limited by the requirement to report information about child sexual abuse that is disclosed in a religious confession. In some faiths, most notably Roman Catholicism and Orthodox Christianity, disclosures in religious confessions are protected by a requirement of strict and unconditional confidence. Failure to observe that confidence may result in excommunication from the faith community. </w:t>
      </w:r>
    </w:p>
    <w:p w14:paraId="3CA75122" w14:textId="77777777" w:rsidR="00B10644" w:rsidRDefault="00B10644" w:rsidP="00B10644">
      <w:pPr>
        <w:rPr>
          <w:b/>
        </w:rPr>
      </w:pPr>
      <w:r>
        <w:rPr>
          <w:b/>
        </w:rPr>
        <w:t>Relationship between the limitation and its purpose (s 28 (2) (d))</w:t>
      </w:r>
    </w:p>
    <w:p w14:paraId="79E05380" w14:textId="77777777" w:rsidR="00B10644" w:rsidRDefault="00B10644" w:rsidP="00B10644">
      <w:r>
        <w:t xml:space="preserve">The Royal Commission considered, in great detail, whether disclosures about child sexual abuse made in religious confessions should be reported to authorities. The Royal Commission heard evidence that both survivors and perpetrators had made disclosures to priests in religious </w:t>
      </w:r>
      <w:r>
        <w:lastRenderedPageBreak/>
        <w:t>confessions and that these disclosures were not reported by the member of clergy hearing the confession.</w:t>
      </w:r>
      <w:r>
        <w:rPr>
          <w:rStyle w:val="FootnoteReference"/>
        </w:rPr>
        <w:footnoteReference w:id="13"/>
      </w:r>
    </w:p>
    <w:p w14:paraId="2DF040A6" w14:textId="6DD25F43" w:rsidR="00B10644" w:rsidRDefault="00B10644" w:rsidP="00B10644">
      <w:r>
        <w:t>In a study conducted in Ireland on child sexual abuse in the Catholic Church, eight out of nine perpetrators of child sexual abuse had disclosed their acts of abuse in religious confessions. The study found that the very process of confession itself might have enabled the abuse to continue as the perpetrators used the confession to resolve issues of guilt. The confession ‘externalised’ the issue of their abusing and contained the problem within the walls of the confession.</w:t>
      </w:r>
      <w:r>
        <w:rPr>
          <w:rStyle w:val="FootnoteReference"/>
        </w:rPr>
        <w:footnoteReference w:id="14"/>
      </w:r>
      <w:r>
        <w:t xml:space="preserve"> </w:t>
      </w:r>
    </w:p>
    <w:p w14:paraId="74ECF08D" w14:textId="4E3CFBCA" w:rsidR="00B10644" w:rsidRDefault="00B10644" w:rsidP="00B10644">
      <w:r>
        <w:t xml:space="preserve">Dr Geraldine Robinson—a psychologist </w:t>
      </w:r>
      <w:r w:rsidR="00D51B3D">
        <w:t>who</w:t>
      </w:r>
      <w:r>
        <w:t xml:space="preserve"> has treated 60 to 70 Catholic clergy child sex offenders—gave evidence before the Royal Commission that a significant proportion of the offenders she treated had disclosed their offending in religious confessions. Dr Robinson described a pattern whereby some clergy offenders would “offend against a child victim, go to confession and feel absolved, and do the exact same thing again.”</w:t>
      </w:r>
      <w:r>
        <w:rPr>
          <w:rStyle w:val="FootnoteReference"/>
        </w:rPr>
        <w:footnoteReference w:id="15"/>
      </w:r>
    </w:p>
    <w:p w14:paraId="40D53FAB" w14:textId="77777777" w:rsidR="00B10644" w:rsidRPr="00374F40" w:rsidRDefault="00B10644" w:rsidP="00B10644">
      <w:r w:rsidRPr="00374F40">
        <w:t xml:space="preserve">The Royal Commission noted that the proactive reporting of </w:t>
      </w:r>
      <w:r>
        <w:t xml:space="preserve">child sexual </w:t>
      </w:r>
      <w:r w:rsidRPr="00374F40">
        <w:t>abuse</w:t>
      </w:r>
      <w:r>
        <w:t>, including abuse that is disclosed in confessions,</w:t>
      </w:r>
      <w:r w:rsidRPr="00374F40">
        <w:t xml:space="preserve"> is important for the following reasons:</w:t>
      </w:r>
      <w:r w:rsidRPr="00374F40">
        <w:rPr>
          <w:rStyle w:val="FootnoteReference"/>
        </w:rPr>
        <w:t xml:space="preserve"> </w:t>
      </w:r>
      <w:r w:rsidRPr="00374F40">
        <w:rPr>
          <w:rStyle w:val="FootnoteReference"/>
        </w:rPr>
        <w:footnoteReference w:id="16"/>
      </w:r>
    </w:p>
    <w:p w14:paraId="4FF85312" w14:textId="1494484E" w:rsidR="00B10644" w:rsidRPr="00374F40" w:rsidRDefault="00B10644" w:rsidP="00B10644">
      <w:pPr>
        <w:pStyle w:val="ListParagraph"/>
        <w:numPr>
          <w:ilvl w:val="0"/>
          <w:numId w:val="29"/>
        </w:numPr>
      </w:pPr>
      <w:r w:rsidRPr="00374F40">
        <w:t>It is difficult for victims to disclose or report the abuse at the time, or even soon after it has occurred. If persons other than the victim do no</w:t>
      </w:r>
      <w:r w:rsidR="00D51B3D">
        <w:t>t</w:t>
      </w:r>
      <w:r w:rsidRPr="00374F40">
        <w:t xml:space="preserve"> report, the abuse—and the perpetra</w:t>
      </w:r>
      <w:r>
        <w:t>tor—may go undetected for years;</w:t>
      </w:r>
    </w:p>
    <w:p w14:paraId="0497AC1D" w14:textId="77777777" w:rsidR="00B10644" w:rsidRPr="00374F40" w:rsidRDefault="00B10644" w:rsidP="00B10644">
      <w:pPr>
        <w:pStyle w:val="ListParagraph"/>
        <w:numPr>
          <w:ilvl w:val="0"/>
          <w:numId w:val="29"/>
        </w:numPr>
      </w:pPr>
      <w:r w:rsidRPr="00374F40">
        <w:t>Children are likely to have less ability to report the abuse to police or other authorities, or to take effective steps to protect themselves, leaving them particularly in need of the active assi</w:t>
      </w:r>
      <w:r>
        <w:t>stance and protection of adults;</w:t>
      </w:r>
    </w:p>
    <w:p w14:paraId="49B28E74" w14:textId="17A69C99" w:rsidR="00B10644" w:rsidRPr="00374F40" w:rsidRDefault="00B10644" w:rsidP="00B10644">
      <w:pPr>
        <w:pStyle w:val="ListParagraph"/>
        <w:numPr>
          <w:ilvl w:val="0"/>
          <w:numId w:val="29"/>
        </w:numPr>
      </w:pPr>
      <w:r w:rsidRPr="00374F40">
        <w:t>Those who commit child sexual abuse offences may have multiple victims and may offend against particular victims over lengthy periods of time. A failure to report may leave the particular child exposed to repeated abuse and may expose other children to abuse.</w:t>
      </w:r>
    </w:p>
    <w:p w14:paraId="620FE1A3" w14:textId="77777777" w:rsidR="00B10644" w:rsidRDefault="00B10644" w:rsidP="00B10644">
      <w:r w:rsidRPr="00374F40">
        <w:t>In summary, the Royal Commission found the confession was clearly a forum in which both the abused and abusers disclosed child sexual abuse, and that had that abuse been reported at the time, it could have prevented further abuse.</w:t>
      </w:r>
      <w:r w:rsidRPr="00374F40">
        <w:rPr>
          <w:rStyle w:val="FootnoteReference"/>
        </w:rPr>
        <w:footnoteReference w:id="17"/>
      </w:r>
      <w:r>
        <w:t xml:space="preserve"> </w:t>
      </w:r>
    </w:p>
    <w:p w14:paraId="3AEA8DBD" w14:textId="3A9D8AB2" w:rsidR="00B10644" w:rsidRPr="00561BC4" w:rsidRDefault="00580DB9" w:rsidP="00B10644">
      <w:r>
        <w:t xml:space="preserve">Amendments were made to </w:t>
      </w:r>
      <w:r w:rsidR="00B10644" w:rsidRPr="00561BC4">
        <w:t xml:space="preserve">the </w:t>
      </w:r>
      <w:r>
        <w:rPr>
          <w:i/>
          <w:iCs/>
        </w:rPr>
        <w:t xml:space="preserve">Crimes Act 1900, </w:t>
      </w:r>
      <w:r>
        <w:t xml:space="preserve">the </w:t>
      </w:r>
      <w:r w:rsidR="00B10644" w:rsidRPr="00136F0B">
        <w:rPr>
          <w:i/>
        </w:rPr>
        <w:t>Children and Young People Act 2008</w:t>
      </w:r>
      <w:r w:rsidR="00B10644" w:rsidRPr="00561BC4">
        <w:t xml:space="preserve"> and the </w:t>
      </w:r>
      <w:r w:rsidR="00B10644" w:rsidRPr="00136F0B">
        <w:rPr>
          <w:i/>
        </w:rPr>
        <w:t xml:space="preserve">Ombudsman Act 1989 </w:t>
      </w:r>
      <w:r>
        <w:rPr>
          <w:iCs/>
        </w:rPr>
        <w:t xml:space="preserve">in the </w:t>
      </w:r>
      <w:r>
        <w:rPr>
          <w:i/>
        </w:rPr>
        <w:t xml:space="preserve">Royal Commission Criminal Justice Legislation Amendment Act 2019, </w:t>
      </w:r>
      <w:r w:rsidR="00B10644" w:rsidRPr="00561BC4">
        <w:t>requir</w:t>
      </w:r>
      <w:r>
        <w:t>ing</w:t>
      </w:r>
      <w:r w:rsidR="00B10644" w:rsidRPr="00561BC4">
        <w:t xml:space="preserve"> the reporting of </w:t>
      </w:r>
      <w:r w:rsidR="008E7210">
        <w:t xml:space="preserve">child sexual abuse and </w:t>
      </w:r>
      <w:r w:rsidR="00B10644" w:rsidRPr="00561BC4">
        <w:t xml:space="preserve">non-accidental physical injury </w:t>
      </w:r>
      <w:r w:rsidR="00B10644" w:rsidRPr="00561BC4">
        <w:lastRenderedPageBreak/>
        <w:t xml:space="preserve">disclosed in the context of religious confessions. </w:t>
      </w:r>
      <w:r w:rsidR="008E7210">
        <w:t xml:space="preserve"> The amendments in this Bill to the religious confession entitlement in s 127 of the </w:t>
      </w:r>
      <w:r w:rsidR="008E7210">
        <w:rPr>
          <w:i/>
          <w:iCs/>
        </w:rPr>
        <w:t xml:space="preserve">Evidence Act 2011 </w:t>
      </w:r>
      <w:r w:rsidR="008E7210">
        <w:t xml:space="preserve">align with those 2019 amendments, facilitating the ability to conduct proceedings in relation to child abuse where information has been received under the seal of the confession.  </w:t>
      </w:r>
      <w:r w:rsidR="00B10644">
        <w:t>Fundamentally, the amendments affecting the confessional seal all serve the purpose of deterring child abuse and ensuring that children are protected from both physical and sexual abuse.</w:t>
      </w:r>
    </w:p>
    <w:p w14:paraId="534C4DD2" w14:textId="77777777" w:rsidR="00B10644" w:rsidRDefault="00B10644" w:rsidP="00D51B3D">
      <w:pPr>
        <w:keepNext/>
      </w:pPr>
      <w:r>
        <w:rPr>
          <w:b/>
        </w:rPr>
        <w:t>Any less restrictive means to achieve the purpose</w:t>
      </w:r>
      <w:r>
        <w:t xml:space="preserve"> </w:t>
      </w:r>
    </w:p>
    <w:p w14:paraId="31525A0A" w14:textId="77777777" w:rsidR="00B10644" w:rsidRDefault="00B10644" w:rsidP="00D51B3D">
      <w:pPr>
        <w:keepNext/>
      </w:pPr>
      <w:r>
        <w:t>Many arguments were put before the Royal Commission claiming that continuing to protect disclosures made in confessions would be a more effective, and certainly a less restrictive, means to protect child safety. The most notable argument was that in removing any protection for religious confessions, perpetrators would be deterred from confessing to child sexual abuse, and those who would otherwise have had an opportunity to intervene would no longer be able to intervene. However, the Royal Commission found that any mechanism that relies on guidance or encouragement to self-report was insufficient to protect children from the risk of harm.</w:t>
      </w:r>
    </w:p>
    <w:p w14:paraId="3F5508ED" w14:textId="77777777" w:rsidR="00B10644" w:rsidRDefault="00B10644" w:rsidP="00B10644">
      <w:r>
        <w:t xml:space="preserve">The same argument was put before The Hon. Justice Julie Dodds-Streeton who was commissioned by the ACT Government to consult with key stakeholders and provide advice on how best to implement the Royal Commission recommendations regarding child sexual abuse which have implications for the confessional seal. </w:t>
      </w:r>
    </w:p>
    <w:p w14:paraId="3C443707" w14:textId="77777777" w:rsidR="00B10644" w:rsidRDefault="00B10644" w:rsidP="00B10644">
      <w:r>
        <w:t>The less restrictive option involves reliance on members of the clergy to voluntarily take proactive steps to either report the information disclosed in the confession, or to procure further disclosures outside the confession so that reports can be made without violating the confessional seal. The only stakeholders that have advocated for this option have been members of the Catholic clergy. Clergy representatives of other denominations have not opposed the approach to the confessional seal in the Bill as they do not face the same conflict due to the absence of a strict confessional seal in their denomination.</w:t>
      </w:r>
    </w:p>
    <w:p w14:paraId="1FFFD399" w14:textId="77777777" w:rsidR="00B10644" w:rsidRDefault="00B10644" w:rsidP="00B10644">
      <w:r>
        <w:t>The Catholic clergy representatives seeking one of these less restrictive means, simultaneously put forward two contradictory positions which can be summarised thus:</w:t>
      </w:r>
    </w:p>
    <w:p w14:paraId="34655612" w14:textId="77777777" w:rsidR="00B10644" w:rsidRDefault="00B10644" w:rsidP="00B10644">
      <w:pPr>
        <w:ind w:left="720"/>
      </w:pPr>
      <w:r>
        <w:t xml:space="preserve">(1) Reliance on voluntary reporting would be a less restrictive and more human rights compliant way to achieve the purpose of the recommendation; </w:t>
      </w:r>
    </w:p>
    <w:p w14:paraId="2EA3C0F0" w14:textId="77777777" w:rsidR="00B10644" w:rsidRDefault="00B10644" w:rsidP="00B10644">
      <w:pPr>
        <w:ind w:left="720"/>
      </w:pPr>
      <w:r>
        <w:t xml:space="preserve">(2) It is impermissible to repeat what has been disclosed in a confession, and many clergy would refuse to disclose even if a law was enacted to force them to do so. </w:t>
      </w:r>
    </w:p>
    <w:p w14:paraId="5B2D8D34" w14:textId="53630559" w:rsidR="00B10644" w:rsidRDefault="00B10644" w:rsidP="00B10644">
      <w:r>
        <w:t xml:space="preserve">It is contradictory to accept a proposition from representatives of the clergy that the law should trust them to voluntarily make efforts to report the information, when the same representatives also </w:t>
      </w:r>
      <w:r w:rsidR="00D51B3D">
        <w:t>acknowledge</w:t>
      </w:r>
      <w:r>
        <w:t xml:space="preserve"> that Catholic priests would be unlikely to report information disclosed in a confession either voluntarily, or in the face of a law requiring them to do so. The </w:t>
      </w:r>
      <w:r>
        <w:lastRenderedPageBreak/>
        <w:t>inappropriateness of relying on voluntary reports is further exacerbated by the findings of the Royal Commission that these institutions had failed to proactively protect children in their care.</w:t>
      </w:r>
    </w:p>
    <w:p w14:paraId="7D8EF1CF" w14:textId="77777777" w:rsidR="00B10644" w:rsidRDefault="00B10644" w:rsidP="00B10644">
      <w:r>
        <w:t>Moreover, the approach recommended by the Royal Commission—that is to encroach on the confessional seal—is supported by extensive and sound research. In contrast, the alternative less restrictive means of relying on voluntary reporting, is not based on a comparable body of research and has not been empirically tested. To the contrary, reliance on voluntary reporting of disclosures made in confessions is the approach that has been taken by the law to date. The Royal Commission clearly showed the serious failings of that approach. Those failings have been described above.</w:t>
      </w:r>
    </w:p>
    <w:p w14:paraId="6FDF7DF2" w14:textId="0F86C7ED" w:rsidR="00B10644" w:rsidRDefault="00B10644" w:rsidP="00B10644">
      <w:r>
        <w:t>Requiring by law that the confessional seal be broken will still have its shortfalls. For example, clergy members may choose to violate the law. In addition, Justice Dodds-Streeton’s report highlights the barriers to investigating, charging and prosecuting the offence</w:t>
      </w:r>
      <w:r w:rsidR="00D203FD">
        <w:t xml:space="preserve">, and considered s 127 of the </w:t>
      </w:r>
      <w:r w:rsidR="00D203FD">
        <w:rPr>
          <w:i/>
          <w:iCs/>
        </w:rPr>
        <w:t xml:space="preserve">Evidence Act 2011 </w:t>
      </w:r>
      <w:r w:rsidR="00D203FD">
        <w:t>in detail</w:t>
      </w:r>
      <w:r>
        <w:t>. However, as Justice Dodds-Streeton explains, at the very least this approach will:</w:t>
      </w:r>
      <w:r>
        <w:rPr>
          <w:rStyle w:val="FootnoteReference"/>
        </w:rPr>
        <w:footnoteReference w:id="18"/>
      </w:r>
    </w:p>
    <w:p w14:paraId="6BEF8E8B" w14:textId="77777777" w:rsidR="00B10644" w:rsidRDefault="00B10644" w:rsidP="00B10644">
      <w:pPr>
        <w:pStyle w:val="ListParagraph"/>
        <w:numPr>
          <w:ilvl w:val="0"/>
          <w:numId w:val="30"/>
        </w:numPr>
      </w:pPr>
      <w:r>
        <w:t>increase the likelihood that disclosures made by victims in confessions will be disclosed to authorities;</w:t>
      </w:r>
    </w:p>
    <w:p w14:paraId="603C5E69" w14:textId="77777777" w:rsidR="00B10644" w:rsidRDefault="00B10644" w:rsidP="00B10644">
      <w:pPr>
        <w:pStyle w:val="ListParagraph"/>
        <w:numPr>
          <w:ilvl w:val="0"/>
          <w:numId w:val="30"/>
        </w:numPr>
      </w:pPr>
      <w:r>
        <w:t xml:space="preserve">increase the likelihood that at least some priests will comply with their statutory obligation to report; </w:t>
      </w:r>
    </w:p>
    <w:p w14:paraId="06FEBBFD" w14:textId="77777777" w:rsidR="00B10644" w:rsidRDefault="00B10644" w:rsidP="00B10644">
      <w:pPr>
        <w:pStyle w:val="ListParagraph"/>
        <w:numPr>
          <w:ilvl w:val="0"/>
          <w:numId w:val="30"/>
        </w:numPr>
      </w:pPr>
      <w:r>
        <w:t>decrease the likelihood that people will engage in repeat child sexual abuse due to the comfort of absolution under the confessional rite;</w:t>
      </w:r>
    </w:p>
    <w:p w14:paraId="757E8437" w14:textId="1504112E" w:rsidR="00B10644" w:rsidRDefault="00B10644" w:rsidP="00B10644">
      <w:pPr>
        <w:pStyle w:val="ListParagraph"/>
        <w:numPr>
          <w:ilvl w:val="0"/>
          <w:numId w:val="30"/>
        </w:numPr>
      </w:pPr>
      <w:r>
        <w:t>have deterrent and educative effects and contribute to cultural change</w:t>
      </w:r>
      <w:r w:rsidR="00D51B3D">
        <w:t>.</w:t>
      </w:r>
    </w:p>
    <w:p w14:paraId="11A331BD" w14:textId="5DCC35EB" w:rsidR="00B10644" w:rsidRDefault="00B10644" w:rsidP="00B10644">
      <w:r>
        <w:t xml:space="preserve">While many cases may continue to </w:t>
      </w:r>
      <w:r w:rsidR="00452685">
        <w:t>g</w:t>
      </w:r>
      <w:r>
        <w:t>o undetected under these new laws, the new laws may result in the detection of at least some cases. Even if only one case of child sexual abuse is detected or prevented, the amendments would be proportionate.</w:t>
      </w:r>
      <w:r>
        <w:rPr>
          <w:rStyle w:val="FootnoteReference"/>
        </w:rPr>
        <w:footnoteReference w:id="19"/>
      </w:r>
    </w:p>
    <w:p w14:paraId="2598F6EA" w14:textId="63CF3BD4" w:rsidR="008E7210" w:rsidRDefault="00B10644" w:rsidP="008E7210">
      <w:r>
        <w:t>In the absence of being able to rely on clergy to volunteer the information, there is no less restrictive means than imposing a legal obligation to disclose relevant information to authorities</w:t>
      </w:r>
      <w:r w:rsidR="008E7210">
        <w:t xml:space="preserve"> and to give that information during proceedings if required</w:t>
      </w:r>
      <w:r>
        <w:t xml:space="preserve">. </w:t>
      </w:r>
    </w:p>
    <w:p w14:paraId="20371C8B" w14:textId="4662D844" w:rsidR="007B6ED9" w:rsidRDefault="007B6ED9" w:rsidP="008E7210">
      <w:r>
        <w:t>Notwithstanding this, the amendments still seek to minimise the extent of the limitation on the human rights of members of the clergy to the greatest extent possible, by confining the scope of the amendments to information relating to child sexual abuse and non-accidental physical injury of a child.</w:t>
      </w:r>
    </w:p>
    <w:p w14:paraId="67601812" w14:textId="2E84826E" w:rsidR="00B10644" w:rsidRPr="00A511E0" w:rsidRDefault="00B10644" w:rsidP="00B10644">
      <w:r>
        <w:lastRenderedPageBreak/>
        <w:t>The approach to the confessional seal taken by this Bill reduces the impact on the right to freedom of religion to the greatest extent possible, while still achieving its purpose of deterring child abuse</w:t>
      </w:r>
      <w:r w:rsidR="007B6ED9">
        <w:t xml:space="preserve">, </w:t>
      </w:r>
      <w:r>
        <w:t>ensuring children are protected from abuse</w:t>
      </w:r>
      <w:r w:rsidR="007B6ED9">
        <w:t xml:space="preserve"> and improving access to justice for victims of child sexual abuse</w:t>
      </w:r>
      <w:r>
        <w:t>.</w:t>
      </w:r>
      <w:bookmarkEnd w:id="24"/>
    </w:p>
    <w:p w14:paraId="6C8866FE" w14:textId="77777777" w:rsidR="00B10644" w:rsidRPr="00A511E0" w:rsidRDefault="00B10644" w:rsidP="00B10644">
      <w:pPr>
        <w:pStyle w:val="Heading4"/>
      </w:pPr>
      <w:bookmarkStart w:id="26" w:name="_Toc525903863"/>
      <w:bookmarkStart w:id="27" w:name="_Toc1399155"/>
      <w:r w:rsidRPr="00A511E0">
        <w:t>Section 21 HR Act – Right to a fair trial</w:t>
      </w:r>
      <w:bookmarkEnd w:id="26"/>
      <w:bookmarkEnd w:id="27"/>
    </w:p>
    <w:p w14:paraId="156966DC" w14:textId="77777777" w:rsidR="00571C2E" w:rsidRDefault="00B10644" w:rsidP="00B10644">
      <w:pPr>
        <w:rPr>
          <w:bCs/>
          <w:szCs w:val="24"/>
        </w:rPr>
      </w:pPr>
      <w:r w:rsidRPr="00A511E0">
        <w:rPr>
          <w:bCs/>
          <w:szCs w:val="24"/>
        </w:rPr>
        <w:t>The right to a fair trial includes all proceedings in a court or tribunal and all stages of proceedings. It is concerned with procedural fairness, that is, the right of all parties in proceedings to be heard and respond to any allegations, and the requirement that the court be unbiased and independent. The nature of the right</w:t>
      </w:r>
      <w:r w:rsidRPr="00A511E0">
        <w:rPr>
          <w:b/>
          <w:bCs/>
          <w:szCs w:val="24"/>
        </w:rPr>
        <w:t xml:space="preserve"> </w:t>
      </w:r>
      <w:r w:rsidRPr="00A511E0">
        <w:rPr>
          <w:bCs/>
          <w:szCs w:val="24"/>
        </w:rPr>
        <w:t>may be absolute in itself, in that it can never be justified to hold an unfair trial, but many of the principles that characterise a fair trial are not absolute</w:t>
      </w:r>
      <w:r w:rsidRPr="00A511E0">
        <w:rPr>
          <w:rStyle w:val="FootnoteReference"/>
          <w:bCs/>
          <w:szCs w:val="24"/>
        </w:rPr>
        <w:footnoteReference w:id="20"/>
      </w:r>
      <w:r w:rsidRPr="00A511E0">
        <w:rPr>
          <w:bCs/>
          <w:szCs w:val="24"/>
        </w:rPr>
        <w:t xml:space="preserve">. </w:t>
      </w:r>
    </w:p>
    <w:p w14:paraId="7EE1B02B" w14:textId="02512EB8" w:rsidR="00571C2E" w:rsidRDefault="00571C2E" w:rsidP="00B10644">
      <w:pPr>
        <w:rPr>
          <w:bCs/>
          <w:szCs w:val="24"/>
        </w:rPr>
      </w:pPr>
      <w:r w:rsidRPr="00571C2E">
        <w:rPr>
          <w:bCs/>
          <w:szCs w:val="24"/>
        </w:rPr>
        <w:t>One principle underpinning the right to a fair trial is the principle of equality under the law. This requires that parties to a proceeding must have a reasonable opportunity of presenting their case under conditions that do not disadvantage them as against other parties to proceedings.</w:t>
      </w:r>
    </w:p>
    <w:p w14:paraId="7F79E756" w14:textId="251AC016" w:rsidR="002B2E60" w:rsidRDefault="002B2E60" w:rsidP="00B10644">
      <w:pPr>
        <w:rPr>
          <w:bCs/>
          <w:szCs w:val="24"/>
        </w:rPr>
      </w:pPr>
      <w:bookmarkStart w:id="28" w:name="_Hlk38954835"/>
      <w:r>
        <w:rPr>
          <w:bCs/>
          <w:szCs w:val="24"/>
        </w:rPr>
        <w:t xml:space="preserve">The amendments </w:t>
      </w:r>
      <w:r w:rsidR="006B4C81">
        <w:rPr>
          <w:bCs/>
          <w:szCs w:val="24"/>
        </w:rPr>
        <w:t xml:space="preserve">in this Bill </w:t>
      </w:r>
      <w:r>
        <w:rPr>
          <w:bCs/>
          <w:szCs w:val="24"/>
        </w:rPr>
        <w:t xml:space="preserve">to the tendency and coincidence evidence provisions in the </w:t>
      </w:r>
      <w:r>
        <w:rPr>
          <w:bCs/>
          <w:i/>
          <w:iCs/>
          <w:szCs w:val="24"/>
        </w:rPr>
        <w:t xml:space="preserve">Evidence Act 2011 </w:t>
      </w:r>
      <w:r>
        <w:rPr>
          <w:bCs/>
          <w:szCs w:val="24"/>
        </w:rPr>
        <w:t>engage the right to a fair trial, because they clarify the circumstances in which that type of evidence will be admitted in child sexual abuse trials.</w:t>
      </w:r>
    </w:p>
    <w:p w14:paraId="62857899" w14:textId="3E9A1597" w:rsidR="003812EC" w:rsidRPr="003812EC" w:rsidRDefault="002B2E60" w:rsidP="000A0805">
      <w:pPr>
        <w:rPr>
          <w:bCs/>
          <w:i/>
          <w:iCs/>
          <w:szCs w:val="24"/>
        </w:rPr>
      </w:pPr>
      <w:r>
        <w:rPr>
          <w:bCs/>
          <w:szCs w:val="24"/>
        </w:rPr>
        <w:t xml:space="preserve">The amendments to s 56 of the </w:t>
      </w:r>
      <w:r>
        <w:rPr>
          <w:bCs/>
          <w:i/>
          <w:iCs/>
          <w:szCs w:val="24"/>
        </w:rPr>
        <w:t xml:space="preserve">Crimes Act 1900 </w:t>
      </w:r>
      <w:r w:rsidR="000A0805">
        <w:rPr>
          <w:bCs/>
          <w:szCs w:val="24"/>
        </w:rPr>
        <w:t>limit the right to a fair trial in the construction of the offence provision and how the prosecution is required to prove it.</w:t>
      </w:r>
      <w:bookmarkEnd w:id="28"/>
      <w:r w:rsidR="000A0805">
        <w:rPr>
          <w:bCs/>
          <w:szCs w:val="24"/>
        </w:rPr>
        <w:t xml:space="preserve">  This will be discussed in further detail below.</w:t>
      </w:r>
      <w:r w:rsidR="000A0805" w:rsidRPr="003812EC">
        <w:rPr>
          <w:bCs/>
          <w:i/>
          <w:iCs/>
          <w:szCs w:val="24"/>
        </w:rPr>
        <w:t xml:space="preserve"> </w:t>
      </w:r>
    </w:p>
    <w:p w14:paraId="3721CDB8" w14:textId="77777777" w:rsidR="00775D4C" w:rsidRPr="00F24DE4" w:rsidRDefault="00775D4C" w:rsidP="00775D4C">
      <w:pPr>
        <w:rPr>
          <w:bCs/>
          <w:i/>
          <w:iCs/>
          <w:szCs w:val="24"/>
          <w:u w:val="single"/>
        </w:rPr>
      </w:pPr>
      <w:r w:rsidRPr="00F24DE4">
        <w:rPr>
          <w:bCs/>
          <w:i/>
          <w:iCs/>
          <w:szCs w:val="24"/>
          <w:u w:val="single"/>
        </w:rPr>
        <w:t>Tendency and coincidence evidence</w:t>
      </w:r>
    </w:p>
    <w:p w14:paraId="26DDE516" w14:textId="242B870B" w:rsidR="00775D4C" w:rsidRDefault="00775D4C" w:rsidP="00775D4C">
      <w:r w:rsidRPr="00EA616D">
        <w:t xml:space="preserve">Tendency and coincidence evidence is generally excluded </w:t>
      </w:r>
      <w:r w:rsidR="003812EC">
        <w:t xml:space="preserve">in criminal trials </w:t>
      </w:r>
      <w:r w:rsidRPr="00EA616D">
        <w:t>to avoid the risk that the jury will use the evidence to reason impermissibly that the defendant is guilty of the charge because they have acted in a particular way in the past.</w:t>
      </w:r>
      <w:r>
        <w:t xml:space="preserve"> </w:t>
      </w:r>
      <w:r w:rsidRPr="00EA616D">
        <w:t xml:space="preserve"> </w:t>
      </w:r>
      <w:r>
        <w:t>The protections around tendency and coincidence evidence were described by the Royal Commission as reflecting:</w:t>
      </w:r>
    </w:p>
    <w:p w14:paraId="29AA3D48" w14:textId="77777777" w:rsidR="00775D4C" w:rsidRDefault="00775D4C" w:rsidP="00775D4C">
      <w:pPr>
        <w:ind w:left="720"/>
      </w:pPr>
      <w:r>
        <w:t>…a concern that the jury will consider it to be too relevant and will give it a greater weight than it deserves. That is, the common law considers the evidence to be highly, and often unfairly, prejudicial to the accused. It is thought that the process of reasoning may be no more than ‘well, he committed the other acts, so he must be guilty of this one too’. This reasoning is built on assumptions about how juries will view such evidence.</w:t>
      </w:r>
    </w:p>
    <w:p w14:paraId="02FDC728" w14:textId="77777777" w:rsidR="00775D4C" w:rsidRDefault="00775D4C" w:rsidP="00775D4C">
      <w:pPr>
        <w:rPr>
          <w:bCs/>
          <w:szCs w:val="24"/>
        </w:rPr>
      </w:pPr>
      <w:r w:rsidRPr="00167CC0">
        <w:rPr>
          <w:bCs/>
          <w:szCs w:val="24"/>
        </w:rPr>
        <w:t>The Royal Commission found that the tests for admissibility of tendency and coincidence evidence unnecessarily preclude evidence from being admitted in criminal proceedings,</w:t>
      </w:r>
      <w:r>
        <w:rPr>
          <w:rStyle w:val="FootnoteReference"/>
          <w:bCs/>
          <w:szCs w:val="24"/>
        </w:rPr>
        <w:footnoteReference w:id="21"/>
      </w:r>
      <w:r w:rsidRPr="00167CC0">
        <w:rPr>
          <w:bCs/>
          <w:szCs w:val="24"/>
        </w:rPr>
        <w:t xml:space="preserve"> </w:t>
      </w:r>
      <w:r w:rsidRPr="00167CC0">
        <w:rPr>
          <w:bCs/>
          <w:szCs w:val="24"/>
        </w:rPr>
        <w:lastRenderedPageBreak/>
        <w:t>unnecessarily prevent joint trials,</w:t>
      </w:r>
      <w:r>
        <w:rPr>
          <w:rStyle w:val="FootnoteReference"/>
          <w:bCs/>
          <w:szCs w:val="24"/>
        </w:rPr>
        <w:footnoteReference w:id="22"/>
      </w:r>
      <w:r w:rsidRPr="00167CC0">
        <w:rPr>
          <w:bCs/>
          <w:szCs w:val="24"/>
        </w:rPr>
        <w:t xml:space="preserve"> and lead to ‘unwarranted acquittals in prosecutions for child sexual abuse offences’.</w:t>
      </w:r>
      <w:r>
        <w:rPr>
          <w:rStyle w:val="FootnoteReference"/>
          <w:bCs/>
          <w:szCs w:val="24"/>
        </w:rPr>
        <w:footnoteReference w:id="23"/>
      </w:r>
      <w:r w:rsidRPr="00167CC0">
        <w:rPr>
          <w:bCs/>
          <w:szCs w:val="24"/>
        </w:rPr>
        <w:t xml:space="preserve"> As a result, it concluded that ‘the criminal justice system is failing to provide adequate criminal justice for victims’.</w:t>
      </w:r>
      <w:r>
        <w:rPr>
          <w:rStyle w:val="FootnoteReference"/>
          <w:bCs/>
          <w:szCs w:val="24"/>
        </w:rPr>
        <w:footnoteReference w:id="24"/>
      </w:r>
    </w:p>
    <w:p w14:paraId="5CCDEE65" w14:textId="77777777" w:rsidR="00775D4C" w:rsidRDefault="00775D4C" w:rsidP="00775D4C">
      <w:pPr>
        <w:rPr>
          <w:bCs/>
          <w:szCs w:val="24"/>
        </w:rPr>
      </w:pPr>
      <w:r w:rsidRPr="00EA616D">
        <w:rPr>
          <w:bCs/>
          <w:szCs w:val="24"/>
        </w:rPr>
        <w:t>Australian courts’ history of preventing tendency or coincidence evidence being adduced due to the risk of prejudice to the accused reflects, at least in part, concern about impermissible jury reasoning.</w:t>
      </w:r>
      <w:r>
        <w:rPr>
          <w:rStyle w:val="FootnoteReference"/>
          <w:bCs/>
          <w:szCs w:val="24"/>
        </w:rPr>
        <w:footnoteReference w:id="25"/>
      </w:r>
      <w:r w:rsidRPr="00EA616D">
        <w:rPr>
          <w:bCs/>
          <w:szCs w:val="24"/>
        </w:rPr>
        <w:t xml:space="preserve"> In fact, the Royal Commission suggested that it is this concern, rather than any perceived lack of probative value, that plays the largest role in limiting the admissibility of tendency and coincidence evidence.</w:t>
      </w:r>
      <w:r>
        <w:rPr>
          <w:rStyle w:val="FootnoteReference"/>
          <w:bCs/>
          <w:szCs w:val="24"/>
        </w:rPr>
        <w:footnoteReference w:id="26"/>
      </w:r>
      <w:r w:rsidRPr="00EA616D">
        <w:rPr>
          <w:bCs/>
          <w:szCs w:val="24"/>
        </w:rPr>
        <w:t xml:space="preserve"> </w:t>
      </w:r>
    </w:p>
    <w:p w14:paraId="633F809E" w14:textId="77777777" w:rsidR="00775D4C" w:rsidRDefault="00775D4C" w:rsidP="00775D4C">
      <w:pPr>
        <w:rPr>
          <w:bCs/>
          <w:szCs w:val="24"/>
        </w:rPr>
      </w:pPr>
      <w:r w:rsidRPr="00EA616D">
        <w:rPr>
          <w:bCs/>
          <w:szCs w:val="24"/>
        </w:rPr>
        <w:t>The Royal Commission identified three ways in which this prejudice is said to manifest:</w:t>
      </w:r>
      <w:r>
        <w:rPr>
          <w:rStyle w:val="FootnoteReference"/>
          <w:bCs/>
          <w:szCs w:val="24"/>
        </w:rPr>
        <w:footnoteReference w:id="27"/>
      </w:r>
      <w:r w:rsidRPr="00EA616D">
        <w:rPr>
          <w:bCs/>
          <w:szCs w:val="24"/>
        </w:rPr>
        <w:t xml:space="preserve">  </w:t>
      </w:r>
    </w:p>
    <w:p w14:paraId="16361BC5" w14:textId="77777777" w:rsidR="00775D4C" w:rsidRDefault="00775D4C" w:rsidP="00775D4C">
      <w:pPr>
        <w:pStyle w:val="ListParagraph"/>
        <w:numPr>
          <w:ilvl w:val="0"/>
          <w:numId w:val="40"/>
        </w:numPr>
        <w:rPr>
          <w:bCs/>
          <w:szCs w:val="24"/>
        </w:rPr>
      </w:pPr>
      <w:r w:rsidRPr="0003434F">
        <w:rPr>
          <w:bCs/>
          <w:szCs w:val="24"/>
        </w:rPr>
        <w:t>Inter-case conflation prejudice: Juries will confuse or conflate the evidence led to support different charges in a joint trial, so that they will wrongly use evidence relating to one charge in considering another charge.</w:t>
      </w:r>
    </w:p>
    <w:p w14:paraId="34D41D66" w14:textId="77777777" w:rsidR="00775D4C" w:rsidRDefault="00775D4C" w:rsidP="00775D4C">
      <w:pPr>
        <w:pStyle w:val="ListParagraph"/>
        <w:numPr>
          <w:ilvl w:val="0"/>
          <w:numId w:val="40"/>
        </w:numPr>
        <w:rPr>
          <w:bCs/>
          <w:szCs w:val="24"/>
        </w:rPr>
      </w:pPr>
      <w:r w:rsidRPr="0003434F">
        <w:rPr>
          <w:bCs/>
          <w:szCs w:val="24"/>
        </w:rPr>
        <w:t xml:space="preserve">Accumulation prejudice: Juries will assume the accused is guilty due to the number of charges against him or the number of prosecution witnesses, regardless of the strength of the evidence. </w:t>
      </w:r>
    </w:p>
    <w:p w14:paraId="48789ACF" w14:textId="77777777" w:rsidR="00775D4C" w:rsidRPr="0003434F" w:rsidRDefault="00775D4C" w:rsidP="00775D4C">
      <w:pPr>
        <w:pStyle w:val="ListParagraph"/>
        <w:numPr>
          <w:ilvl w:val="0"/>
          <w:numId w:val="40"/>
        </w:numPr>
        <w:rPr>
          <w:bCs/>
          <w:szCs w:val="24"/>
        </w:rPr>
      </w:pPr>
      <w:r w:rsidRPr="0003434F">
        <w:rPr>
          <w:bCs/>
          <w:szCs w:val="24"/>
        </w:rPr>
        <w:t xml:space="preserve">Character prejudice: Juries will use evidence about the accused’s other criminal misconduct and find guilt by reasoning that an accused who has behaved in a certain way once will do so again. </w:t>
      </w:r>
    </w:p>
    <w:p w14:paraId="55D7DF59" w14:textId="77777777" w:rsidR="00775D4C" w:rsidRPr="00EA616D" w:rsidRDefault="00775D4C" w:rsidP="00775D4C">
      <w:pPr>
        <w:rPr>
          <w:bCs/>
          <w:szCs w:val="24"/>
        </w:rPr>
      </w:pPr>
      <w:r w:rsidRPr="00EA616D">
        <w:rPr>
          <w:bCs/>
          <w:szCs w:val="24"/>
        </w:rPr>
        <w:t>The exclusion of tendency and coincidence evidence to prevent such prejudice is seen as the ‘duty of a trial judge’,</w:t>
      </w:r>
      <w:r>
        <w:rPr>
          <w:rStyle w:val="FootnoteReference"/>
          <w:bCs/>
          <w:szCs w:val="24"/>
        </w:rPr>
        <w:footnoteReference w:id="28"/>
      </w:r>
      <w:r w:rsidRPr="00EA616D">
        <w:rPr>
          <w:bCs/>
          <w:szCs w:val="24"/>
        </w:rPr>
        <w:t xml:space="preserve"> especially in sexual offences proceedings, which are said to require special care to ensure that the defendant is not unfairly prejudiced.</w:t>
      </w:r>
      <w:r>
        <w:rPr>
          <w:rStyle w:val="FootnoteReference"/>
          <w:bCs/>
          <w:szCs w:val="24"/>
        </w:rPr>
        <w:footnoteReference w:id="29"/>
      </w:r>
      <w:r w:rsidRPr="00EA616D">
        <w:rPr>
          <w:bCs/>
          <w:szCs w:val="24"/>
        </w:rPr>
        <w:t xml:space="preserve"> </w:t>
      </w:r>
    </w:p>
    <w:p w14:paraId="55A0459A" w14:textId="77777777" w:rsidR="00775D4C" w:rsidRDefault="00775D4C" w:rsidP="00775D4C">
      <w:pPr>
        <w:rPr>
          <w:bCs/>
          <w:szCs w:val="24"/>
        </w:rPr>
      </w:pPr>
      <w:r w:rsidRPr="00EA616D">
        <w:rPr>
          <w:bCs/>
          <w:szCs w:val="24"/>
        </w:rPr>
        <w:t>The Royal Commission expressed doubt about the actual likelihood or incidence of this impermissible reasoning (and resultant unfair prejudice). Research was commissioned that used mock juries to acquire evidence on the actual reasoning process undertaken by juries.</w:t>
      </w:r>
      <w:r>
        <w:rPr>
          <w:rStyle w:val="FootnoteReference"/>
          <w:bCs/>
          <w:szCs w:val="24"/>
        </w:rPr>
        <w:footnoteReference w:id="30"/>
      </w:r>
      <w:r>
        <w:rPr>
          <w:bCs/>
          <w:szCs w:val="24"/>
        </w:rPr>
        <w:t xml:space="preserve"> </w:t>
      </w:r>
      <w:r w:rsidRPr="00EA616D">
        <w:rPr>
          <w:bCs/>
          <w:szCs w:val="24"/>
        </w:rPr>
        <w:t xml:space="preserve">The research found that, contrary to assumptions made in the common law, it is “unlikely that a defendant will be unfairly prejudiced in the form of impermissible reasoning as a </w:t>
      </w:r>
      <w:r w:rsidRPr="00EA616D">
        <w:rPr>
          <w:bCs/>
          <w:szCs w:val="24"/>
        </w:rPr>
        <w:lastRenderedPageBreak/>
        <w:t>consequence of joinder of counts or the admission of tendency evidence”.</w:t>
      </w:r>
      <w:r>
        <w:rPr>
          <w:rStyle w:val="FootnoteReference"/>
          <w:bCs/>
          <w:szCs w:val="24"/>
        </w:rPr>
        <w:footnoteReference w:id="31"/>
      </w:r>
      <w:r w:rsidRPr="00EA616D">
        <w:rPr>
          <w:bCs/>
          <w:szCs w:val="24"/>
        </w:rPr>
        <w:t xml:space="preserve"> Instead, “jury verdicts were logically related to the probative value of the evidence”.</w:t>
      </w:r>
      <w:r>
        <w:rPr>
          <w:rStyle w:val="FootnoteReference"/>
          <w:bCs/>
          <w:szCs w:val="24"/>
        </w:rPr>
        <w:footnoteReference w:id="32"/>
      </w:r>
    </w:p>
    <w:p w14:paraId="7B472664" w14:textId="56F3B082" w:rsidR="00842E70" w:rsidRDefault="00842E70" w:rsidP="00775D4C">
      <w:pPr>
        <w:rPr>
          <w:bCs/>
          <w:szCs w:val="24"/>
        </w:rPr>
      </w:pPr>
      <w:r>
        <w:rPr>
          <w:bCs/>
          <w:szCs w:val="24"/>
        </w:rPr>
        <w:t xml:space="preserve">This Bill adopts the model bill developed by the Council of Attorneys-General working group relating to tendency and coincidence evidence, ensuring uniformity with the uniform evidence jurisdictions.  </w:t>
      </w:r>
    </w:p>
    <w:p w14:paraId="009B10D9" w14:textId="1FF453FF" w:rsidR="00775D4C" w:rsidRDefault="00775D4C" w:rsidP="00775D4C">
      <w:pPr>
        <w:rPr>
          <w:bCs/>
          <w:szCs w:val="24"/>
        </w:rPr>
      </w:pPr>
      <w:bookmarkStart w:id="29" w:name="_Hlk38954930"/>
      <w:r>
        <w:rPr>
          <w:bCs/>
          <w:szCs w:val="24"/>
        </w:rPr>
        <w:t xml:space="preserve">The amendments to the admissibility requirements for tendency evidence in new section 97A only relate to child sexual offence proceedings.  The amendments retain a threshold requirement and clarify what evidence will be considered of probative value in those offence matters.  The amendments specify the types of matters that cannot be considered to deprive tendency evidence of probative value, which have largely been taken from existing jurisprudence in this area.  However, the courts still retain the power to consider those matters in exceptional circumstances.  </w:t>
      </w:r>
    </w:p>
    <w:p w14:paraId="57E1F786" w14:textId="77777777" w:rsidR="00775D4C" w:rsidRPr="00167CC0" w:rsidRDefault="00775D4C" w:rsidP="00775D4C">
      <w:pPr>
        <w:rPr>
          <w:bCs/>
          <w:szCs w:val="24"/>
        </w:rPr>
      </w:pPr>
      <w:r>
        <w:rPr>
          <w:bCs/>
          <w:szCs w:val="24"/>
        </w:rPr>
        <w:t xml:space="preserve">The further restriction on tendency and coincidence evidence in section 101 of the </w:t>
      </w:r>
      <w:r>
        <w:rPr>
          <w:bCs/>
          <w:i/>
          <w:iCs/>
          <w:szCs w:val="24"/>
        </w:rPr>
        <w:t xml:space="preserve">Evidence Act 2011 </w:t>
      </w:r>
      <w:r>
        <w:rPr>
          <w:bCs/>
          <w:szCs w:val="24"/>
        </w:rPr>
        <w:t>is retained, although amended to require the probative value of the evidence only outweigh danger of unfair prejudice.</w:t>
      </w:r>
    </w:p>
    <w:p w14:paraId="242E22E9" w14:textId="1A274857" w:rsidR="00D50824" w:rsidRPr="00F24DE4" w:rsidRDefault="00842E70" w:rsidP="00B10644">
      <w:pPr>
        <w:rPr>
          <w:bCs/>
          <w:szCs w:val="24"/>
        </w:rPr>
      </w:pPr>
      <w:r w:rsidRPr="00F24DE4">
        <w:rPr>
          <w:bCs/>
          <w:szCs w:val="24"/>
        </w:rPr>
        <w:t xml:space="preserve">Accordingly, the right to a fair trial is not limited by these amendments, insofar as the Royal Commission’s findings demonstrate that the fears about unfair prejudice </w:t>
      </w:r>
      <w:r w:rsidR="00CF73F4" w:rsidRPr="00F24DE4">
        <w:rPr>
          <w:bCs/>
          <w:szCs w:val="24"/>
        </w:rPr>
        <w:t>arising from this</w:t>
      </w:r>
      <w:r w:rsidRPr="00F24DE4">
        <w:rPr>
          <w:bCs/>
          <w:szCs w:val="24"/>
        </w:rPr>
        <w:t xml:space="preserve"> kind of evidence are unfounded.  That is, the Royal Commission Jury Reasoning Research shows that the effect of these amendments</w:t>
      </w:r>
      <w:r w:rsidR="00CF73F4" w:rsidRPr="00F24DE4">
        <w:rPr>
          <w:bCs/>
          <w:szCs w:val="24"/>
        </w:rPr>
        <w:t>, with the retention of threshold requirements and restrictions,</w:t>
      </w:r>
      <w:r w:rsidRPr="00F24DE4">
        <w:rPr>
          <w:bCs/>
          <w:szCs w:val="24"/>
        </w:rPr>
        <w:t xml:space="preserve"> will not give rise to unfair prejudice </w:t>
      </w:r>
      <w:r w:rsidR="00CF73F4" w:rsidRPr="00F24DE4">
        <w:rPr>
          <w:bCs/>
          <w:szCs w:val="24"/>
        </w:rPr>
        <w:t xml:space="preserve">and thereby do not </w:t>
      </w:r>
      <w:r w:rsidR="00F24DE4">
        <w:rPr>
          <w:bCs/>
          <w:szCs w:val="24"/>
        </w:rPr>
        <w:t>limi</w:t>
      </w:r>
      <w:r w:rsidR="00F24DE4" w:rsidRPr="00F24DE4">
        <w:rPr>
          <w:bCs/>
          <w:szCs w:val="24"/>
        </w:rPr>
        <w:t xml:space="preserve">t </w:t>
      </w:r>
      <w:r w:rsidR="00CF73F4" w:rsidRPr="00F24DE4">
        <w:rPr>
          <w:bCs/>
          <w:szCs w:val="24"/>
        </w:rPr>
        <w:t>the right to a fair trial.</w:t>
      </w:r>
      <w:r w:rsidR="00F24DE4">
        <w:rPr>
          <w:bCs/>
          <w:szCs w:val="24"/>
        </w:rPr>
        <w:t xml:space="preserve">  </w:t>
      </w:r>
      <w:r w:rsidR="00D50824">
        <w:rPr>
          <w:bCs/>
          <w:szCs w:val="24"/>
        </w:rPr>
        <w:t xml:space="preserve">Furthermore, </w:t>
      </w:r>
      <w:r w:rsidR="00D50824">
        <w:rPr>
          <w:szCs w:val="24"/>
        </w:rPr>
        <w:t>t</w:t>
      </w:r>
      <w:r w:rsidR="00D50824" w:rsidRPr="009715F4">
        <w:rPr>
          <w:szCs w:val="24"/>
        </w:rPr>
        <w:t>he right to a fair trial has been found to include a ‘triangulation of interests’ which include those of the accused, the victim and his or her family, and the public.</w:t>
      </w:r>
      <w:r w:rsidR="00D50824" w:rsidRPr="009715F4">
        <w:rPr>
          <w:rStyle w:val="FootnoteReference"/>
          <w:szCs w:val="24"/>
        </w:rPr>
        <w:footnoteReference w:id="33"/>
      </w:r>
      <w:r w:rsidR="00D50824">
        <w:rPr>
          <w:szCs w:val="24"/>
        </w:rPr>
        <w:t xml:space="preserve">  </w:t>
      </w:r>
      <w:r w:rsidR="00D50824">
        <w:rPr>
          <w:bCs/>
          <w:szCs w:val="24"/>
        </w:rPr>
        <w:t>T</w:t>
      </w:r>
      <w:r w:rsidR="00F24DE4">
        <w:rPr>
          <w:bCs/>
          <w:szCs w:val="24"/>
        </w:rPr>
        <w:t xml:space="preserve">hese amendments </w:t>
      </w:r>
      <w:r w:rsidR="003812EC">
        <w:rPr>
          <w:bCs/>
          <w:szCs w:val="24"/>
        </w:rPr>
        <w:t>will improve</w:t>
      </w:r>
      <w:r w:rsidR="00F24DE4">
        <w:rPr>
          <w:bCs/>
          <w:szCs w:val="24"/>
        </w:rPr>
        <w:t xml:space="preserve"> access to justice for victims of child sexual abuse.</w:t>
      </w:r>
    </w:p>
    <w:bookmarkEnd w:id="29"/>
    <w:p w14:paraId="21E3B19E" w14:textId="6D83D249" w:rsidR="00775D4C" w:rsidRPr="00F24DE4" w:rsidRDefault="00775D4C" w:rsidP="00B10644">
      <w:pPr>
        <w:rPr>
          <w:bCs/>
          <w:i/>
          <w:iCs/>
          <w:szCs w:val="24"/>
          <w:u w:val="single"/>
        </w:rPr>
      </w:pPr>
      <w:r>
        <w:rPr>
          <w:bCs/>
          <w:i/>
          <w:iCs/>
          <w:szCs w:val="24"/>
          <w:u w:val="single"/>
        </w:rPr>
        <w:t>Section 56</w:t>
      </w:r>
    </w:p>
    <w:p w14:paraId="3B6D426F" w14:textId="77777777" w:rsidR="00571C2E" w:rsidRPr="00F24DE4" w:rsidRDefault="00571C2E" w:rsidP="00B10644">
      <w:pPr>
        <w:rPr>
          <w:b/>
          <w:szCs w:val="24"/>
        </w:rPr>
      </w:pPr>
      <w:r w:rsidRPr="00F24DE4">
        <w:rPr>
          <w:b/>
          <w:szCs w:val="24"/>
        </w:rPr>
        <w:t xml:space="preserve">Nature and extent of the limitation (s28(2)(c)) </w:t>
      </w:r>
    </w:p>
    <w:p w14:paraId="63C2B14D" w14:textId="538AA424" w:rsidR="00571C2E" w:rsidRDefault="00571C2E" w:rsidP="00B10644">
      <w:pPr>
        <w:rPr>
          <w:bCs/>
          <w:szCs w:val="24"/>
        </w:rPr>
      </w:pPr>
      <w:bookmarkStart w:id="30" w:name="_Hlk38955076"/>
      <w:r w:rsidRPr="00571C2E">
        <w:rPr>
          <w:bCs/>
          <w:szCs w:val="24"/>
        </w:rPr>
        <w:t>The amended offence under section 56</w:t>
      </w:r>
      <w:r w:rsidR="006B4C81">
        <w:rPr>
          <w:bCs/>
          <w:szCs w:val="24"/>
        </w:rPr>
        <w:t xml:space="preserve"> – </w:t>
      </w:r>
      <w:r w:rsidR="006B4C81" w:rsidRPr="00045755">
        <w:rPr>
          <w:bCs/>
          <w:i/>
          <w:iCs/>
          <w:szCs w:val="24"/>
        </w:rPr>
        <w:t xml:space="preserve">Sexual relationship with child or young person under special care </w:t>
      </w:r>
      <w:r w:rsidR="006B4C81">
        <w:rPr>
          <w:bCs/>
          <w:szCs w:val="24"/>
        </w:rPr>
        <w:t>-</w:t>
      </w:r>
      <w:r w:rsidRPr="00571C2E">
        <w:rPr>
          <w:bCs/>
          <w:szCs w:val="24"/>
        </w:rPr>
        <w:t xml:space="preserve"> provides that the actus reus of the offence is the relationship and not the </w:t>
      </w:r>
      <w:r w:rsidR="00AB5204">
        <w:rPr>
          <w:bCs/>
          <w:szCs w:val="24"/>
        </w:rPr>
        <w:t>particular constituent</w:t>
      </w:r>
      <w:r w:rsidRPr="00571C2E">
        <w:rPr>
          <w:bCs/>
          <w:szCs w:val="24"/>
        </w:rPr>
        <w:t xml:space="preserve"> sexual acts. The prosecution is not required to allege the particulars of any sexual act, as they would if it was charged as a separate offence. All members of the jury are not required to be satisfied about the same acts. For a person to be convicted of an offence against section 56, the trier of fact must be satisfied beyond reasonable doubt that a relationship existed.</w:t>
      </w:r>
    </w:p>
    <w:p w14:paraId="540DE2D9" w14:textId="342B9071" w:rsidR="00AB5204" w:rsidRDefault="00571C2E" w:rsidP="00002DF0">
      <w:pPr>
        <w:keepLines/>
        <w:rPr>
          <w:bCs/>
          <w:szCs w:val="24"/>
        </w:rPr>
      </w:pPr>
      <w:r w:rsidRPr="00571C2E">
        <w:rPr>
          <w:bCs/>
          <w:szCs w:val="24"/>
        </w:rPr>
        <w:lastRenderedPageBreak/>
        <w:t>One element of a fair trial is that the accused is given sufficient information to know the case against them.</w:t>
      </w:r>
      <w:r w:rsidR="00AB5204">
        <w:rPr>
          <w:rStyle w:val="FootnoteReference"/>
          <w:bCs/>
          <w:szCs w:val="24"/>
        </w:rPr>
        <w:footnoteReference w:id="34"/>
      </w:r>
      <w:r w:rsidRPr="00571C2E">
        <w:rPr>
          <w:bCs/>
          <w:szCs w:val="24"/>
        </w:rPr>
        <w:t xml:space="preserve"> As a result, a charge must identify the essential factual ingredients of the offence,</w:t>
      </w:r>
      <w:r w:rsidR="00AB5204">
        <w:rPr>
          <w:rStyle w:val="FootnoteReference"/>
          <w:bCs/>
          <w:szCs w:val="24"/>
        </w:rPr>
        <w:footnoteReference w:id="35"/>
      </w:r>
      <w:r w:rsidRPr="00571C2E">
        <w:rPr>
          <w:bCs/>
          <w:szCs w:val="24"/>
        </w:rPr>
        <w:t xml:space="preserve"> which will usually include the time, place and manner of the accused’s alleged acts or omissions</w:t>
      </w:r>
      <w:r w:rsidR="00AB5204">
        <w:rPr>
          <w:bCs/>
          <w:szCs w:val="24"/>
        </w:rPr>
        <w:t>.</w:t>
      </w:r>
      <w:r w:rsidR="00AB5204">
        <w:rPr>
          <w:rStyle w:val="FootnoteReference"/>
          <w:bCs/>
          <w:szCs w:val="24"/>
        </w:rPr>
        <w:footnoteReference w:id="36"/>
      </w:r>
    </w:p>
    <w:bookmarkEnd w:id="30"/>
    <w:p w14:paraId="1136BA9E" w14:textId="23282E7A" w:rsidR="00AB5204" w:rsidRDefault="00571C2E" w:rsidP="00B10644">
      <w:pPr>
        <w:rPr>
          <w:bCs/>
          <w:szCs w:val="24"/>
        </w:rPr>
      </w:pPr>
      <w:r w:rsidRPr="00571C2E">
        <w:rPr>
          <w:bCs/>
          <w:szCs w:val="24"/>
        </w:rPr>
        <w:t>The prosecution will be required to allege the particulars of the period of the sexual relationship</w:t>
      </w:r>
      <w:r w:rsidR="00AB5204">
        <w:rPr>
          <w:bCs/>
          <w:szCs w:val="24"/>
        </w:rPr>
        <w:t xml:space="preserve"> (section 56 (5)).</w:t>
      </w:r>
      <w:r w:rsidRPr="00571C2E">
        <w:rPr>
          <w:bCs/>
          <w:szCs w:val="24"/>
        </w:rPr>
        <w:t xml:space="preserve">  However, </w:t>
      </w:r>
      <w:r w:rsidR="00AB5204">
        <w:rPr>
          <w:bCs/>
          <w:szCs w:val="24"/>
        </w:rPr>
        <w:t xml:space="preserve">under s 56 (4), </w:t>
      </w:r>
      <w:r w:rsidRPr="00571C2E">
        <w:rPr>
          <w:bCs/>
          <w:szCs w:val="24"/>
        </w:rPr>
        <w:t xml:space="preserve">in a proceeding for an offence against section 56, there is no requirement for—  </w:t>
      </w:r>
    </w:p>
    <w:p w14:paraId="0E11F702" w14:textId="77777777" w:rsidR="00AB5204" w:rsidRDefault="00571C2E" w:rsidP="003812EC">
      <w:pPr>
        <w:ind w:left="720"/>
        <w:rPr>
          <w:bCs/>
          <w:szCs w:val="24"/>
        </w:rPr>
      </w:pPr>
      <w:r w:rsidRPr="00571C2E">
        <w:rPr>
          <w:bCs/>
          <w:szCs w:val="24"/>
        </w:rPr>
        <w:t xml:space="preserve">(a) the prosecution to allege the particulars of a sexual act that would be necessary if the act were charged as a separate offence; or  </w:t>
      </w:r>
    </w:p>
    <w:p w14:paraId="71707EDC" w14:textId="77777777" w:rsidR="00AB5204" w:rsidRDefault="00571C2E" w:rsidP="003812EC">
      <w:pPr>
        <w:ind w:left="720"/>
        <w:rPr>
          <w:bCs/>
          <w:szCs w:val="24"/>
        </w:rPr>
      </w:pPr>
      <w:r w:rsidRPr="00571C2E">
        <w:rPr>
          <w:bCs/>
          <w:szCs w:val="24"/>
        </w:rPr>
        <w:t xml:space="preserve">(b) the trier of fact to be satisfied of the particulars of a sexual act that it would need to be satisfied of if the act were charged as a separate offence; or  </w:t>
      </w:r>
    </w:p>
    <w:p w14:paraId="4C2CBD1C" w14:textId="77777777" w:rsidR="00AB5204" w:rsidRDefault="00571C2E" w:rsidP="003812EC">
      <w:pPr>
        <w:ind w:left="720"/>
        <w:rPr>
          <w:bCs/>
          <w:szCs w:val="24"/>
        </w:rPr>
      </w:pPr>
      <w:r w:rsidRPr="00571C2E">
        <w:rPr>
          <w:bCs/>
          <w:szCs w:val="24"/>
        </w:rPr>
        <w:t>(c) if the trier of fact is a jury—</w:t>
      </w:r>
      <w:r w:rsidR="00AB5204">
        <w:rPr>
          <w:bCs/>
          <w:szCs w:val="24"/>
        </w:rPr>
        <w:t xml:space="preserve">all the </w:t>
      </w:r>
      <w:r w:rsidRPr="00571C2E">
        <w:rPr>
          <w:bCs/>
          <w:szCs w:val="24"/>
        </w:rPr>
        <w:t xml:space="preserve">members of the jury to agree on </w:t>
      </w:r>
      <w:r w:rsidR="00AB5204">
        <w:rPr>
          <w:bCs/>
          <w:szCs w:val="24"/>
        </w:rPr>
        <w:t>the same sexual acts committed as part of the</w:t>
      </w:r>
      <w:r w:rsidRPr="00571C2E">
        <w:rPr>
          <w:bCs/>
          <w:szCs w:val="24"/>
        </w:rPr>
        <w:t xml:space="preserve"> relationship.</w:t>
      </w:r>
    </w:p>
    <w:p w14:paraId="2CF3F680" w14:textId="77777777" w:rsidR="00AB5204" w:rsidRDefault="00571C2E" w:rsidP="00AB5204">
      <w:pPr>
        <w:rPr>
          <w:bCs/>
          <w:szCs w:val="24"/>
        </w:rPr>
      </w:pPr>
      <w:r w:rsidRPr="00571C2E">
        <w:rPr>
          <w:bCs/>
          <w:szCs w:val="24"/>
        </w:rPr>
        <w:t>In some circumstances it may be possible to charge an offence as having occurred between certain dates within a stated period. If a period of months or years is given, it may be</w:t>
      </w:r>
      <w:r w:rsidR="00AB5204" w:rsidRPr="00AB5204">
        <w:t xml:space="preserve"> </w:t>
      </w:r>
      <w:r w:rsidR="00AB5204" w:rsidRPr="00AB5204">
        <w:rPr>
          <w:bCs/>
          <w:szCs w:val="24"/>
        </w:rPr>
        <w:t xml:space="preserve">necessary to particularise a distinguishing fact or event that happened close to the time of the alleged offence – for example, it happened in a specified year ‘during the school camp’.  </w:t>
      </w:r>
    </w:p>
    <w:p w14:paraId="7954D98E" w14:textId="6B1E7FBC" w:rsidR="00AB5204" w:rsidRDefault="00AB5204" w:rsidP="00AB5204">
      <w:pPr>
        <w:rPr>
          <w:bCs/>
          <w:szCs w:val="24"/>
        </w:rPr>
      </w:pPr>
      <w:r w:rsidRPr="00AB5204">
        <w:rPr>
          <w:bCs/>
          <w:szCs w:val="24"/>
        </w:rPr>
        <w:t>If the sexual abuse is alleged to have been committed repeatedly on many occasions, charges could be brought for the first and last occasions of offending if the complainant can remember them most clearly and can give sufficient particulars of those occasions. Section 56(</w:t>
      </w:r>
      <w:r>
        <w:rPr>
          <w:bCs/>
          <w:szCs w:val="24"/>
        </w:rPr>
        <w:t>1</w:t>
      </w:r>
      <w:r w:rsidRPr="00AB5204">
        <w:rPr>
          <w:bCs/>
          <w:szCs w:val="24"/>
        </w:rPr>
        <w:t>) provides that the prosecution must prove that the accused engaged in a</w:t>
      </w:r>
      <w:r>
        <w:rPr>
          <w:bCs/>
          <w:szCs w:val="24"/>
        </w:rPr>
        <w:t xml:space="preserve"> relationship</w:t>
      </w:r>
      <w:r w:rsidRPr="00AB5204">
        <w:rPr>
          <w:bCs/>
          <w:szCs w:val="24"/>
        </w:rPr>
        <w:t xml:space="preserve"> with the complainant</w:t>
      </w:r>
      <w:r>
        <w:rPr>
          <w:bCs/>
          <w:szCs w:val="24"/>
        </w:rPr>
        <w:t xml:space="preserve"> that involved more than one sexual act.</w:t>
      </w:r>
      <w:r w:rsidRPr="00AB5204">
        <w:rPr>
          <w:bCs/>
          <w:szCs w:val="24"/>
        </w:rPr>
        <w:t xml:space="preserve"> </w:t>
      </w:r>
    </w:p>
    <w:p w14:paraId="0D59C880" w14:textId="4BE1C118" w:rsidR="00571C2E" w:rsidRDefault="00AB5204" w:rsidP="00002DF0">
      <w:pPr>
        <w:keepNext/>
        <w:rPr>
          <w:bCs/>
          <w:szCs w:val="24"/>
        </w:rPr>
      </w:pPr>
      <w:r w:rsidRPr="00AB5204">
        <w:rPr>
          <w:bCs/>
          <w:szCs w:val="24"/>
        </w:rPr>
        <w:t>The Director of Public Prosecution has a continuing obligation of full disclosure that requires the accused to be provided with all relevant evidence in a case, including the evidence that would be led by the prosecution to establish a sexual act.  The sufficiency of particulars is decided by the court on a case-by-case basis.</w:t>
      </w:r>
      <w:r>
        <w:rPr>
          <w:rStyle w:val="FootnoteReference"/>
          <w:bCs/>
          <w:szCs w:val="24"/>
        </w:rPr>
        <w:footnoteReference w:id="37"/>
      </w:r>
      <w:r w:rsidRPr="00AB5204">
        <w:rPr>
          <w:bCs/>
          <w:szCs w:val="24"/>
        </w:rPr>
        <w:t xml:space="preserve"> </w:t>
      </w:r>
      <w:r w:rsidR="00AF5DDA">
        <w:rPr>
          <w:bCs/>
          <w:szCs w:val="24"/>
        </w:rPr>
        <w:t xml:space="preserve"> </w:t>
      </w:r>
      <w:r w:rsidRPr="00AB5204">
        <w:rPr>
          <w:bCs/>
          <w:szCs w:val="24"/>
        </w:rPr>
        <w:t xml:space="preserve">This is an important protection to ensure that an accused person is able to receive a fair trial. </w:t>
      </w:r>
      <w:r w:rsidR="00AF5DDA">
        <w:rPr>
          <w:bCs/>
          <w:szCs w:val="24"/>
        </w:rPr>
        <w:t xml:space="preserve"> </w:t>
      </w:r>
      <w:r w:rsidRPr="00AB5204">
        <w:rPr>
          <w:bCs/>
          <w:szCs w:val="24"/>
        </w:rPr>
        <w:t xml:space="preserve">Where insufficient particulars are given, the court may rule that the accused cannot receive a fair trial, and the matter may be delayed, retried or stayed. </w:t>
      </w:r>
      <w:r w:rsidR="00AF5DDA">
        <w:rPr>
          <w:bCs/>
          <w:szCs w:val="24"/>
        </w:rPr>
        <w:t xml:space="preserve"> </w:t>
      </w:r>
      <w:r w:rsidRPr="00AB5204">
        <w:rPr>
          <w:bCs/>
          <w:szCs w:val="24"/>
        </w:rPr>
        <w:t xml:space="preserve">An accused may not have a fair trial where they are unable to defend themselves against an indeterminate number of offences that occurred on unspecified dates. </w:t>
      </w:r>
      <w:r w:rsidR="00AF5DDA">
        <w:rPr>
          <w:bCs/>
          <w:szCs w:val="24"/>
        </w:rPr>
        <w:t xml:space="preserve"> </w:t>
      </w:r>
      <w:r w:rsidRPr="00AB5204">
        <w:rPr>
          <w:bCs/>
          <w:szCs w:val="24"/>
        </w:rPr>
        <w:t>They may be unable to present their defence or test the complainant if sufficient particulars are not given.</w:t>
      </w:r>
      <w:r>
        <w:rPr>
          <w:rStyle w:val="FootnoteReference"/>
          <w:bCs/>
          <w:szCs w:val="24"/>
        </w:rPr>
        <w:footnoteReference w:id="38"/>
      </w:r>
      <w:r w:rsidRPr="00AB5204">
        <w:rPr>
          <w:bCs/>
          <w:szCs w:val="24"/>
        </w:rPr>
        <w:t xml:space="preserve"> </w:t>
      </w:r>
      <w:r w:rsidR="00AF5DDA">
        <w:rPr>
          <w:bCs/>
          <w:szCs w:val="24"/>
        </w:rPr>
        <w:t xml:space="preserve"> </w:t>
      </w:r>
      <w:r w:rsidRPr="00AB5204">
        <w:rPr>
          <w:bCs/>
          <w:szCs w:val="24"/>
        </w:rPr>
        <w:lastRenderedPageBreak/>
        <w:t>The amendments to section 56 do not abrogate this responsibility of the court to ensure that the accused receives adequate particulars to receive a fair trial.</w:t>
      </w:r>
    </w:p>
    <w:p w14:paraId="17D55428" w14:textId="0E0A7557" w:rsidR="00AF52E5" w:rsidRPr="00F24DE4" w:rsidRDefault="00AB5204" w:rsidP="00AB5204">
      <w:pPr>
        <w:rPr>
          <w:b/>
          <w:szCs w:val="24"/>
        </w:rPr>
      </w:pPr>
      <w:r w:rsidRPr="00F24DE4">
        <w:rPr>
          <w:b/>
          <w:szCs w:val="24"/>
        </w:rPr>
        <w:t xml:space="preserve">The importance of the purpose of the limitation (s28(2)(b)) and relationship between the limitation and its purpose (s28(2)(d)) </w:t>
      </w:r>
    </w:p>
    <w:p w14:paraId="5E1E58E8" w14:textId="11557281" w:rsidR="00AF52E5" w:rsidRDefault="00AB5204" w:rsidP="00AB5204">
      <w:pPr>
        <w:rPr>
          <w:bCs/>
          <w:szCs w:val="24"/>
        </w:rPr>
      </w:pPr>
      <w:r w:rsidRPr="00AB5204">
        <w:rPr>
          <w:bCs/>
          <w:szCs w:val="24"/>
        </w:rPr>
        <w:t>The right to a fair trial has been described as ‘a central pillar of our criminal justice system’.</w:t>
      </w:r>
      <w:r w:rsidR="00AF52E5">
        <w:rPr>
          <w:rStyle w:val="FootnoteReference"/>
          <w:bCs/>
          <w:szCs w:val="24"/>
        </w:rPr>
        <w:footnoteReference w:id="39"/>
      </w:r>
      <w:r w:rsidR="00AF52E5">
        <w:rPr>
          <w:bCs/>
          <w:szCs w:val="24"/>
        </w:rPr>
        <w:t xml:space="preserve">  </w:t>
      </w:r>
      <w:r w:rsidRPr="00AB5204">
        <w:rPr>
          <w:bCs/>
          <w:szCs w:val="24"/>
        </w:rPr>
        <w:t>Fundamentally, a fair trial is designed to prevent innocent people being convicted of crimes.</w:t>
      </w:r>
      <w:r w:rsidR="00AF52E5">
        <w:rPr>
          <w:rStyle w:val="FootnoteReference"/>
          <w:bCs/>
          <w:szCs w:val="24"/>
        </w:rPr>
        <w:footnoteReference w:id="40"/>
      </w:r>
      <w:r w:rsidR="00AF52E5">
        <w:rPr>
          <w:bCs/>
          <w:szCs w:val="24"/>
        </w:rPr>
        <w:t xml:space="preserve"> </w:t>
      </w:r>
      <w:r w:rsidRPr="00AB5204">
        <w:rPr>
          <w:bCs/>
          <w:szCs w:val="24"/>
        </w:rPr>
        <w:t>The right to a fair trial is ‘manifested in rules of law and of practice designed to regulate the course of the trial’.</w:t>
      </w:r>
      <w:r w:rsidR="00AF52E5">
        <w:rPr>
          <w:rStyle w:val="FootnoteReference"/>
          <w:bCs/>
          <w:szCs w:val="24"/>
        </w:rPr>
        <w:footnoteReference w:id="41"/>
      </w:r>
      <w:r w:rsidR="00AF52E5">
        <w:rPr>
          <w:bCs/>
          <w:szCs w:val="24"/>
        </w:rPr>
        <w:t xml:space="preserve">  </w:t>
      </w:r>
      <w:r w:rsidRPr="00AB5204">
        <w:rPr>
          <w:bCs/>
          <w:szCs w:val="24"/>
        </w:rPr>
        <w:t>It is ‘a right not to be tried unfairly’ or ‘an immunity against conviction otherwise than after a fair trial’.</w:t>
      </w:r>
      <w:r w:rsidR="00AF52E5">
        <w:rPr>
          <w:rStyle w:val="FootnoteReference"/>
          <w:bCs/>
          <w:szCs w:val="24"/>
        </w:rPr>
        <w:footnoteReference w:id="42"/>
      </w:r>
    </w:p>
    <w:p w14:paraId="5F53B099" w14:textId="4E20F3A4" w:rsidR="00AF52E5" w:rsidRDefault="00AB5204" w:rsidP="00AB5204">
      <w:pPr>
        <w:rPr>
          <w:bCs/>
          <w:szCs w:val="24"/>
        </w:rPr>
      </w:pPr>
      <w:r w:rsidRPr="00AB5204">
        <w:rPr>
          <w:bCs/>
          <w:szCs w:val="24"/>
        </w:rPr>
        <w:t>The Royal Commission found that “making the actus reus the relationship rather than the individual occasions of abuse, provides the best opportunity to charge repeated or ongoing child sexual abuse in a manner that is more consistent with the sort of evidence a complainant is more likely to be able to give.”</w:t>
      </w:r>
      <w:r w:rsidR="00AF52E5">
        <w:rPr>
          <w:rStyle w:val="FootnoteReference"/>
          <w:bCs/>
          <w:szCs w:val="24"/>
        </w:rPr>
        <w:footnoteReference w:id="43"/>
      </w:r>
      <w:r w:rsidRPr="00AB5204">
        <w:rPr>
          <w:bCs/>
          <w:szCs w:val="24"/>
        </w:rPr>
        <w:t xml:space="preserve"> This purpose must be balanced against the accused’s right to a fair trial.  It is often difficult for young people to give adequate details of the sexual offending against</w:t>
      </w:r>
      <w:r w:rsidR="00AF52E5">
        <w:rPr>
          <w:bCs/>
          <w:szCs w:val="24"/>
        </w:rPr>
        <w:t xml:space="preserve"> </w:t>
      </w:r>
      <w:r w:rsidR="00AF52E5" w:rsidRPr="00AF52E5">
        <w:rPr>
          <w:bCs/>
          <w:szCs w:val="24"/>
        </w:rPr>
        <w:t xml:space="preserve">them because: </w:t>
      </w:r>
    </w:p>
    <w:p w14:paraId="647D47D9" w14:textId="77777777" w:rsidR="00AF52E5" w:rsidRDefault="00AF52E5" w:rsidP="00AF52E5">
      <w:pPr>
        <w:pStyle w:val="ListParagraph"/>
        <w:numPr>
          <w:ilvl w:val="0"/>
          <w:numId w:val="39"/>
        </w:numPr>
        <w:rPr>
          <w:bCs/>
          <w:szCs w:val="24"/>
        </w:rPr>
      </w:pPr>
      <w:r w:rsidRPr="00AF52E5">
        <w:rPr>
          <w:bCs/>
          <w:szCs w:val="24"/>
        </w:rPr>
        <w:t xml:space="preserve">children do not have a good understanding of dates, times, locations or an ability to describe how different events relate to each other on a temporal basis; </w:t>
      </w:r>
    </w:p>
    <w:p w14:paraId="21BA2F6A" w14:textId="77777777" w:rsidR="00AF52E5" w:rsidRDefault="00AF52E5" w:rsidP="00AF52E5">
      <w:pPr>
        <w:pStyle w:val="ListParagraph"/>
        <w:numPr>
          <w:ilvl w:val="0"/>
          <w:numId w:val="39"/>
        </w:numPr>
        <w:rPr>
          <w:bCs/>
          <w:szCs w:val="24"/>
        </w:rPr>
      </w:pPr>
      <w:r w:rsidRPr="00AF52E5">
        <w:rPr>
          <w:bCs/>
          <w:szCs w:val="24"/>
        </w:rPr>
        <w:t xml:space="preserve">delay in reporting may cause memories to fade or events to be (wrongly) attributed to a particular time or location when they in fact occurred earlier or later, or at another location; and </w:t>
      </w:r>
    </w:p>
    <w:p w14:paraId="38296874" w14:textId="208C725D" w:rsidR="00AF52E5" w:rsidRDefault="00AF52E5" w:rsidP="00AF52E5">
      <w:pPr>
        <w:pStyle w:val="ListParagraph"/>
        <w:numPr>
          <w:ilvl w:val="0"/>
          <w:numId w:val="39"/>
        </w:numPr>
        <w:rPr>
          <w:bCs/>
          <w:szCs w:val="24"/>
        </w:rPr>
      </w:pPr>
      <w:r w:rsidRPr="00AF52E5">
        <w:rPr>
          <w:bCs/>
          <w:szCs w:val="24"/>
        </w:rPr>
        <w:t>the abuse may have occurred repeatedly and in similar circumstances, so the complainant is unable to describe specific or distinct occasions of abuse.</w:t>
      </w:r>
      <w:r>
        <w:rPr>
          <w:rStyle w:val="FootnoteReference"/>
          <w:bCs/>
          <w:szCs w:val="24"/>
        </w:rPr>
        <w:footnoteReference w:id="44"/>
      </w:r>
    </w:p>
    <w:p w14:paraId="1E5F3A2F" w14:textId="77777777" w:rsidR="00AF52E5" w:rsidRDefault="00AF52E5" w:rsidP="00AF52E5">
      <w:pPr>
        <w:rPr>
          <w:bCs/>
          <w:szCs w:val="24"/>
        </w:rPr>
      </w:pPr>
      <w:r w:rsidRPr="00AF52E5">
        <w:rPr>
          <w:bCs/>
          <w:szCs w:val="24"/>
        </w:rPr>
        <w:t xml:space="preserve">This has been described in </w:t>
      </w:r>
      <w:r w:rsidRPr="00F24DE4">
        <w:rPr>
          <w:bCs/>
          <w:i/>
          <w:iCs/>
          <w:szCs w:val="24"/>
        </w:rPr>
        <w:t>R v Johnson</w:t>
      </w:r>
      <w:r w:rsidRPr="00AF52E5">
        <w:rPr>
          <w:bCs/>
          <w:szCs w:val="24"/>
        </w:rPr>
        <w:t xml:space="preserve"> [2015] SASCFC 170 as a “perverse paradox that the more extensive the sexual exploitation of a child, the more difficult it can be proving the offence.” </w:t>
      </w:r>
    </w:p>
    <w:p w14:paraId="4703B5FC" w14:textId="6635C764" w:rsidR="00AF52E5" w:rsidRDefault="00AF52E5" w:rsidP="00AF52E5">
      <w:pPr>
        <w:rPr>
          <w:bCs/>
          <w:szCs w:val="24"/>
        </w:rPr>
      </w:pPr>
      <w:r w:rsidRPr="00AF52E5">
        <w:rPr>
          <w:bCs/>
          <w:szCs w:val="24"/>
        </w:rPr>
        <w:t xml:space="preserve">In 2016, Brother Rafferty was tried in relation to six counts of child sexual abuse alleged to have been committed between 1984 and 1987 against one complainant. The allegations were that Brother Rafferty, a teacher at St Patrick’s College in Goulburn, NSW, sexually abused </w:t>
      </w:r>
      <w:r w:rsidR="003812EC">
        <w:rPr>
          <w:bCs/>
          <w:szCs w:val="24"/>
        </w:rPr>
        <w:t>a child</w:t>
      </w:r>
      <w:r w:rsidRPr="00AF52E5">
        <w:rPr>
          <w:bCs/>
          <w:szCs w:val="24"/>
        </w:rPr>
        <w:t xml:space="preserve"> wh</w:t>
      </w:r>
      <w:r w:rsidR="003812EC">
        <w:rPr>
          <w:bCs/>
          <w:szCs w:val="24"/>
        </w:rPr>
        <w:t>o was</w:t>
      </w:r>
      <w:r w:rsidRPr="00AF52E5">
        <w:rPr>
          <w:bCs/>
          <w:szCs w:val="24"/>
        </w:rPr>
        <w:t xml:space="preserve"> a student at that school and taking music lessons from Brother Rafferty.</w:t>
      </w:r>
      <w:r>
        <w:rPr>
          <w:bCs/>
          <w:szCs w:val="24"/>
        </w:rPr>
        <w:t xml:space="preserve">  </w:t>
      </w:r>
      <w:r w:rsidRPr="00AF52E5">
        <w:rPr>
          <w:bCs/>
          <w:szCs w:val="24"/>
        </w:rPr>
        <w:t xml:space="preserve">Brother Rafferty was acquitted on all six counts. The judge acquitted the accused on all counts and said:  </w:t>
      </w:r>
    </w:p>
    <w:p w14:paraId="0814DC20" w14:textId="486D2D39" w:rsidR="00AF52E5" w:rsidRDefault="00AF52E5" w:rsidP="00AF52E5">
      <w:pPr>
        <w:ind w:left="720"/>
        <w:rPr>
          <w:bCs/>
          <w:szCs w:val="24"/>
        </w:rPr>
      </w:pPr>
      <w:r w:rsidRPr="00AF52E5">
        <w:rPr>
          <w:bCs/>
          <w:szCs w:val="24"/>
        </w:rPr>
        <w:lastRenderedPageBreak/>
        <w:t>I am well satisfied that the accused did sexually abuse the complainant at school and I reject his blanket denial as a reasonable possibility.</w:t>
      </w:r>
      <w:r>
        <w:rPr>
          <w:rStyle w:val="FootnoteReference"/>
          <w:bCs/>
          <w:szCs w:val="24"/>
        </w:rPr>
        <w:footnoteReference w:id="45"/>
      </w:r>
    </w:p>
    <w:p w14:paraId="6C351490" w14:textId="489A28BA" w:rsidR="00AF52E5" w:rsidRDefault="00AF52E5" w:rsidP="00AF52E5">
      <w:pPr>
        <w:ind w:left="720"/>
        <w:rPr>
          <w:bCs/>
          <w:szCs w:val="24"/>
        </w:rPr>
      </w:pPr>
      <w:r w:rsidRPr="00AF52E5">
        <w:rPr>
          <w:bCs/>
          <w:szCs w:val="24"/>
        </w:rPr>
        <w:t>The Crown has to prove the particular incident that is said to support the count on the indictment. It is not sufficient for the  Crown  to  establish  some  generalised  sexual  misconduct  by  the  accused  towards  the complainant.</w:t>
      </w:r>
      <w:r>
        <w:rPr>
          <w:rStyle w:val="FootnoteReference"/>
          <w:bCs/>
          <w:szCs w:val="24"/>
        </w:rPr>
        <w:footnoteReference w:id="46"/>
      </w:r>
    </w:p>
    <w:p w14:paraId="0CADB573" w14:textId="77777777" w:rsidR="00AF52E5" w:rsidRDefault="00AF52E5" w:rsidP="00AF52E5">
      <w:pPr>
        <w:rPr>
          <w:bCs/>
          <w:szCs w:val="24"/>
        </w:rPr>
      </w:pPr>
      <w:r w:rsidRPr="00AF52E5">
        <w:rPr>
          <w:bCs/>
          <w:szCs w:val="24"/>
        </w:rPr>
        <w:t>This example is particularly relevant to the consideration of the need for particulars and the extent to which a persistent child sexual abuse offence might address the difficulties many complainants will have in giving details about abuse that is alleged to have occurred many years earlier. In late 2016, the Royal Commission commissioned research in relation to memory and the requirements of the law that are relevant to child sexual abuse cases. The research confirms the many difficulties for complainants in providing adequate particulars, particularly in cases of repeated abuse.</w:t>
      </w:r>
      <w:r>
        <w:rPr>
          <w:rStyle w:val="FootnoteReference"/>
          <w:bCs/>
          <w:szCs w:val="24"/>
        </w:rPr>
        <w:footnoteReference w:id="47"/>
      </w:r>
      <w:r w:rsidRPr="00AF52E5">
        <w:rPr>
          <w:bCs/>
          <w:szCs w:val="24"/>
        </w:rPr>
        <w:t xml:space="preserve"> Some studies also suggest that, while older children may be better able to distinguish between repeated events, after a period of delay, even of several weeks, they may be no better than younger children at distinguishing between repeated events.</w:t>
      </w:r>
      <w:r>
        <w:rPr>
          <w:rStyle w:val="FootnoteReference"/>
          <w:bCs/>
          <w:szCs w:val="24"/>
        </w:rPr>
        <w:footnoteReference w:id="48"/>
      </w:r>
      <w:r>
        <w:rPr>
          <w:bCs/>
          <w:szCs w:val="24"/>
        </w:rPr>
        <w:t xml:space="preserve"> </w:t>
      </w:r>
    </w:p>
    <w:p w14:paraId="738BE119" w14:textId="0E0F4775" w:rsidR="00AF52E5" w:rsidRDefault="00AF52E5" w:rsidP="00AF52E5">
      <w:pPr>
        <w:rPr>
          <w:bCs/>
          <w:szCs w:val="24"/>
        </w:rPr>
      </w:pPr>
      <w:bookmarkStart w:id="32" w:name="_Hlk38955056"/>
      <w:r w:rsidRPr="00AF52E5">
        <w:rPr>
          <w:bCs/>
          <w:szCs w:val="24"/>
        </w:rPr>
        <w:t>The amended provision allows for the effective charging and successful prosecution of repeated but largely indistinguishable occasions of child sexual abuse while having regard to</w:t>
      </w:r>
      <w:r>
        <w:rPr>
          <w:bCs/>
          <w:szCs w:val="24"/>
        </w:rPr>
        <w:t xml:space="preserve"> t</w:t>
      </w:r>
      <w:r w:rsidRPr="00AF52E5">
        <w:rPr>
          <w:bCs/>
          <w:szCs w:val="24"/>
        </w:rPr>
        <w:t xml:space="preserve">he need to provide the accused with sufficient particulars to enable him or her to receive a fair trial. This is achieved through the requirements for the prosecution to particularise the period of the sexual relationship and for the prosecution to prove that the accused engaged in a sexual act with the complainant on two or more occasions. The accused’s right to a fair trial is also protected by the preservation of courts’ jurisdiction and power to stay proceedings. </w:t>
      </w:r>
    </w:p>
    <w:bookmarkEnd w:id="32"/>
    <w:p w14:paraId="510BD616" w14:textId="77777777" w:rsidR="00AF52E5" w:rsidRPr="00A464B2" w:rsidRDefault="00AF52E5" w:rsidP="00AF52E5">
      <w:pPr>
        <w:rPr>
          <w:bCs/>
          <w:szCs w:val="24"/>
        </w:rPr>
      </w:pPr>
      <w:r w:rsidRPr="00F24DE4">
        <w:rPr>
          <w:b/>
          <w:szCs w:val="24"/>
        </w:rPr>
        <w:t>Any less restrictive means reasonably available to achieve the purpose (s28(2)(e))</w:t>
      </w:r>
      <w:r w:rsidRPr="00A464B2">
        <w:rPr>
          <w:bCs/>
          <w:szCs w:val="24"/>
        </w:rPr>
        <w:t xml:space="preserve"> </w:t>
      </w:r>
    </w:p>
    <w:p w14:paraId="3F3C41DB" w14:textId="2BB80DDC" w:rsidR="00D70983" w:rsidRPr="00F24DE4" w:rsidRDefault="00AF52E5" w:rsidP="00AF52E5">
      <w:pPr>
        <w:rPr>
          <w:bCs/>
          <w:szCs w:val="24"/>
          <w:u w:val="single"/>
        </w:rPr>
      </w:pPr>
      <w:r w:rsidRPr="00AF52E5">
        <w:rPr>
          <w:bCs/>
          <w:szCs w:val="24"/>
        </w:rPr>
        <w:t>There are no other avenues to achieve the purpose which are less restrictive. Consistent with the recommendations of the Royal Commission, without undermining a fair trial for the accused, there must be an offence that allows for prosecutions that does not require particularisation in a manner inconsistent with the ways in which complainants remember the child sexual abuse.  These amendments represent a reasonable and justifiable limitation on the right to a fair trial,</w:t>
      </w:r>
      <w:r w:rsidR="003812EC">
        <w:rPr>
          <w:bCs/>
          <w:szCs w:val="24"/>
        </w:rPr>
        <w:t xml:space="preserve"> in order to effectively improve </w:t>
      </w:r>
      <w:r w:rsidRPr="00AF52E5">
        <w:rPr>
          <w:bCs/>
          <w:szCs w:val="24"/>
        </w:rPr>
        <w:t>access to justice for survivors of child sexual abuse</w:t>
      </w:r>
      <w:r w:rsidR="003812EC">
        <w:rPr>
          <w:bCs/>
          <w:szCs w:val="24"/>
        </w:rPr>
        <w:t>.  T</w:t>
      </w:r>
      <w:r w:rsidRPr="00AF52E5">
        <w:rPr>
          <w:bCs/>
          <w:szCs w:val="24"/>
        </w:rPr>
        <w:t>he express preservation of courts’ jurisdictions and powers to stay proceedings</w:t>
      </w:r>
      <w:r w:rsidR="003812EC">
        <w:rPr>
          <w:bCs/>
          <w:szCs w:val="24"/>
        </w:rPr>
        <w:t xml:space="preserve"> provides an effective safeguard to ensure that the right to a fair trial is not unduly limited by this measure</w:t>
      </w:r>
      <w:r w:rsidRPr="00AF52E5">
        <w:rPr>
          <w:bCs/>
          <w:szCs w:val="24"/>
        </w:rPr>
        <w:t>.</w:t>
      </w:r>
    </w:p>
    <w:p w14:paraId="42867860" w14:textId="142A9DB4" w:rsidR="003E4132" w:rsidRDefault="003E4132" w:rsidP="00AD687A">
      <w:pPr>
        <w:pStyle w:val="Heading4"/>
        <w:keepNext/>
      </w:pPr>
      <w:r w:rsidRPr="008B378B">
        <w:lastRenderedPageBreak/>
        <w:t xml:space="preserve">Section </w:t>
      </w:r>
      <w:r>
        <w:t>2</w:t>
      </w:r>
      <w:r w:rsidRPr="008B378B">
        <w:t xml:space="preserve">4 HR Act – </w:t>
      </w:r>
      <w:r>
        <w:t>Right not to be tried or punished more than once</w:t>
      </w:r>
    </w:p>
    <w:p w14:paraId="41F0AE13" w14:textId="4B1355F7" w:rsidR="003E4132" w:rsidRDefault="00AA20F5" w:rsidP="00AD687A">
      <w:pPr>
        <w:keepNext/>
      </w:pPr>
      <w:r>
        <w:t xml:space="preserve">Section 56 </w:t>
      </w:r>
      <w:r>
        <w:rPr>
          <w:i/>
          <w:iCs/>
        </w:rPr>
        <w:t xml:space="preserve">Crimes Act 1900 </w:t>
      </w:r>
      <w:r>
        <w:t xml:space="preserve">includes a provision that allows a person to be charged on a single indictment with, and convicted of and punished for, both a sexual relationship offence and </w:t>
      </w:r>
      <w:r w:rsidR="00AE6C47">
        <w:t xml:space="preserve">specific </w:t>
      </w:r>
      <w:r>
        <w:t xml:space="preserve">sexual offences committed against the same person during the period of the relationship.  </w:t>
      </w:r>
    </w:p>
    <w:p w14:paraId="23FC5639" w14:textId="6B4CA99F" w:rsidR="00AA20F5" w:rsidRDefault="00AA20F5" w:rsidP="003E4132">
      <w:r>
        <w:t xml:space="preserve">The relationship offence requires the prosecution to prove an additional element to those of the individual sexual offences – that is, </w:t>
      </w:r>
      <w:r w:rsidR="00AE6C47">
        <w:t xml:space="preserve">that </w:t>
      </w:r>
      <w:r>
        <w:t xml:space="preserve">the accused engaged in a relationship with the child or young person under special care. </w:t>
      </w:r>
      <w:r w:rsidR="00AE6C47">
        <w:t xml:space="preserve"> Therefore, the relationship offence is distinct from the specific sexual offences.</w:t>
      </w:r>
    </w:p>
    <w:p w14:paraId="6D9361B4" w14:textId="6CFBD32A" w:rsidR="00AE6C47" w:rsidRPr="00AE6C47" w:rsidRDefault="00AE6C47" w:rsidP="000D546F">
      <w:r>
        <w:t xml:space="preserve">Furthermore, a person can only be charged, convicted of and punished for, the relationship offence and the specific sexual offences if they are charged on a single indictment.  As held in </w:t>
      </w:r>
      <w:r>
        <w:rPr>
          <w:i/>
          <w:iCs/>
        </w:rPr>
        <w:t>KN v R</w:t>
      </w:r>
      <w:r>
        <w:t>:</w:t>
      </w:r>
      <w:r w:rsidR="0084423A">
        <w:rPr>
          <w:rStyle w:val="FootnoteReference"/>
        </w:rPr>
        <w:footnoteReference w:id="49"/>
      </w:r>
      <w:r w:rsidR="000D546F">
        <w:t xml:space="preserve"> “</w:t>
      </w:r>
      <w:r>
        <w:t>We consider that ss 56(8) and (9</w:t>
      </w:r>
      <w:r w:rsidRPr="003677BE">
        <w:t>) [</w:t>
      </w:r>
      <w:r w:rsidRPr="003677BE">
        <w:rPr>
          <w:i/>
          <w:iCs/>
        </w:rPr>
        <w:t>renumbered to (7) and (8) in this Bill</w:t>
      </w:r>
      <w:r w:rsidRPr="003677BE">
        <w:t>]</w:t>
      </w:r>
      <w:r>
        <w:t xml:space="preserve"> unequivocally allow for concurrent charging and conviction, provided that the relationship charge and the specific sexual offence charges are prosecuted in the same indictment.</w:t>
      </w:r>
      <w:r w:rsidR="000D546F">
        <w:t>”</w:t>
      </w:r>
    </w:p>
    <w:p w14:paraId="5332C29A" w14:textId="77777777" w:rsidR="00AE6C47" w:rsidRDefault="00AE6C47" w:rsidP="003E4132">
      <w:r>
        <w:t xml:space="preserve">This is consistent with the Royal Commission comments that this construction </w:t>
      </w:r>
    </w:p>
    <w:p w14:paraId="79565654" w14:textId="1989FDB2" w:rsidR="00AE6C47" w:rsidRDefault="00AE6C47" w:rsidP="00AE6C47">
      <w:pPr>
        <w:ind w:left="720"/>
      </w:pPr>
      <w:r>
        <w:t>…addresses the risk of ‘double jeopardy’ by otherwise not allowing a person to be convicted of:</w:t>
      </w:r>
    </w:p>
    <w:p w14:paraId="55B7CE9A" w14:textId="77777777" w:rsidR="00AE6C47" w:rsidRDefault="00AE6C47" w:rsidP="000D546F">
      <w:pPr>
        <w:ind w:left="1440"/>
      </w:pPr>
      <w:r>
        <w:t xml:space="preserve">• an unlawful sexual relationship offence if they have already been convicted or acquitted of one of the unlawful sexual acts that are alleged to constitute the unlawful sexual relationship </w:t>
      </w:r>
    </w:p>
    <w:p w14:paraId="02E038C0" w14:textId="77777777" w:rsidR="00AE6C47" w:rsidRDefault="00AE6C47" w:rsidP="000D546F">
      <w:pPr>
        <w:ind w:left="1440"/>
      </w:pPr>
      <w:r>
        <w:t xml:space="preserve">• a sexual offence in relation to a child if they have already been convicted or acquitted of an unlawful sexual relationship offence in relation to the child for a period which includes the occasion on which the sexual offence is alleged to have been committed </w:t>
      </w:r>
    </w:p>
    <w:p w14:paraId="5DD66191" w14:textId="3DEAE893" w:rsidR="00AE6C47" w:rsidRDefault="00AE6C47" w:rsidP="000D546F">
      <w:pPr>
        <w:ind w:left="1440"/>
      </w:pPr>
      <w:r>
        <w:t>• an unlawful sexual relationship offence in relation to a child if they have already been convicted or acquitted of a predecessor offence – an earlier version of a persistent child sexual abuse offence – in relation to the child for the same period or if any part of the period overlaps.</w:t>
      </w:r>
      <w:r>
        <w:rPr>
          <w:rStyle w:val="FootnoteReference"/>
        </w:rPr>
        <w:footnoteReference w:id="50"/>
      </w:r>
    </w:p>
    <w:p w14:paraId="0B6D2924" w14:textId="326D0770" w:rsidR="00AE6C47" w:rsidRDefault="00AE6C47" w:rsidP="00AE6C47">
      <w:pPr>
        <w:rPr>
          <w:i/>
          <w:iCs/>
        </w:rPr>
      </w:pPr>
      <w:r>
        <w:t>Finally</w:t>
      </w:r>
      <w:r w:rsidRPr="003677BE">
        <w:t xml:space="preserve">, </w:t>
      </w:r>
      <w:r w:rsidR="00453077" w:rsidRPr="003677BE">
        <w:t>new paragraph (b) of section 56 (7)</w:t>
      </w:r>
      <w:r w:rsidR="00453077">
        <w:t xml:space="preserve"> requires that, where a person is charged and convicted of both a relationship offence and a specific sexual offence on the same indictment, they must not be sentenced consecutively.  This is consistent with the Queensland Code approach.  As was held in </w:t>
      </w:r>
      <w:r w:rsidR="00453077">
        <w:rPr>
          <w:i/>
          <w:iCs/>
        </w:rPr>
        <w:t>KN v R:</w:t>
      </w:r>
      <w:r w:rsidR="000D546F">
        <w:rPr>
          <w:rStyle w:val="FootnoteReference"/>
          <w:i/>
          <w:iCs/>
        </w:rPr>
        <w:footnoteReference w:id="51"/>
      </w:r>
    </w:p>
    <w:p w14:paraId="45BC89A8" w14:textId="0B6A1DF0" w:rsidR="00453077" w:rsidRDefault="00453077" w:rsidP="00453077">
      <w:pPr>
        <w:ind w:left="720"/>
      </w:pPr>
      <w:r>
        <w:lastRenderedPageBreak/>
        <w:t>Of course, where a sexual relationship offence and the specific sexual offence/s are charged in the same indictment and an accused person is convicted of the relationship offence on the basis of the act/s the subject of the specific charge/s (assuming that it is possible to determine that that was or may have been the case), then the sentencing judge is likely to decide that the sentence for the relationship charge captures the whole of the criminality of the specific charges (or vice versa) and to impose entirely concurrent sentences.</w:t>
      </w:r>
    </w:p>
    <w:p w14:paraId="010B3025" w14:textId="46FCFBC5" w:rsidR="00453077" w:rsidRPr="00453077" w:rsidRDefault="00453077" w:rsidP="00F24DE4">
      <w:r>
        <w:t xml:space="preserve">This position is now confirmed in this Bill through </w:t>
      </w:r>
      <w:r w:rsidRPr="003677BE">
        <w:t>the inclusion of section 56 (7) (b).</w:t>
      </w:r>
    </w:p>
    <w:p w14:paraId="2549B2F6" w14:textId="4B45742B" w:rsidR="00D70983" w:rsidRPr="00A511E0" w:rsidRDefault="00D70983" w:rsidP="00D70983">
      <w:pPr>
        <w:pStyle w:val="Heading4"/>
      </w:pPr>
      <w:r w:rsidRPr="00A511E0">
        <w:t>Section 2</w:t>
      </w:r>
      <w:r>
        <w:t xml:space="preserve">5 </w:t>
      </w:r>
      <w:r w:rsidRPr="00A511E0">
        <w:t xml:space="preserve">HR Act – </w:t>
      </w:r>
      <w:r>
        <w:t>Retrospective criminal laws</w:t>
      </w:r>
    </w:p>
    <w:p w14:paraId="17635598" w14:textId="758D09E9" w:rsidR="00D70983" w:rsidRDefault="00D70983" w:rsidP="00D70983">
      <w:r>
        <w:t xml:space="preserve">The amendments in the Bill engage and limit the right to protection from retrospective criminal laws (section 25 HRA). The Bill amends section 56 of the Crimes Act to </w:t>
      </w:r>
      <w:r w:rsidR="00297919">
        <w:t>confirm</w:t>
      </w:r>
      <w:r>
        <w:t xml:space="preserve"> that it has retrospective effect</w:t>
      </w:r>
      <w:r w:rsidR="00297919">
        <w:t xml:space="preserve"> (retained from the current provision)</w:t>
      </w:r>
      <w:r>
        <w:t xml:space="preserve"> and </w:t>
      </w:r>
      <w:r w:rsidRPr="003677BE">
        <w:t xml:space="preserve">amends the maximum penalty so that, depending on the </w:t>
      </w:r>
      <w:r w:rsidR="003211BD">
        <w:t>period of the relationship, the penalty imposed does not exceed given penalties which reflect relevant maximum penalties of the time of the offending.</w:t>
      </w:r>
      <w:r>
        <w:t xml:space="preserve"> </w:t>
      </w:r>
    </w:p>
    <w:p w14:paraId="58D773F8" w14:textId="77777777" w:rsidR="00D70983" w:rsidRPr="00A511E0" w:rsidRDefault="00D70983" w:rsidP="00D70983">
      <w:r w:rsidRPr="00A511E0">
        <w:t>Section 2</w:t>
      </w:r>
      <w:r>
        <w:t>5</w:t>
      </w:r>
      <w:r w:rsidRPr="00A511E0">
        <w:t xml:space="preserve"> of the HR Act states that:</w:t>
      </w:r>
    </w:p>
    <w:p w14:paraId="5C88E36F" w14:textId="77777777" w:rsidR="00D70983" w:rsidRPr="008D426D" w:rsidRDefault="00D70983" w:rsidP="00D70983">
      <w:pPr>
        <w:spacing w:line="240" w:lineRule="auto"/>
        <w:ind w:left="720"/>
        <w:rPr>
          <w:rStyle w:val="Emphasis"/>
        </w:rPr>
      </w:pPr>
      <w:r w:rsidRPr="008D426D">
        <w:rPr>
          <w:rStyle w:val="Emphasis"/>
        </w:rPr>
        <w:t>(1) No-one may be held guilty of a criminal offence because of conduct that was not a criminal offence under Territory law when it was engaged in.</w:t>
      </w:r>
    </w:p>
    <w:p w14:paraId="0A89FA36" w14:textId="77777777" w:rsidR="00D70983" w:rsidRPr="008D426D" w:rsidRDefault="00D70983" w:rsidP="00D70983">
      <w:pPr>
        <w:spacing w:line="240" w:lineRule="auto"/>
        <w:ind w:left="720"/>
        <w:rPr>
          <w:rStyle w:val="Emphasis"/>
        </w:rPr>
      </w:pPr>
      <w:r w:rsidRPr="008D426D">
        <w:rPr>
          <w:rStyle w:val="Emphasis"/>
        </w:rPr>
        <w:t>(2) A penalty may not be imposed on anyone for a criminal offence that is heavier than the penalty that applied to the offence when it was committed. If the penalty for an offence is reduced after anyone commits the offence, he or she benefits from the reduced penalty.</w:t>
      </w:r>
    </w:p>
    <w:p w14:paraId="6A5097C5" w14:textId="77777777" w:rsidR="00D70983" w:rsidRPr="00A511E0" w:rsidRDefault="00D70983" w:rsidP="00D70983">
      <w:pPr>
        <w:keepNext/>
      </w:pPr>
      <w:r w:rsidRPr="00A511E0">
        <w:rPr>
          <w:b/>
        </w:rPr>
        <w:t>The nature of the right affected (s 28 (2) (a))</w:t>
      </w:r>
    </w:p>
    <w:p w14:paraId="30DB5C93" w14:textId="77777777" w:rsidR="00D70983" w:rsidRPr="00CE45E7" w:rsidRDefault="00D70983" w:rsidP="00D70983">
      <w:pPr>
        <w:spacing w:line="240" w:lineRule="auto"/>
        <w:rPr>
          <w:b/>
          <w:i/>
        </w:rPr>
      </w:pPr>
      <w:r w:rsidRPr="004D1142">
        <w:rPr>
          <w:lang w:eastAsia="en-AU"/>
        </w:rPr>
        <w:t>The European Court of Human Rights has held that the protection from retrospective criminal laws “embodies, more generally, the principle that only the law can define a crime and prescribe a penalty...and the principle that the criminal law must not be extensively construed to an accused’s detriment, for instance by analogy” (</w:t>
      </w:r>
      <w:r w:rsidRPr="004D1142">
        <w:rPr>
          <w:i/>
          <w:lang w:eastAsia="en-AU"/>
        </w:rPr>
        <w:t>Kokkinakis v Greece</w:t>
      </w:r>
      <w:r w:rsidRPr="004D1142">
        <w:rPr>
          <w:lang w:eastAsia="en-AU"/>
        </w:rPr>
        <w:t xml:space="preserve"> (1993) 17 EHRR 397). </w:t>
      </w:r>
    </w:p>
    <w:p w14:paraId="6A7B3E7A" w14:textId="77777777" w:rsidR="00D70983" w:rsidRDefault="00D70983" w:rsidP="00D70983">
      <w:pPr>
        <w:spacing w:line="240" w:lineRule="auto"/>
        <w:rPr>
          <w:szCs w:val="24"/>
        </w:rPr>
      </w:pPr>
      <w:r>
        <w:rPr>
          <w:szCs w:val="24"/>
        </w:rPr>
        <w:t>Article</w:t>
      </w:r>
      <w:r w:rsidRPr="004D1142">
        <w:rPr>
          <w:szCs w:val="24"/>
        </w:rPr>
        <w:t xml:space="preserve"> 15 (2)</w:t>
      </w:r>
      <w:r>
        <w:rPr>
          <w:szCs w:val="24"/>
        </w:rPr>
        <w:t xml:space="preserve"> of the</w:t>
      </w:r>
      <w:r w:rsidRPr="004D1142">
        <w:t xml:space="preserve"> International Covenant on Civil and Political Right</w:t>
      </w:r>
      <w:r>
        <w:t>s</w:t>
      </w:r>
      <w:r w:rsidRPr="004D1142">
        <w:rPr>
          <w:szCs w:val="24"/>
        </w:rPr>
        <w:t xml:space="preserve"> </w:t>
      </w:r>
      <w:r>
        <w:rPr>
          <w:szCs w:val="24"/>
        </w:rPr>
        <w:t xml:space="preserve">(ICCPR) </w:t>
      </w:r>
      <w:r w:rsidRPr="004D1142">
        <w:rPr>
          <w:szCs w:val="24"/>
        </w:rPr>
        <w:t>states that ‘nothing in this article shall prejudice the trial and punishment of any person for any act or omission which, at the time when it was committed, was criminal according to the general principles of law recognised by the community of nations’.</w:t>
      </w:r>
    </w:p>
    <w:p w14:paraId="1518CEAD" w14:textId="77777777" w:rsidR="00D70983" w:rsidRDefault="00D70983" w:rsidP="00D70983">
      <w:r>
        <w:t>Article 15 (2) is also mirrored in Article 7 of the European Convention on Human Rights which states:</w:t>
      </w:r>
    </w:p>
    <w:p w14:paraId="73BD7C17" w14:textId="77777777" w:rsidR="00D70983" w:rsidRPr="00C8386C" w:rsidRDefault="00D70983" w:rsidP="00D70983">
      <w:pPr>
        <w:ind w:left="720"/>
        <w:rPr>
          <w:i/>
          <w:lang w:eastAsia="en-AU"/>
        </w:rPr>
      </w:pPr>
      <w:r w:rsidRPr="00C8386C">
        <w:rPr>
          <w:i/>
          <w:lang w:eastAsia="en-AU"/>
        </w:rPr>
        <w:t>(1) No one shall be held guilty of any criminal offence on account of any act or omission which did not constitute a criminal offence under national or international law at the time when it was committed. Nor shall a heavier penalty be imposed than the one that was applicable at the time the criminal offence was committed.</w:t>
      </w:r>
    </w:p>
    <w:p w14:paraId="474E75DE" w14:textId="77777777" w:rsidR="00D70983" w:rsidRPr="00C8386C" w:rsidRDefault="00D70983" w:rsidP="00D70983">
      <w:pPr>
        <w:ind w:left="720"/>
        <w:rPr>
          <w:i/>
          <w:lang w:eastAsia="en-AU"/>
        </w:rPr>
      </w:pPr>
      <w:r w:rsidRPr="00C8386C">
        <w:rPr>
          <w:i/>
          <w:lang w:eastAsia="en-AU"/>
        </w:rPr>
        <w:lastRenderedPageBreak/>
        <w:t>(2) This Article shall not prejudice the trial and punishment of any person for any act or omission which, at the time when it was committed, was criminal according to the general principles of law recognised by civilised norms.</w:t>
      </w:r>
    </w:p>
    <w:p w14:paraId="280C94B3" w14:textId="77777777" w:rsidR="00D70983" w:rsidRDefault="00D70983" w:rsidP="00D70983">
      <w:pPr>
        <w:spacing w:line="240" w:lineRule="auto"/>
      </w:pPr>
      <w:r>
        <w:t>Article 7 is a non-derogable right under the ECHR, however, the HR Act allows for any right to be limited.</w:t>
      </w:r>
    </w:p>
    <w:p w14:paraId="05B162B5" w14:textId="77777777" w:rsidR="00D70983" w:rsidRPr="004D1142" w:rsidRDefault="00D70983" w:rsidP="00D70983">
      <w:pPr>
        <w:spacing w:line="240" w:lineRule="auto"/>
      </w:pPr>
      <w:r w:rsidRPr="004D1142">
        <w:t xml:space="preserve">The purpose of the </w:t>
      </w:r>
      <w:r>
        <w:t>right</w:t>
      </w:r>
      <w:r w:rsidRPr="004D1142">
        <w:t xml:space="preserve"> is to protect an important element of the rule of law, that is, laws must be capable of being known in advance so that people subject to those laws can exercise choice and order their affairs accordingly. Laws should not retrospectively change legal rights and obligations, or create offences with retrospective application. The principle that a person should not be prosecuted for conduct that was not an offence at the time the conduct was committed is sometimes known as </w:t>
      </w:r>
      <w:r w:rsidRPr="004D1142">
        <w:rPr>
          <w:i/>
          <w:iCs/>
        </w:rPr>
        <w:t>nulla crimen, nulla poena sine lege</w:t>
      </w:r>
      <w:r w:rsidRPr="004D1142">
        <w:t>, or ‘no punishment without law’.</w:t>
      </w:r>
      <w:r w:rsidRPr="004D1142">
        <w:rPr>
          <w:rStyle w:val="FootnoteReference"/>
        </w:rPr>
        <w:footnoteReference w:id="52"/>
      </w:r>
    </w:p>
    <w:p w14:paraId="01247EC4" w14:textId="77777777" w:rsidR="00D70983" w:rsidRPr="00E63F10" w:rsidRDefault="00D70983" w:rsidP="00D70983">
      <w:pPr>
        <w:spacing w:line="240" w:lineRule="auto"/>
      </w:pPr>
      <w:r w:rsidRPr="004D1142">
        <w:rPr>
          <w:rFonts w:eastAsia="Times New Roman"/>
          <w:szCs w:val="24"/>
          <w:lang w:eastAsia="en-AU"/>
        </w:rPr>
        <w:t xml:space="preserve">In </w:t>
      </w:r>
      <w:r w:rsidRPr="004D1142">
        <w:rPr>
          <w:rFonts w:eastAsia="Times New Roman"/>
          <w:i/>
          <w:iCs/>
          <w:szCs w:val="24"/>
          <w:lang w:eastAsia="en-AU"/>
        </w:rPr>
        <w:t xml:space="preserve">Polyukhovich v Commonwealth </w:t>
      </w:r>
      <w:r w:rsidRPr="004D1142">
        <w:rPr>
          <w:rFonts w:eastAsia="Times New Roman"/>
          <w:szCs w:val="24"/>
          <w:lang w:eastAsia="en-AU"/>
        </w:rPr>
        <w:t>(</w:t>
      </w:r>
      <w:r w:rsidRPr="004D1142">
        <w:rPr>
          <w:rFonts w:eastAsia="Times New Roman"/>
          <w:i/>
          <w:iCs/>
          <w:szCs w:val="24"/>
          <w:lang w:eastAsia="en-AU"/>
        </w:rPr>
        <w:t>Polyukhovich</w:t>
      </w:r>
      <w:r w:rsidRPr="004D1142">
        <w:rPr>
          <w:rFonts w:eastAsia="Times New Roman"/>
          <w:szCs w:val="24"/>
          <w:lang w:eastAsia="en-AU"/>
        </w:rPr>
        <w:t xml:space="preserve">), Toohey J said: </w:t>
      </w:r>
    </w:p>
    <w:p w14:paraId="701FE3D7" w14:textId="77777777" w:rsidR="00D70983" w:rsidRPr="00E64324" w:rsidRDefault="00D70983" w:rsidP="00D70983">
      <w:pPr>
        <w:spacing w:beforeAutospacing="1" w:after="100" w:afterAutospacing="1" w:line="240" w:lineRule="auto"/>
        <w:ind w:left="720"/>
        <w:rPr>
          <w:rFonts w:eastAsia="Times New Roman"/>
          <w:sz w:val="20"/>
          <w:szCs w:val="20"/>
          <w:lang w:eastAsia="en-AU"/>
        </w:rPr>
      </w:pPr>
      <w:r w:rsidRPr="007F5BF8">
        <w:rPr>
          <w:rStyle w:val="Emphasis"/>
        </w:rPr>
        <w:t>All these general objections to retroactively applied criminal liability have their source in a fundamental notion of justice and fairness. They refer to the desire to ensure that individuals are reasonably free to maintain control of their lives by choosing to avoid conduct which will attract criminal sanction; a choice made impossible if conduct is assessed by rules made in the future.</w:t>
      </w:r>
      <w:r w:rsidRPr="00CE45E7">
        <w:rPr>
          <w:rStyle w:val="FootnoteReference"/>
          <w:rFonts w:eastAsia="Times New Roman"/>
          <w:sz w:val="20"/>
          <w:szCs w:val="20"/>
          <w:lang w:eastAsia="en-AU"/>
        </w:rPr>
        <w:footnoteReference w:id="53"/>
      </w:r>
    </w:p>
    <w:p w14:paraId="1274A99E" w14:textId="77777777" w:rsidR="00D70983" w:rsidRDefault="00D70983" w:rsidP="00D70983">
      <w:pPr>
        <w:rPr>
          <w:shd w:val="clear" w:color="auto" w:fill="FFFFFF"/>
        </w:rPr>
      </w:pPr>
      <w:r>
        <w:rPr>
          <w:shd w:val="clear" w:color="auto" w:fill="FFFFFF"/>
        </w:rPr>
        <w:t>Article 7 does not require a restrictive reading of the criminal law</w:t>
      </w:r>
      <w:r>
        <w:rPr>
          <w:rStyle w:val="FootnoteReference"/>
          <w:shd w:val="clear" w:color="auto" w:fill="FFFFFF"/>
        </w:rPr>
        <w:footnoteReference w:id="54"/>
      </w:r>
      <w:r>
        <w:rPr>
          <w:shd w:val="clear" w:color="auto" w:fill="FFFFFF"/>
        </w:rPr>
        <w:t>, and States may adopt an extensive interpretation of an offence if necessary to allow adaptation to developments of society. Any such adaptations must also be foreseeable by the citizens</w:t>
      </w:r>
      <w:r>
        <w:rPr>
          <w:rStyle w:val="FootnoteReference"/>
          <w:shd w:val="clear" w:color="auto" w:fill="FFFFFF"/>
        </w:rPr>
        <w:footnoteReference w:id="55"/>
      </w:r>
      <w:r>
        <w:rPr>
          <w:shd w:val="clear" w:color="auto" w:fill="FFFFFF"/>
        </w:rPr>
        <w:t xml:space="preserve">. In the case of </w:t>
      </w:r>
      <w:r w:rsidRPr="00C41F8E">
        <w:rPr>
          <w:i/>
          <w:shd w:val="clear" w:color="auto" w:fill="FFFFFF"/>
        </w:rPr>
        <w:t>SW v United Kingdom</w:t>
      </w:r>
      <w:r>
        <w:rPr>
          <w:shd w:val="clear" w:color="auto" w:fill="FFFFFF"/>
        </w:rPr>
        <w:t>, the ECHR considered issues of retrospectivity in relation to marital rape, based on a common law principle which also originated from Sir Hale. In that case, the applicant argued that he could not be convicted of an offence of marital rape in light of Sir Hale’s common law principle that a husband ‘cannot be guilty of rape committed by himself upon his lawful wife’ due to the ‘matrimonial consent’ that the wife ‘cannot retract’</w:t>
      </w:r>
      <w:r>
        <w:rPr>
          <w:rStyle w:val="FootnoteReference"/>
          <w:shd w:val="clear" w:color="auto" w:fill="FFFFFF"/>
        </w:rPr>
        <w:footnoteReference w:id="56"/>
      </w:r>
      <w:r>
        <w:rPr>
          <w:shd w:val="clear" w:color="auto" w:fill="FFFFFF"/>
        </w:rPr>
        <w:t>. The applicant argued that at the time of the commission of the offence, there was still an exception at common law in the criminal law. The ECHR noted that</w:t>
      </w:r>
      <w:r>
        <w:rPr>
          <w:rStyle w:val="FootnoteReference"/>
          <w:shd w:val="clear" w:color="auto" w:fill="FFFFFF"/>
        </w:rPr>
        <w:footnoteReference w:id="57"/>
      </w:r>
      <w:r>
        <w:rPr>
          <w:shd w:val="clear" w:color="auto" w:fill="FFFFFF"/>
        </w:rPr>
        <w:t>:</w:t>
      </w:r>
    </w:p>
    <w:p w14:paraId="209BD0D1" w14:textId="77777777" w:rsidR="00D70983" w:rsidRPr="00F20043" w:rsidRDefault="00D70983" w:rsidP="00D70983">
      <w:pPr>
        <w:ind w:left="720"/>
        <w:rPr>
          <w:i/>
          <w:sz w:val="23"/>
          <w:szCs w:val="23"/>
        </w:rPr>
      </w:pPr>
      <w:r w:rsidRPr="00F20043">
        <w:rPr>
          <w:i/>
        </w:rPr>
        <w:t xml:space="preserve">It is to be observed that a crucial issue in the judgment of the Court of Appeal in R. v. R. </w:t>
      </w:r>
      <w:r>
        <w:rPr>
          <w:i/>
        </w:rPr>
        <w:t>…</w:t>
      </w:r>
      <w:r w:rsidRPr="00F20043">
        <w:rPr>
          <w:i/>
        </w:rPr>
        <w:t xml:space="preserve"> related to the definition of rape in section 1 (1) (a) of the 1976 Act: "unlawful sexual intercourse with a woman who at the time of the intercourse does not consent to it". The question was whether "removal" of the marital immunity would conflict with the statutory definition of rape, in particular whether it would be prevented by the word “unlawful”.</w:t>
      </w:r>
      <w:r w:rsidRPr="00F20043">
        <w:rPr>
          <w:i/>
          <w:sz w:val="23"/>
          <w:szCs w:val="23"/>
        </w:rPr>
        <w:t xml:space="preserve"> </w:t>
      </w:r>
    </w:p>
    <w:p w14:paraId="14A6A12B" w14:textId="77777777" w:rsidR="00D70983" w:rsidRDefault="00D70983" w:rsidP="00D70983">
      <w:pPr>
        <w:rPr>
          <w:sz w:val="23"/>
          <w:szCs w:val="23"/>
        </w:rPr>
      </w:pPr>
      <w:r>
        <w:rPr>
          <w:sz w:val="23"/>
          <w:szCs w:val="23"/>
        </w:rPr>
        <w:lastRenderedPageBreak/>
        <w:t>The ECHR found that (emphasis added)</w:t>
      </w:r>
      <w:r>
        <w:rPr>
          <w:rStyle w:val="FootnoteReference"/>
          <w:sz w:val="23"/>
          <w:szCs w:val="23"/>
        </w:rPr>
        <w:footnoteReference w:id="58"/>
      </w:r>
      <w:r>
        <w:rPr>
          <w:sz w:val="23"/>
          <w:szCs w:val="23"/>
        </w:rPr>
        <w:t>:</w:t>
      </w:r>
    </w:p>
    <w:p w14:paraId="5781ADC9" w14:textId="77777777" w:rsidR="00D70983" w:rsidRPr="006E19FC" w:rsidRDefault="00D70983" w:rsidP="00D70983">
      <w:pPr>
        <w:ind w:left="720"/>
        <w:rPr>
          <w:i/>
          <w:shd w:val="clear" w:color="auto" w:fill="FFFFFF"/>
        </w:rPr>
      </w:pPr>
      <w:r w:rsidRPr="006E19FC">
        <w:rPr>
          <w:i/>
          <w:shd w:val="clear" w:color="auto" w:fill="FFFFFF"/>
        </w:rPr>
        <w:t xml:space="preserve"> …the word “unlawful” in the definition of rape was merely surplusage and did not inhibit [the removal of] </w:t>
      </w:r>
      <w:r w:rsidRPr="00F20043">
        <w:rPr>
          <w:b/>
          <w:i/>
          <w:shd w:val="clear" w:color="auto" w:fill="FFFFFF"/>
        </w:rPr>
        <w:t>a common law fiction which had become anachronistic and offensive</w:t>
      </w:r>
      <w:r w:rsidRPr="006E19FC">
        <w:rPr>
          <w:i/>
          <w:shd w:val="clear" w:color="auto" w:fill="FFFFFF"/>
        </w:rPr>
        <w:t xml:space="preserve"> and from declaring that that a rapist remains a rapist subject to the criminal law, irrespective of his relationship with his victim.</w:t>
      </w:r>
    </w:p>
    <w:p w14:paraId="24F4D695" w14:textId="77777777" w:rsidR="00D70983" w:rsidRDefault="00D70983" w:rsidP="00D70983">
      <w:pPr>
        <w:rPr>
          <w:shd w:val="clear" w:color="auto" w:fill="FFFFFF"/>
        </w:rPr>
      </w:pPr>
      <w:r>
        <w:rPr>
          <w:shd w:val="clear" w:color="auto" w:fill="FFFFFF"/>
        </w:rPr>
        <w:t>The Court went on to state that (emphasis added)</w:t>
      </w:r>
      <w:r>
        <w:rPr>
          <w:rStyle w:val="FootnoteReference"/>
          <w:shd w:val="clear" w:color="auto" w:fill="FFFFFF"/>
        </w:rPr>
        <w:footnoteReference w:id="59"/>
      </w:r>
      <w:r>
        <w:rPr>
          <w:shd w:val="clear" w:color="auto" w:fill="FFFFFF"/>
        </w:rPr>
        <w:t>:</w:t>
      </w:r>
    </w:p>
    <w:p w14:paraId="5FD8CE72" w14:textId="77777777" w:rsidR="00D70983" w:rsidRPr="006E19FC" w:rsidRDefault="00D70983" w:rsidP="00D70983">
      <w:pPr>
        <w:ind w:left="720"/>
        <w:rPr>
          <w:i/>
          <w:shd w:val="clear" w:color="auto" w:fill="FFFFFF"/>
        </w:rPr>
      </w:pPr>
      <w:r w:rsidRPr="006E19FC">
        <w:rPr>
          <w:i/>
          <w:shd w:val="clear" w:color="auto" w:fill="FFFFFF"/>
        </w:rPr>
        <w:t xml:space="preserve">The essentially debasing character of rape is so manifest that the </w:t>
      </w:r>
      <w:r w:rsidRPr="006E19FC">
        <w:rPr>
          <w:i/>
        </w:rPr>
        <w:t xml:space="preserve">result of the decisions of the Court of Appeal and the House of Lords - that the applicant could be convicted of attempted rape, irrespective of his relationship with the victim - </w:t>
      </w:r>
      <w:r w:rsidRPr="006E19FC">
        <w:rPr>
          <w:b/>
          <w:i/>
        </w:rPr>
        <w:t>cannot be said to be at variance with the object and purpose of Article 7 (art. 7) of the Convention</w:t>
      </w:r>
      <w:r w:rsidRPr="006E19FC">
        <w:rPr>
          <w:i/>
        </w:rPr>
        <w:t xml:space="preserve">, namely to ensure that no one should be subjected to arbitrary prosecution, conviction or punishment (see paragraph 34 above). What is more, </w:t>
      </w:r>
      <w:r w:rsidRPr="006E19FC">
        <w:rPr>
          <w:b/>
          <w:i/>
        </w:rPr>
        <w:t>the abandonment of the unacceptable idea of a husband being immune against prosecution for rape of his wife was in conformity</w:t>
      </w:r>
      <w:r w:rsidRPr="006E19FC">
        <w:rPr>
          <w:i/>
        </w:rPr>
        <w:t xml:space="preserve"> not only with a civilised concept of marriage but also, and above all, </w:t>
      </w:r>
      <w:r w:rsidRPr="006E19FC">
        <w:rPr>
          <w:b/>
          <w:i/>
        </w:rPr>
        <w:t>with the fundamental objectives of the Convention, the very essence of which is respect for human dignity and human freedom</w:t>
      </w:r>
      <w:r w:rsidRPr="006E19FC">
        <w:rPr>
          <w:i/>
        </w:rPr>
        <w:t>.</w:t>
      </w:r>
    </w:p>
    <w:p w14:paraId="1B74CDB9" w14:textId="77777777" w:rsidR="00D70983" w:rsidRDefault="00D70983" w:rsidP="00D70983">
      <w:pPr>
        <w:rPr>
          <w:shd w:val="clear" w:color="auto" w:fill="FFFFFF"/>
        </w:rPr>
      </w:pPr>
      <w:r>
        <w:rPr>
          <w:shd w:val="clear" w:color="auto" w:fill="FFFFFF"/>
        </w:rPr>
        <w:t>The Court ultimately found that, despite the existence of a common law immunity proposed by Sir Hale, the applicant could not escape conviction of an offence in 1990, and that his sentence in contravention of the common law immunity “did not give rise to a violation of the applicant’s rights under Article 7 para. 1 (art. 7-1) of the Convention”</w:t>
      </w:r>
      <w:r>
        <w:rPr>
          <w:rStyle w:val="FootnoteReference"/>
          <w:shd w:val="clear" w:color="auto" w:fill="FFFFFF"/>
        </w:rPr>
        <w:footnoteReference w:id="60"/>
      </w:r>
      <w:r>
        <w:rPr>
          <w:shd w:val="clear" w:color="auto" w:fill="FFFFFF"/>
        </w:rPr>
        <w:t>.</w:t>
      </w:r>
    </w:p>
    <w:p w14:paraId="6B04F1AB" w14:textId="77777777" w:rsidR="00D70983" w:rsidRPr="00FA668A" w:rsidRDefault="00D70983" w:rsidP="00D70983">
      <w:pPr>
        <w:keepNext/>
      </w:pPr>
      <w:r w:rsidRPr="00A511E0">
        <w:rPr>
          <w:b/>
        </w:rPr>
        <w:t>The purpose of the limitation (s 28 (2) (b))</w:t>
      </w:r>
      <w:r>
        <w:rPr>
          <w:b/>
        </w:rPr>
        <w:t xml:space="preserve"> and the n</w:t>
      </w:r>
      <w:r w:rsidRPr="00FA668A">
        <w:rPr>
          <w:b/>
        </w:rPr>
        <w:t>ature and extent of the limitation (s 28 (2) (c))</w:t>
      </w:r>
    </w:p>
    <w:p w14:paraId="2ED244EF" w14:textId="77777777" w:rsidR="00D70983" w:rsidRDefault="00D70983" w:rsidP="00D70983">
      <w:r>
        <w:t>T</w:t>
      </w:r>
      <w:r w:rsidRPr="00A511E0">
        <w:t xml:space="preserve">he amendment at clause </w:t>
      </w:r>
      <w:r>
        <w:t>5</w:t>
      </w:r>
      <w:r w:rsidRPr="00A511E0">
        <w:t xml:space="preserve"> of the Bill</w:t>
      </w:r>
      <w:r>
        <w:t xml:space="preserve"> substitutes s 56</w:t>
      </w:r>
      <w:r w:rsidRPr="00FA668A">
        <w:t xml:space="preserve"> of the </w:t>
      </w:r>
      <w:r w:rsidRPr="00FA668A">
        <w:rPr>
          <w:i/>
        </w:rPr>
        <w:t xml:space="preserve">Crimes Act 1900 </w:t>
      </w:r>
      <w:r w:rsidRPr="00FA668A">
        <w:t>(Crimes Act)</w:t>
      </w:r>
      <w:r>
        <w:t xml:space="preserve">, and retains an existing provision in that section that </w:t>
      </w:r>
      <w:r w:rsidRPr="007B6ED9">
        <w:t xml:space="preserve">allows a charge under section 56 to be laid where the sexual relationship was </w:t>
      </w:r>
      <w:r>
        <w:t>engag</w:t>
      </w:r>
      <w:r w:rsidRPr="007B6ED9">
        <w:t xml:space="preserve">ed </w:t>
      </w:r>
      <w:r>
        <w:t xml:space="preserve">in </w:t>
      </w:r>
      <w:r w:rsidRPr="007B6ED9">
        <w:t>before the amendment day (the day the Act commences).</w:t>
      </w:r>
      <w:r w:rsidRPr="00A511E0">
        <w:t xml:space="preserve"> </w:t>
      </w:r>
    </w:p>
    <w:p w14:paraId="53AB5034" w14:textId="77777777" w:rsidR="00D70983" w:rsidRDefault="00D70983" w:rsidP="00D70983">
      <w:r w:rsidRPr="007B6ED9">
        <w:t xml:space="preserve">The offence of maintaining a relationship with a young person was </w:t>
      </w:r>
      <w:r>
        <w:t xml:space="preserve">originally </w:t>
      </w:r>
      <w:r w:rsidRPr="007B6ED9">
        <w:t>introduced in 1991.</w:t>
      </w:r>
      <w:r>
        <w:rPr>
          <w:rStyle w:val="FootnoteReference"/>
        </w:rPr>
        <w:footnoteReference w:id="61"/>
      </w:r>
      <w:r w:rsidRPr="007B6ED9">
        <w:t xml:space="preserve"> This offence allowed a prosecution to proceed in cases where there is evidence of a course of persistent </w:t>
      </w:r>
      <w:r>
        <w:t>sexual activity</w:t>
      </w:r>
      <w:r w:rsidRPr="007B6ED9">
        <w:t xml:space="preserve"> over time, but the evidence lacked the particularity required to permit individual charges to be laid for each of the separate criminal acts. Under this provision, an adult was taken to have maintained a sexual relationship with a young person if the adult has engaged in a sexual act in relation to the young person on three or more occasions.</w:t>
      </w:r>
      <w:r>
        <w:rPr>
          <w:rStyle w:val="FootnoteReference"/>
        </w:rPr>
        <w:footnoteReference w:id="62"/>
      </w:r>
    </w:p>
    <w:p w14:paraId="6E30AA63" w14:textId="4EF86D63" w:rsidR="00D70983" w:rsidRDefault="00D70983" w:rsidP="00D70983">
      <w:r w:rsidRPr="007B6ED9">
        <w:lastRenderedPageBreak/>
        <w:t>The substituted section 56 provides that th</w:t>
      </w:r>
      <w:r>
        <w:t xml:space="preserve">e </w:t>
      </w:r>
      <w:r w:rsidRPr="007B6ED9">
        <w:t>relationship, rather than individual sexual acts, constitutes the actus reus for the offence. Section 56(</w:t>
      </w:r>
      <w:r>
        <w:t>2</w:t>
      </w:r>
      <w:r w:rsidRPr="007B6ED9">
        <w:t xml:space="preserve">) allows a charge under section 56 to be laid where the relationship was </w:t>
      </w:r>
      <w:r>
        <w:t>engaged in</w:t>
      </w:r>
      <w:r w:rsidRPr="007B6ED9">
        <w:t xml:space="preserve"> before the amendment day (the day the Act commences). </w:t>
      </w:r>
      <w:r>
        <w:t xml:space="preserve">This provision has been retained from the amended section 56 that was introduced by the </w:t>
      </w:r>
      <w:bookmarkStart w:id="33" w:name="_Hlk37941161"/>
      <w:r w:rsidRPr="00FF0EB3">
        <w:rPr>
          <w:i/>
          <w:iCs/>
        </w:rPr>
        <w:t>Crimes Legislation Amendment Act 2018</w:t>
      </w:r>
      <w:bookmarkEnd w:id="33"/>
      <w:r>
        <w:t xml:space="preserve">.  </w:t>
      </w:r>
      <w:r w:rsidRPr="007B6ED9">
        <w:t>The prosecution must prove that the accused engaged in</w:t>
      </w:r>
      <w:r>
        <w:t xml:space="preserve"> more than one</w:t>
      </w:r>
      <w:r w:rsidRPr="007B6ED9">
        <w:t xml:space="preserve"> sexual act with a young person or person under their special care </w:t>
      </w:r>
      <w:r>
        <w:t>over any period in the relationship</w:t>
      </w:r>
      <w:r w:rsidRPr="007B6ED9">
        <w:t xml:space="preserve">. A sexual act includes all sexual offences and conduct that is substantially similar to an act that constitutes an offence.  </w:t>
      </w:r>
    </w:p>
    <w:p w14:paraId="5C058D73" w14:textId="77777777" w:rsidR="00D70983" w:rsidRDefault="00D70983" w:rsidP="00D70983">
      <w:r w:rsidRPr="007B6ED9">
        <w:t xml:space="preserve">The definition also clarifies that a sexual act does not include an offence against section 55(2) (Sexual intercourse with young person) or section 61(2) (Act of indecency with young person) if the person who committed the act establishes the available defence for consenting young people. The defendant must prove that at the time of the offence he or she believed on reasonable grounds that the complainant was 16 years or above or at the time of the offence the complainant was between 10 and 16 years old and the complainant was in fact not more than two years younger than the defendant. In addition, the defendant must prove the complainant consented to the sexual conduct.  </w:t>
      </w:r>
    </w:p>
    <w:p w14:paraId="5C106DC9" w14:textId="1F37B612" w:rsidR="00D70983" w:rsidRPr="003677BE" w:rsidRDefault="00D70983" w:rsidP="00D70983">
      <w:r w:rsidRPr="007B6ED9">
        <w:t>The substituted section 56 permitting charges to be laid retrospectively</w:t>
      </w:r>
      <w:r w:rsidR="0075388F">
        <w:t xml:space="preserve"> (</w:t>
      </w:r>
      <w:r w:rsidR="00297919">
        <w:t xml:space="preserve">retained from </w:t>
      </w:r>
      <w:r w:rsidR="0075388F">
        <w:t>the existing section 56)</w:t>
      </w:r>
      <w:r w:rsidRPr="007B6ED9">
        <w:t xml:space="preserve"> does not offend section 25 of the HRA, as it does not seek to criminalise conduct that was previously legal. The offence applies only to conduct that was unlawful at the time it was committed, and the amendment only affects the way in which it can be charged.</w:t>
      </w:r>
      <w:r w:rsidR="00933118">
        <w:t xml:space="preserve"> </w:t>
      </w:r>
      <w:r w:rsidRPr="003677BE">
        <w:t>The maximum penalties applicable under the original section 56</w:t>
      </w:r>
      <w:r w:rsidR="00982C36" w:rsidRPr="003677BE">
        <w:t xml:space="preserve"> (that is prior to the changes made by the</w:t>
      </w:r>
      <w:r w:rsidR="00982C36" w:rsidRPr="003677BE">
        <w:rPr>
          <w:i/>
          <w:iCs/>
        </w:rPr>
        <w:t xml:space="preserve"> Crimes Legislation Amendment Act 2018)</w:t>
      </w:r>
      <w:r w:rsidR="00982C36" w:rsidRPr="003677BE">
        <w:t xml:space="preserve"> </w:t>
      </w:r>
      <w:r w:rsidRPr="003677BE">
        <w:t xml:space="preserve">are as follows: </w:t>
      </w:r>
    </w:p>
    <w:p w14:paraId="7D509F44" w14:textId="77777777" w:rsidR="00D70983" w:rsidRPr="003677BE" w:rsidRDefault="00D70983" w:rsidP="00D70983">
      <w:pPr>
        <w:pStyle w:val="ListParagraph"/>
        <w:numPr>
          <w:ilvl w:val="0"/>
          <w:numId w:val="38"/>
        </w:numPr>
      </w:pPr>
      <w:r w:rsidRPr="003677BE">
        <w:t xml:space="preserve">7 years imprisonment – if a person is convicted of an offence under section 56(2); </w:t>
      </w:r>
    </w:p>
    <w:p w14:paraId="18FAFF72" w14:textId="77777777" w:rsidR="00D70983" w:rsidRPr="003677BE" w:rsidRDefault="00D70983" w:rsidP="00D70983">
      <w:pPr>
        <w:pStyle w:val="ListParagraph"/>
        <w:numPr>
          <w:ilvl w:val="0"/>
          <w:numId w:val="38"/>
        </w:numPr>
      </w:pPr>
      <w:r w:rsidRPr="003677BE">
        <w:t>14 years imprisonment - if a person convicted of an offence is found to have committed another sexual offence and that other offence is punishable by imprisonment for less than 14 years; and</w:t>
      </w:r>
    </w:p>
    <w:p w14:paraId="7026891C" w14:textId="77777777" w:rsidR="00D70983" w:rsidRPr="003677BE" w:rsidRDefault="00D70983" w:rsidP="00D70983">
      <w:pPr>
        <w:pStyle w:val="ListParagraph"/>
        <w:numPr>
          <w:ilvl w:val="0"/>
          <w:numId w:val="38"/>
        </w:numPr>
      </w:pPr>
      <w:r w:rsidRPr="003677BE">
        <w:t xml:space="preserve">Life imprisonment - if a person convicted of an offence is found to have committed another sexual offence and that other offence is punishable by imprisonment for more than 14 years. </w:t>
      </w:r>
    </w:p>
    <w:p w14:paraId="1166E911" w14:textId="75934748" w:rsidR="00D70983" w:rsidRDefault="00D70983" w:rsidP="00D70983">
      <w:r w:rsidRPr="003677BE">
        <w:t>Offences that are punishable by imprisonment for more than 14 years include section 55 (sexual intercourse with a young person) and section 62 (Incest and similar offences). The substituted section 56(1)</w:t>
      </w:r>
      <w:r w:rsidR="00982C36" w:rsidRPr="003677BE">
        <w:t xml:space="preserve">, consistent with the amendment made by the </w:t>
      </w:r>
      <w:r w:rsidR="00982C36" w:rsidRPr="003677BE">
        <w:rPr>
          <w:i/>
          <w:iCs/>
        </w:rPr>
        <w:t xml:space="preserve">Crimes Legislation Amendment Act 2018, </w:t>
      </w:r>
      <w:r w:rsidRPr="003677BE">
        <w:t>provides that the maximum penalty is 25 years imprisonment.</w:t>
      </w:r>
      <w:r w:rsidRPr="007B15F1">
        <w:t xml:space="preserve"> </w:t>
      </w:r>
    </w:p>
    <w:p w14:paraId="2E65A622" w14:textId="60559AF9" w:rsidR="00D70983" w:rsidRPr="00A511E0" w:rsidRDefault="003211BD">
      <w:bookmarkStart w:id="34" w:name="_Hlk38954761"/>
      <w:r>
        <w:t>However, t</w:t>
      </w:r>
      <w:r w:rsidR="00D70983" w:rsidRPr="007B15F1">
        <w:t>he substituted section 56 permitting charges to be laid retrospectively does not offend s</w:t>
      </w:r>
      <w:r w:rsidR="00D70983">
        <w:t xml:space="preserve"> </w:t>
      </w:r>
      <w:r w:rsidR="00D70983" w:rsidRPr="007B15F1">
        <w:t>25 of the HR</w:t>
      </w:r>
      <w:r>
        <w:t xml:space="preserve"> Act.  S</w:t>
      </w:r>
      <w:r w:rsidR="00D70983" w:rsidRPr="007B15F1">
        <w:t>ection 56(</w:t>
      </w:r>
      <w:r w:rsidR="00D70983">
        <w:t>6</w:t>
      </w:r>
      <w:r w:rsidR="00D70983" w:rsidRPr="007B15F1">
        <w:t xml:space="preserve">) provides that where the offence occurred wholly or in part before the amendment day, </w:t>
      </w:r>
      <w:r w:rsidR="00D70983">
        <w:t xml:space="preserve">while the maximum penalty is that in section 56(1), </w:t>
      </w:r>
      <w:r>
        <w:t xml:space="preserve">the </w:t>
      </w:r>
      <w:r>
        <w:lastRenderedPageBreak/>
        <w:t>sentence imposed must not exceed given penalties, which reflect relevant maximum penalties of the time the offence occurred.</w:t>
      </w:r>
    </w:p>
    <w:bookmarkEnd w:id="34"/>
    <w:p w14:paraId="0CA339C0" w14:textId="77777777" w:rsidR="00D70983" w:rsidRPr="003669C4" w:rsidRDefault="00D70983" w:rsidP="00D70983">
      <w:r w:rsidRPr="003669C4">
        <w:rPr>
          <w:b/>
        </w:rPr>
        <w:t>Relationship between the limitation and its purpose (s 28 (2) (d))</w:t>
      </w:r>
    </w:p>
    <w:p w14:paraId="6CEB3498" w14:textId="35E3D5D6" w:rsidR="00D70983" w:rsidRDefault="00D70983" w:rsidP="00D70983">
      <w:bookmarkStart w:id="35" w:name="_Hlk38954685"/>
      <w:r w:rsidRPr="007B15F1">
        <w:t xml:space="preserve">The purpose of the </w:t>
      </w:r>
      <w:r w:rsidR="00D50824">
        <w:t>right</w:t>
      </w:r>
      <w:r w:rsidRPr="007B15F1">
        <w:t xml:space="preserve"> is to protect an important element of the rule of law, that is, laws must be capable of being known in advance so that people subject to those laws can exercise choice and order their affairs accordingly. Laws should not retrospectively change legal rights and obligations, or create offences with retrospective application. The principle that a person should not be prosecuted for conduct that was not an offence at the time the conduct was committed is sometimes known as </w:t>
      </w:r>
      <w:r w:rsidRPr="00FF0EB3">
        <w:rPr>
          <w:i/>
          <w:iCs/>
        </w:rPr>
        <w:t>nulla crimen, nulla poena sine lege</w:t>
      </w:r>
      <w:r w:rsidRPr="007B15F1">
        <w:t>, or ‘no punishment without law’.</w:t>
      </w:r>
      <w:r>
        <w:rPr>
          <w:rStyle w:val="FootnoteReference"/>
        </w:rPr>
        <w:footnoteReference w:id="63"/>
      </w:r>
    </w:p>
    <w:p w14:paraId="164D8DC1" w14:textId="77777777" w:rsidR="00D70983" w:rsidRDefault="00D70983" w:rsidP="00D70983">
      <w:r w:rsidRPr="007B15F1">
        <w:t xml:space="preserve">The purpose of the retrospective application of section 56 is very important as it improves access to justice for survivors of child sexual abuse. When first introduced, </w:t>
      </w:r>
      <w:r w:rsidRPr="003677BE">
        <w:t>section 56</w:t>
      </w:r>
      <w:r w:rsidRPr="007B15F1">
        <w:t xml:space="preserve"> operated prospectively and did not capture sexual offending that occurred before the offence commenced. This is problematic given sexual abuse is often not reported for years, even decades, after it has occurred.</w:t>
      </w:r>
      <w:r>
        <w:rPr>
          <w:rStyle w:val="FootnoteReference"/>
        </w:rPr>
        <w:footnoteReference w:id="64"/>
      </w:r>
    </w:p>
    <w:p w14:paraId="3843D332" w14:textId="2B895F36" w:rsidR="00D70983" w:rsidRDefault="00D70983" w:rsidP="00D70983">
      <w:r w:rsidRPr="007B15F1">
        <w:t xml:space="preserve">The Royal Commission found that it takes on average </w:t>
      </w:r>
      <w:r w:rsidR="00516721" w:rsidRPr="00516721">
        <w:rPr>
          <w:lang w:eastAsia="en-AU"/>
        </w:rPr>
        <w:t xml:space="preserve">31.9 </w:t>
      </w:r>
      <w:r w:rsidR="00516721">
        <w:rPr>
          <w:lang w:eastAsia="en-AU"/>
        </w:rPr>
        <w:t xml:space="preserve"> years </w:t>
      </w:r>
      <w:r w:rsidRPr="007B15F1">
        <w:t>to disclose the abuse.</w:t>
      </w:r>
      <w:r>
        <w:rPr>
          <w:rStyle w:val="FootnoteReference"/>
        </w:rPr>
        <w:footnoteReference w:id="65"/>
      </w:r>
      <w:r w:rsidRPr="007B15F1">
        <w:t xml:space="preserve"> Delay is a ‘typical, rather than an aberrant, feature of child sexual abuse’.</w:t>
      </w:r>
      <w:r>
        <w:rPr>
          <w:rStyle w:val="FootnoteReference"/>
        </w:rPr>
        <w:footnoteReference w:id="66"/>
      </w:r>
      <w:r>
        <w:t xml:space="preserve"> </w:t>
      </w:r>
      <w:r w:rsidRPr="007B15F1">
        <w:t>The delay in complaint is frequently even longer if the abuse occurred in an institutional context or was committed by a person in authority.</w:t>
      </w:r>
      <w:r>
        <w:rPr>
          <w:rStyle w:val="FootnoteReference"/>
        </w:rPr>
        <w:footnoteReference w:id="67"/>
      </w:r>
    </w:p>
    <w:bookmarkEnd w:id="35"/>
    <w:p w14:paraId="1D09F3D7" w14:textId="77777777" w:rsidR="00D70983" w:rsidRDefault="00D70983" w:rsidP="00D70983">
      <w:r w:rsidRPr="00571C2E">
        <w:t xml:space="preserve">The Royal Commission notes that: </w:t>
      </w:r>
    </w:p>
    <w:p w14:paraId="21DC4E4F" w14:textId="6CDBD650" w:rsidR="00D70983" w:rsidRDefault="00D70983" w:rsidP="00D70983">
      <w:pPr>
        <w:ind w:left="720"/>
      </w:pPr>
      <w:r w:rsidRPr="00571C2E">
        <w:t>Many children  who  are  subjected  to  repeated  occasions  of  child  sexual  abuse  in  similar  circumstances  are  unlikely  to  be  able  to  distinguish  the  particular  occasions  of  abuse  from  each other. Many children may have composite memories of repeated occasions of abuse and may recall  events  and  give  evidence  in  that  form.  Even  as  adults,  survivors  may  be  in  no  better position to distinguish particular occasions of abuse from each other than they were as children. These circumstances are features of this type of abuse rather than any indication that the account that the victim or survivor has given is untrue or unreliable.</w:t>
      </w:r>
      <w:r>
        <w:rPr>
          <w:rStyle w:val="FootnoteReference"/>
        </w:rPr>
        <w:footnoteReference w:id="68"/>
      </w:r>
    </w:p>
    <w:p w14:paraId="1BB4DFF4" w14:textId="77777777" w:rsidR="00D70983" w:rsidRPr="003669C4" w:rsidRDefault="00D70983" w:rsidP="00D70983">
      <w:r w:rsidRPr="003669C4">
        <w:rPr>
          <w:b/>
        </w:rPr>
        <w:lastRenderedPageBreak/>
        <w:t>Any less restrictive means reasonably available to achieve the purpose (s 28 (2) (e))</w:t>
      </w:r>
    </w:p>
    <w:p w14:paraId="05005069" w14:textId="7F180937" w:rsidR="00D70983" w:rsidRDefault="00D70983" w:rsidP="00D70983">
      <w:r w:rsidRPr="00571C2E">
        <w:t xml:space="preserve">As identified by the Royal Commission, the retrospective application of this provision is necessary to achieving the purpose of improving access to justice for survivors of child sexual abuse. The amendment to section 56 permitting charges to be laid retrospectively does not offend section 25 of the HRA, as it does not seek to criminalise conduct that was previously legal. Depending </w:t>
      </w:r>
      <w:r w:rsidRPr="003677BE">
        <w:t>on the circumstances of the offending, the maximum penalty will be higher than the maximum penalty available under the original provision and in others it will be less. However, on sentencing, regard is to be had to relevant lower statutory maximum penalties</w:t>
      </w:r>
      <w:r w:rsidRPr="00571C2E">
        <w:t xml:space="preserve"> if the offence is charged with retrospective application.  </w:t>
      </w:r>
    </w:p>
    <w:p w14:paraId="78198B88" w14:textId="77777777" w:rsidR="00D70983" w:rsidRPr="00A511E0" w:rsidRDefault="00D70983" w:rsidP="00D70983">
      <w:bookmarkStart w:id="36" w:name="_Hlk38954737"/>
      <w:r w:rsidRPr="00571C2E">
        <w:t>There are no other avenues to achieve the purpose which are less restrictive. The Royal Commission stated that the retrospective operation of retrospective persistent child abuse offences in South Australia or Tasmania had not appeared to result in unfairness to an accused.</w:t>
      </w:r>
      <w:r>
        <w:rPr>
          <w:rStyle w:val="FootnoteReference"/>
        </w:rPr>
        <w:footnoteReference w:id="69"/>
      </w:r>
      <w:r w:rsidRPr="00A511E0">
        <w:t xml:space="preserve"> </w:t>
      </w:r>
    </w:p>
    <w:bookmarkEnd w:id="36"/>
    <w:p w14:paraId="636142BA" w14:textId="0D83D15D" w:rsidR="006C078D" w:rsidRDefault="006C078D">
      <w:pPr>
        <w:spacing w:after="160" w:line="259" w:lineRule="auto"/>
        <w:jc w:val="left"/>
        <w:rPr>
          <w:bCs/>
          <w:i/>
          <w:iCs/>
          <w:szCs w:val="24"/>
          <w:u w:val="single"/>
        </w:rPr>
      </w:pPr>
      <w:r>
        <w:rPr>
          <w:bCs/>
          <w:i/>
          <w:iCs/>
          <w:szCs w:val="24"/>
          <w:u w:val="single"/>
        </w:rPr>
        <w:br w:type="page"/>
      </w:r>
    </w:p>
    <w:p w14:paraId="43523C91" w14:textId="0A812970" w:rsidR="006C078D" w:rsidRPr="00B55BED" w:rsidRDefault="006C078D" w:rsidP="006C078D">
      <w:pPr>
        <w:jc w:val="center"/>
        <w:rPr>
          <w:rFonts w:asciiTheme="minorHAnsi" w:hAnsiTheme="minorHAnsi" w:cstheme="minorHAnsi"/>
          <w:i/>
          <w:iCs/>
          <w:sz w:val="32"/>
          <w:szCs w:val="32"/>
        </w:rPr>
      </w:pPr>
      <w:r>
        <w:rPr>
          <w:rFonts w:asciiTheme="minorHAnsi" w:hAnsiTheme="minorHAnsi" w:cstheme="minorHAnsi"/>
          <w:sz w:val="28"/>
          <w:szCs w:val="24"/>
        </w:rPr>
        <w:lastRenderedPageBreak/>
        <w:t>Royal Commission Criminal Justice Legislation Amendment Bill 2020</w:t>
      </w:r>
    </w:p>
    <w:p w14:paraId="44EA5679" w14:textId="77777777" w:rsidR="006C078D" w:rsidRPr="003E5EE6" w:rsidRDefault="006C078D" w:rsidP="006C078D">
      <w:pPr>
        <w:pStyle w:val="Heading4"/>
        <w:ind w:left="-108"/>
        <w:jc w:val="center"/>
        <w:rPr>
          <w:rFonts w:asciiTheme="minorHAnsi" w:hAnsiTheme="minorHAnsi"/>
        </w:rPr>
      </w:pPr>
      <w:r w:rsidRPr="003E5EE6">
        <w:rPr>
          <w:rFonts w:asciiTheme="minorHAnsi" w:hAnsiTheme="minorHAnsi"/>
        </w:rPr>
        <w:t>Human Rights Act 2004 - Compatibility Statement</w:t>
      </w:r>
    </w:p>
    <w:p w14:paraId="6D044AF4" w14:textId="77777777" w:rsidR="006C078D" w:rsidRDefault="006C078D" w:rsidP="006C078D"/>
    <w:p w14:paraId="58BC5B2A" w14:textId="77777777" w:rsidR="006C078D" w:rsidRPr="00D77995" w:rsidRDefault="006C078D" w:rsidP="006C078D"/>
    <w:p w14:paraId="4D024315" w14:textId="7F24D421" w:rsidR="006C078D" w:rsidRDefault="006C078D" w:rsidP="006C078D">
      <w:r w:rsidRPr="00521950">
        <w:rPr>
          <w:rFonts w:asciiTheme="minorHAnsi" w:hAnsiTheme="minorHAnsi"/>
        </w:rPr>
        <w:t xml:space="preserve">In accordance with section 37 of the </w:t>
      </w:r>
      <w:r w:rsidRPr="00521950">
        <w:rPr>
          <w:rFonts w:asciiTheme="minorHAnsi" w:hAnsiTheme="minorHAnsi"/>
          <w:i/>
          <w:iCs/>
        </w:rPr>
        <w:t>Human Rights Act 2004</w:t>
      </w:r>
      <w:r w:rsidRPr="00521950">
        <w:rPr>
          <w:rFonts w:asciiTheme="minorHAnsi" w:hAnsiTheme="minorHAnsi"/>
        </w:rPr>
        <w:t xml:space="preserve"> I have examined the</w:t>
      </w:r>
      <w:r>
        <w:rPr>
          <w:b/>
          <w:bCs/>
          <w:caps/>
          <w:szCs w:val="24"/>
        </w:rPr>
        <w:t xml:space="preserve"> </w:t>
      </w:r>
      <w:r>
        <w:rPr>
          <w:rFonts w:asciiTheme="minorHAnsi" w:hAnsiTheme="minorHAnsi" w:cstheme="minorHAnsi"/>
          <w:b/>
          <w:bCs/>
          <w:iCs/>
          <w:szCs w:val="24"/>
        </w:rPr>
        <w:t>Royal Commission Criminal Justice Legislation Amendment Bill 2020</w:t>
      </w:r>
      <w:r w:rsidRPr="00521950">
        <w:rPr>
          <w:rFonts w:asciiTheme="minorHAnsi" w:hAnsiTheme="minorHAnsi"/>
        </w:rPr>
        <w:t>.  In my opinion,</w:t>
      </w:r>
      <w:r>
        <w:rPr>
          <w:rFonts w:asciiTheme="minorHAnsi" w:hAnsiTheme="minorHAnsi"/>
        </w:rPr>
        <w:t xml:space="preserve"> having regard to the outline of the policy considerations and justification of any limitations on rights outlined in this explanatory statement, </w:t>
      </w:r>
      <w:r w:rsidRPr="00521950">
        <w:rPr>
          <w:rFonts w:asciiTheme="minorHAnsi" w:hAnsiTheme="minorHAnsi"/>
        </w:rPr>
        <w:t>the Bill</w:t>
      </w:r>
      <w:r w:rsidRPr="005162FA">
        <w:rPr>
          <w:rFonts w:asciiTheme="minorHAnsi" w:hAnsiTheme="minorHAnsi"/>
        </w:rPr>
        <w:t xml:space="preserve"> </w:t>
      </w:r>
      <w:r w:rsidRPr="00521950">
        <w:rPr>
          <w:rFonts w:asciiTheme="minorHAnsi" w:hAnsiTheme="minorHAnsi"/>
        </w:rPr>
        <w:t xml:space="preserve">as presented </w:t>
      </w:r>
      <w:r>
        <w:rPr>
          <w:rFonts w:asciiTheme="minorHAnsi" w:hAnsiTheme="minorHAnsi"/>
        </w:rPr>
        <w:t>to the Legislative Assembly</w:t>
      </w:r>
      <w:r w:rsidRPr="009F04E5">
        <w:rPr>
          <w:rFonts w:asciiTheme="minorHAnsi" w:hAnsiTheme="minorHAnsi"/>
          <w:b/>
        </w:rPr>
        <w:t xml:space="preserve"> is</w:t>
      </w:r>
      <w:r w:rsidRPr="009F04E5">
        <w:rPr>
          <w:rFonts w:asciiTheme="minorHAnsi" w:hAnsiTheme="minorHAnsi"/>
        </w:rPr>
        <w:t xml:space="preserve"> </w:t>
      </w:r>
      <w:r w:rsidRPr="00521950">
        <w:rPr>
          <w:rFonts w:asciiTheme="minorHAnsi" w:hAnsiTheme="minorHAnsi"/>
        </w:rPr>
        <w:t xml:space="preserve">consistent with the </w:t>
      </w:r>
      <w:r w:rsidRPr="00521950">
        <w:rPr>
          <w:rFonts w:asciiTheme="minorHAnsi" w:hAnsiTheme="minorHAnsi"/>
          <w:i/>
          <w:iCs/>
        </w:rPr>
        <w:t>Human Rights Act 2004</w:t>
      </w:r>
      <w:r>
        <w:rPr>
          <w:rFonts w:asciiTheme="minorHAnsi" w:hAnsiTheme="minorHAnsi"/>
          <w:i/>
          <w:iCs/>
        </w:rPr>
        <w:t>.</w:t>
      </w:r>
    </w:p>
    <w:p w14:paraId="6AD45AE3" w14:textId="77777777" w:rsidR="006C078D" w:rsidRDefault="006C078D" w:rsidP="006C078D">
      <w:pPr>
        <w:rPr>
          <w:rFonts w:asciiTheme="minorHAnsi" w:hAnsiTheme="minorHAnsi" w:cstheme="minorHAnsi"/>
        </w:rPr>
      </w:pPr>
    </w:p>
    <w:p w14:paraId="6FAFA3A2" w14:textId="77777777" w:rsidR="006C078D" w:rsidRDefault="006C078D" w:rsidP="006C078D">
      <w:pPr>
        <w:rPr>
          <w:rFonts w:asciiTheme="minorHAnsi" w:hAnsiTheme="minorHAnsi" w:cstheme="minorHAnsi"/>
        </w:rPr>
      </w:pPr>
    </w:p>
    <w:p w14:paraId="402570B8" w14:textId="77777777" w:rsidR="006C078D" w:rsidRDefault="006C078D" w:rsidP="006C078D">
      <w:pPr>
        <w:rPr>
          <w:rFonts w:asciiTheme="minorHAnsi" w:hAnsiTheme="minorHAnsi" w:cstheme="minorHAnsi"/>
        </w:rPr>
      </w:pPr>
      <w:r>
        <w:rPr>
          <w:rFonts w:asciiTheme="minorHAnsi" w:hAnsiTheme="minorHAnsi" w:cstheme="minorHAnsi"/>
        </w:rPr>
        <w:t>………………………………………………….</w:t>
      </w:r>
    </w:p>
    <w:p w14:paraId="776207DA" w14:textId="77777777" w:rsidR="006C078D" w:rsidRDefault="006C078D" w:rsidP="00045755">
      <w:pPr>
        <w:jc w:val="left"/>
        <w:rPr>
          <w:rFonts w:asciiTheme="minorHAnsi" w:hAnsiTheme="minorHAnsi" w:cstheme="minorHAnsi"/>
        </w:rPr>
      </w:pPr>
      <w:r>
        <w:rPr>
          <w:rFonts w:asciiTheme="minorHAnsi" w:hAnsiTheme="minorHAnsi" w:cstheme="minorHAnsi"/>
        </w:rPr>
        <w:t>Gordon Ramsay MLA</w:t>
      </w:r>
      <w:r>
        <w:rPr>
          <w:rFonts w:asciiTheme="minorHAnsi" w:hAnsiTheme="minorHAnsi" w:cstheme="minorHAnsi"/>
        </w:rPr>
        <w:br/>
        <w:t>Attorney-General</w:t>
      </w:r>
    </w:p>
    <w:p w14:paraId="06D41B34" w14:textId="77777777" w:rsidR="006C078D" w:rsidRPr="006D52AC" w:rsidRDefault="006C078D" w:rsidP="006C078D">
      <w:pPr>
        <w:spacing w:before="200"/>
        <w:rPr>
          <w:rFonts w:ascii="Arial" w:hAnsi="Arial" w:cs="Arial"/>
          <w:szCs w:val="24"/>
        </w:rPr>
      </w:pPr>
    </w:p>
    <w:p w14:paraId="122447AD" w14:textId="77777777" w:rsidR="006C078D" w:rsidRPr="00B93503" w:rsidRDefault="006C078D" w:rsidP="006C078D"/>
    <w:p w14:paraId="14DE6AA7" w14:textId="77777777" w:rsidR="006C078D" w:rsidRDefault="006C078D" w:rsidP="006C078D">
      <w:pPr>
        <w:keepNext/>
        <w:autoSpaceDE w:val="0"/>
        <w:autoSpaceDN w:val="0"/>
        <w:adjustRightInd w:val="0"/>
        <w:spacing w:before="240" w:after="120"/>
        <w:jc w:val="center"/>
        <w:rPr>
          <w:bCs/>
          <w:szCs w:val="24"/>
        </w:rPr>
      </w:pPr>
    </w:p>
    <w:p w14:paraId="150386AC" w14:textId="7FE7EAAF" w:rsidR="00D70983" w:rsidRPr="00045755" w:rsidRDefault="00D70983" w:rsidP="00045755">
      <w:pPr>
        <w:spacing w:after="0" w:line="240" w:lineRule="auto"/>
        <w:rPr>
          <w:b/>
          <w:bCs/>
          <w:sz w:val="28"/>
          <w:szCs w:val="28"/>
          <w:lang w:eastAsia="en-AU"/>
        </w:rPr>
      </w:pPr>
    </w:p>
    <w:p w14:paraId="13BFF386" w14:textId="77777777" w:rsidR="00B10644" w:rsidRPr="00A511E0" w:rsidRDefault="00B10644" w:rsidP="00B10644">
      <w:pPr>
        <w:keepNext/>
        <w:autoSpaceDE w:val="0"/>
        <w:autoSpaceDN w:val="0"/>
        <w:adjustRightInd w:val="0"/>
        <w:spacing w:before="240" w:after="120"/>
        <w:jc w:val="center"/>
        <w:rPr>
          <w:bCs/>
          <w:szCs w:val="24"/>
        </w:rPr>
      </w:pPr>
    </w:p>
    <w:p w14:paraId="45EE172C" w14:textId="77777777" w:rsidR="00B10644" w:rsidRPr="00A511E0" w:rsidRDefault="00B10644" w:rsidP="00B10644">
      <w:pPr>
        <w:spacing w:after="0" w:line="240" w:lineRule="auto"/>
        <w:rPr>
          <w:b/>
          <w:bCs/>
          <w:sz w:val="28"/>
          <w:szCs w:val="28"/>
          <w:lang w:eastAsia="en-AU"/>
        </w:rPr>
      </w:pPr>
      <w:r w:rsidRPr="00A511E0">
        <w:rPr>
          <w:b/>
          <w:bCs/>
          <w:sz w:val="28"/>
          <w:szCs w:val="28"/>
          <w:lang w:eastAsia="en-AU"/>
        </w:rPr>
        <w:br w:type="page"/>
      </w:r>
    </w:p>
    <w:p w14:paraId="59FBD55D" w14:textId="77777777" w:rsidR="00B10644" w:rsidRPr="00A511E0" w:rsidRDefault="00B10644" w:rsidP="00B10644">
      <w:pPr>
        <w:keepNext/>
        <w:autoSpaceDE w:val="0"/>
        <w:autoSpaceDN w:val="0"/>
        <w:adjustRightInd w:val="0"/>
        <w:spacing w:before="240" w:after="120"/>
        <w:jc w:val="center"/>
        <w:rPr>
          <w:b/>
          <w:bCs/>
          <w:sz w:val="28"/>
          <w:szCs w:val="28"/>
          <w:lang w:eastAsia="en-AU"/>
        </w:rPr>
      </w:pPr>
      <w:r w:rsidRPr="00A511E0">
        <w:rPr>
          <w:b/>
          <w:bCs/>
          <w:sz w:val="28"/>
          <w:szCs w:val="28"/>
          <w:lang w:eastAsia="en-AU"/>
        </w:rPr>
        <w:lastRenderedPageBreak/>
        <w:t>Royal Commission Criminal Justice Legislation Amendment Bill 201</w:t>
      </w:r>
      <w:r>
        <w:rPr>
          <w:b/>
          <w:bCs/>
          <w:sz w:val="28"/>
          <w:szCs w:val="28"/>
          <w:lang w:eastAsia="en-AU"/>
        </w:rPr>
        <w:t>9</w:t>
      </w:r>
    </w:p>
    <w:p w14:paraId="2D353D95" w14:textId="77777777" w:rsidR="00B10644" w:rsidRPr="00A511E0" w:rsidRDefault="00B10644" w:rsidP="00B10644">
      <w:pPr>
        <w:pStyle w:val="Title"/>
        <w:spacing w:before="240" w:after="120"/>
        <w:rPr>
          <w:lang w:eastAsia="en-AU"/>
        </w:rPr>
      </w:pPr>
      <w:bookmarkStart w:id="37" w:name="_Toc426711261"/>
      <w:bookmarkStart w:id="38" w:name="_Toc429052824"/>
      <w:bookmarkStart w:id="39" w:name="_Toc524517793"/>
      <w:bookmarkStart w:id="40" w:name="_Toc525903866"/>
      <w:bookmarkStart w:id="41" w:name="_Toc1399156"/>
      <w:bookmarkStart w:id="42" w:name="_Toc43913447"/>
      <w:r w:rsidRPr="00A511E0">
        <w:rPr>
          <w:lang w:eastAsia="en-AU"/>
        </w:rPr>
        <w:t>Detail</w:t>
      </w:r>
      <w:bookmarkEnd w:id="37"/>
      <w:bookmarkEnd w:id="38"/>
      <w:bookmarkEnd w:id="39"/>
      <w:bookmarkEnd w:id="40"/>
      <w:bookmarkEnd w:id="41"/>
      <w:bookmarkEnd w:id="42"/>
    </w:p>
    <w:p w14:paraId="6E884D13" w14:textId="64A10679" w:rsidR="00B10644" w:rsidRPr="00A511E0" w:rsidRDefault="00B10644" w:rsidP="00B10644">
      <w:pPr>
        <w:pStyle w:val="Heading1"/>
        <w:rPr>
          <w:lang w:eastAsia="en-AU"/>
        </w:rPr>
      </w:pPr>
      <w:bookmarkStart w:id="43" w:name="_Preamble"/>
      <w:bookmarkStart w:id="44" w:name="_Toc524517794"/>
      <w:bookmarkStart w:id="45" w:name="_Toc525903867"/>
      <w:bookmarkStart w:id="46" w:name="_Toc1399157"/>
      <w:bookmarkStart w:id="47" w:name="_Toc43913448"/>
      <w:bookmarkEnd w:id="43"/>
      <w:r w:rsidRPr="00A511E0">
        <w:rPr>
          <w:lang w:eastAsia="en-AU"/>
        </w:rPr>
        <w:t xml:space="preserve">Part </w:t>
      </w:r>
      <w:r w:rsidRPr="00A511E0">
        <w:rPr>
          <w:lang w:eastAsia="en-AU"/>
        </w:rPr>
        <w:fldChar w:fldCharType="begin"/>
      </w:r>
      <w:r w:rsidRPr="00A511E0">
        <w:rPr>
          <w:lang w:eastAsia="en-AU"/>
        </w:rPr>
        <w:instrText xml:space="preserve"> SEQ Part \* ARABIC </w:instrText>
      </w:r>
      <w:r w:rsidRPr="00A511E0">
        <w:rPr>
          <w:lang w:eastAsia="en-AU"/>
        </w:rPr>
        <w:fldChar w:fldCharType="separate"/>
      </w:r>
      <w:r w:rsidR="007119B1">
        <w:rPr>
          <w:noProof/>
          <w:lang w:eastAsia="en-AU"/>
        </w:rPr>
        <w:t>1</w:t>
      </w:r>
      <w:r w:rsidRPr="00A511E0">
        <w:rPr>
          <w:lang w:eastAsia="en-AU"/>
        </w:rPr>
        <w:fldChar w:fldCharType="end"/>
      </w:r>
      <w:r w:rsidRPr="00A511E0">
        <w:rPr>
          <w:lang w:eastAsia="en-AU"/>
        </w:rPr>
        <w:t xml:space="preserve"> – Preliminary</w:t>
      </w:r>
      <w:bookmarkEnd w:id="44"/>
      <w:bookmarkEnd w:id="45"/>
      <w:bookmarkEnd w:id="46"/>
      <w:bookmarkEnd w:id="47"/>
    </w:p>
    <w:p w14:paraId="7E01CAD5" w14:textId="70F162BB" w:rsidR="00B10644" w:rsidRPr="00A511E0" w:rsidRDefault="00B10644" w:rsidP="00B10644">
      <w:pPr>
        <w:pStyle w:val="Heading3"/>
        <w:rPr>
          <w:bCs/>
          <w:lang w:eastAsia="en-AU"/>
        </w:rPr>
      </w:pPr>
      <w:bookmarkStart w:id="48" w:name="_Toc524517795"/>
      <w:bookmarkStart w:id="49" w:name="_Toc525903868"/>
      <w:bookmarkStart w:id="50" w:name="_Toc1399158"/>
      <w:bookmarkStart w:id="51" w:name="_Toc43913449"/>
      <w:r w:rsidRPr="00A511E0">
        <w:t xml:space="preserve">Clause </w:t>
      </w:r>
      <w:r>
        <w:rPr>
          <w:noProof/>
        </w:rPr>
        <w:fldChar w:fldCharType="begin"/>
      </w:r>
      <w:r>
        <w:rPr>
          <w:noProof/>
        </w:rPr>
        <w:instrText xml:space="preserve"> SEQ Clause \* ARABIC </w:instrText>
      </w:r>
      <w:r>
        <w:rPr>
          <w:noProof/>
        </w:rPr>
        <w:fldChar w:fldCharType="separate"/>
      </w:r>
      <w:r w:rsidR="007119B1">
        <w:rPr>
          <w:noProof/>
        </w:rPr>
        <w:t>1</w:t>
      </w:r>
      <w:r>
        <w:rPr>
          <w:noProof/>
        </w:rPr>
        <w:fldChar w:fldCharType="end"/>
      </w:r>
      <w:r w:rsidRPr="00A511E0">
        <w:rPr>
          <w:bCs/>
          <w:lang w:eastAsia="en-AU"/>
        </w:rPr>
        <w:t xml:space="preserve"> — Name of Act</w:t>
      </w:r>
      <w:bookmarkEnd w:id="48"/>
      <w:bookmarkEnd w:id="49"/>
      <w:bookmarkEnd w:id="50"/>
      <w:bookmarkEnd w:id="51"/>
    </w:p>
    <w:p w14:paraId="25CF542D" w14:textId="2B2DC57F" w:rsidR="00B10644" w:rsidRPr="00A511E0" w:rsidRDefault="00B10644" w:rsidP="00B10644">
      <w:pPr>
        <w:keepNext/>
        <w:autoSpaceDE w:val="0"/>
        <w:autoSpaceDN w:val="0"/>
        <w:adjustRightInd w:val="0"/>
        <w:spacing w:before="240" w:after="120"/>
        <w:rPr>
          <w:szCs w:val="24"/>
          <w:lang w:eastAsia="en-AU"/>
        </w:rPr>
      </w:pPr>
      <w:r w:rsidRPr="00A511E0">
        <w:rPr>
          <w:szCs w:val="24"/>
          <w:lang w:eastAsia="en-AU"/>
        </w:rPr>
        <w:t xml:space="preserve">This is a technical clause that names the short title of the Act. The name of the Act will be the </w:t>
      </w:r>
      <w:r w:rsidRPr="00A511E0">
        <w:rPr>
          <w:i/>
          <w:szCs w:val="24"/>
          <w:lang w:eastAsia="en-AU"/>
        </w:rPr>
        <w:t>Royal Commission Criminal Justice Legislation Amendment Act 20</w:t>
      </w:r>
      <w:r w:rsidR="00727A19">
        <w:rPr>
          <w:i/>
          <w:szCs w:val="24"/>
          <w:lang w:eastAsia="en-AU"/>
        </w:rPr>
        <w:t>20</w:t>
      </w:r>
      <w:r w:rsidRPr="00A511E0">
        <w:rPr>
          <w:szCs w:val="24"/>
          <w:lang w:eastAsia="en-AU"/>
        </w:rPr>
        <w:t>.</w:t>
      </w:r>
    </w:p>
    <w:p w14:paraId="1DDD137F" w14:textId="62C9BB39" w:rsidR="00B10644" w:rsidRPr="00A511E0" w:rsidRDefault="00B10644" w:rsidP="00B10644">
      <w:pPr>
        <w:pStyle w:val="Heading3"/>
        <w:rPr>
          <w:bCs/>
          <w:lang w:eastAsia="en-AU"/>
        </w:rPr>
      </w:pPr>
      <w:bookmarkStart w:id="52" w:name="_Toc524517796"/>
      <w:bookmarkStart w:id="53" w:name="_Toc525903869"/>
      <w:bookmarkStart w:id="54" w:name="_Toc1399159"/>
      <w:bookmarkStart w:id="55" w:name="_Toc43913450"/>
      <w:r w:rsidRPr="00A511E0">
        <w:t xml:space="preserve">Clause </w:t>
      </w:r>
      <w:r>
        <w:rPr>
          <w:noProof/>
        </w:rPr>
        <w:fldChar w:fldCharType="begin"/>
      </w:r>
      <w:r>
        <w:rPr>
          <w:noProof/>
        </w:rPr>
        <w:instrText xml:space="preserve"> SEQ Clause \* ARABIC </w:instrText>
      </w:r>
      <w:r>
        <w:rPr>
          <w:noProof/>
        </w:rPr>
        <w:fldChar w:fldCharType="separate"/>
      </w:r>
      <w:r w:rsidR="007119B1">
        <w:rPr>
          <w:noProof/>
        </w:rPr>
        <w:t>2</w:t>
      </w:r>
      <w:r>
        <w:rPr>
          <w:noProof/>
        </w:rPr>
        <w:fldChar w:fldCharType="end"/>
      </w:r>
      <w:r w:rsidRPr="00A511E0">
        <w:rPr>
          <w:bCs/>
          <w:lang w:eastAsia="en-AU"/>
        </w:rPr>
        <w:t xml:space="preserve"> — Commencement</w:t>
      </w:r>
      <w:bookmarkEnd w:id="52"/>
      <w:bookmarkEnd w:id="53"/>
      <w:bookmarkEnd w:id="54"/>
      <w:bookmarkEnd w:id="55"/>
    </w:p>
    <w:p w14:paraId="06272340" w14:textId="479ED9E6" w:rsidR="00B10644" w:rsidRDefault="00B10644" w:rsidP="00727A19">
      <w:pPr>
        <w:keepNext/>
        <w:autoSpaceDE w:val="0"/>
        <w:autoSpaceDN w:val="0"/>
        <w:adjustRightInd w:val="0"/>
        <w:spacing w:before="240" w:after="120"/>
        <w:rPr>
          <w:szCs w:val="24"/>
          <w:lang w:eastAsia="en-AU"/>
        </w:rPr>
      </w:pPr>
      <w:r w:rsidRPr="00A511E0">
        <w:rPr>
          <w:szCs w:val="24"/>
          <w:lang w:eastAsia="en-AU"/>
        </w:rPr>
        <w:t xml:space="preserve">This clause provides that </w:t>
      </w:r>
      <w:r w:rsidR="00727A19">
        <w:rPr>
          <w:szCs w:val="24"/>
          <w:lang w:eastAsia="en-AU"/>
        </w:rPr>
        <w:t>the Act</w:t>
      </w:r>
      <w:r w:rsidRPr="007C40A5">
        <w:rPr>
          <w:szCs w:val="24"/>
          <w:lang w:eastAsia="en-AU"/>
        </w:rPr>
        <w:t xml:space="preserve"> will commence on a day fixed by the Minister by written notice.</w:t>
      </w:r>
    </w:p>
    <w:p w14:paraId="267FF105" w14:textId="77777777" w:rsidR="00B10644" w:rsidRPr="00A511E0" w:rsidRDefault="00B10644" w:rsidP="00B10644">
      <w:pPr>
        <w:keepNext/>
        <w:autoSpaceDE w:val="0"/>
        <w:autoSpaceDN w:val="0"/>
        <w:adjustRightInd w:val="0"/>
        <w:spacing w:before="240" w:after="120"/>
        <w:rPr>
          <w:szCs w:val="24"/>
          <w:lang w:eastAsia="en-AU"/>
        </w:rPr>
      </w:pPr>
      <w:r>
        <w:rPr>
          <w:szCs w:val="24"/>
          <w:lang w:eastAsia="en-AU"/>
        </w:rPr>
        <w:t>As indicated in Note 3, if a provision has not commenced within 6 months of the notification day, the provision will commence the first day after that 6 month period.</w:t>
      </w:r>
    </w:p>
    <w:p w14:paraId="154E0B16" w14:textId="582508AE" w:rsidR="00B10644" w:rsidRPr="00A511E0" w:rsidRDefault="00B10644" w:rsidP="00B10644">
      <w:pPr>
        <w:pStyle w:val="Heading3"/>
        <w:rPr>
          <w:bCs/>
          <w:lang w:eastAsia="en-AU"/>
        </w:rPr>
      </w:pPr>
      <w:bookmarkStart w:id="56" w:name="_Toc524517797"/>
      <w:bookmarkStart w:id="57" w:name="_Toc525903870"/>
      <w:bookmarkStart w:id="58" w:name="_Toc1399160"/>
      <w:bookmarkStart w:id="59" w:name="_Toc43913451"/>
      <w:r w:rsidRPr="00A511E0">
        <w:t xml:space="preserve">Clause </w:t>
      </w:r>
      <w:r>
        <w:rPr>
          <w:noProof/>
        </w:rPr>
        <w:fldChar w:fldCharType="begin"/>
      </w:r>
      <w:r>
        <w:rPr>
          <w:noProof/>
        </w:rPr>
        <w:instrText xml:space="preserve"> SEQ Clause \* ARABIC </w:instrText>
      </w:r>
      <w:r>
        <w:rPr>
          <w:noProof/>
        </w:rPr>
        <w:fldChar w:fldCharType="separate"/>
      </w:r>
      <w:r w:rsidR="007119B1">
        <w:rPr>
          <w:noProof/>
        </w:rPr>
        <w:t>3</w:t>
      </w:r>
      <w:r>
        <w:rPr>
          <w:noProof/>
        </w:rPr>
        <w:fldChar w:fldCharType="end"/>
      </w:r>
      <w:r w:rsidRPr="00A511E0">
        <w:rPr>
          <w:bCs/>
          <w:lang w:eastAsia="en-AU"/>
        </w:rPr>
        <w:t xml:space="preserve"> — Legislation Amended</w:t>
      </w:r>
      <w:bookmarkEnd w:id="56"/>
      <w:bookmarkEnd w:id="57"/>
      <w:bookmarkEnd w:id="58"/>
      <w:bookmarkEnd w:id="59"/>
    </w:p>
    <w:p w14:paraId="6E0BFC4B" w14:textId="77777777" w:rsidR="00B10644" w:rsidRPr="00A511E0" w:rsidRDefault="00B10644" w:rsidP="00B10644">
      <w:pPr>
        <w:rPr>
          <w:lang w:eastAsia="en-AU"/>
        </w:rPr>
      </w:pPr>
      <w:r w:rsidRPr="00A511E0">
        <w:rPr>
          <w:lang w:eastAsia="en-AU"/>
        </w:rPr>
        <w:t>This clause lists the legislation amended by this Bill. This Bill will amend the:</w:t>
      </w:r>
    </w:p>
    <w:p w14:paraId="4DABF256" w14:textId="50554241" w:rsidR="00B10644" w:rsidRPr="003669C4" w:rsidRDefault="00B10644" w:rsidP="00B10644">
      <w:pPr>
        <w:pStyle w:val="ListParagraph"/>
        <w:numPr>
          <w:ilvl w:val="0"/>
          <w:numId w:val="6"/>
        </w:numPr>
        <w:spacing w:before="240" w:after="120"/>
        <w:rPr>
          <w:i/>
          <w:szCs w:val="24"/>
        </w:rPr>
      </w:pPr>
      <w:r w:rsidRPr="003669C4">
        <w:rPr>
          <w:i/>
          <w:szCs w:val="24"/>
        </w:rPr>
        <w:t>Crimes Act 1900;</w:t>
      </w:r>
      <w:r w:rsidR="00727A19">
        <w:rPr>
          <w:i/>
          <w:szCs w:val="24"/>
        </w:rPr>
        <w:t xml:space="preserve"> and</w:t>
      </w:r>
    </w:p>
    <w:p w14:paraId="448F5ADB" w14:textId="07CDB6F4" w:rsidR="00B10644" w:rsidRPr="003669C4" w:rsidRDefault="00727A19" w:rsidP="00B10644">
      <w:pPr>
        <w:pStyle w:val="ListParagraph"/>
        <w:numPr>
          <w:ilvl w:val="0"/>
          <w:numId w:val="6"/>
        </w:numPr>
        <w:spacing w:before="240" w:after="120"/>
        <w:rPr>
          <w:i/>
          <w:szCs w:val="24"/>
        </w:rPr>
      </w:pPr>
      <w:r>
        <w:rPr>
          <w:i/>
          <w:szCs w:val="24"/>
        </w:rPr>
        <w:t>Evidence Act 2011.</w:t>
      </w:r>
    </w:p>
    <w:p w14:paraId="4A9D6604" w14:textId="4ADB9371" w:rsidR="00B10644" w:rsidRPr="00A511E0" w:rsidRDefault="00B10644" w:rsidP="00B10644">
      <w:pPr>
        <w:pStyle w:val="Heading1"/>
        <w:rPr>
          <w:lang w:eastAsia="en-AU"/>
        </w:rPr>
      </w:pPr>
      <w:bookmarkStart w:id="60" w:name="_Part_2_–"/>
      <w:bookmarkStart w:id="61" w:name="_Toc426711263"/>
      <w:bookmarkStart w:id="62" w:name="_Toc429052826"/>
      <w:bookmarkStart w:id="63" w:name="_Toc524517798"/>
      <w:bookmarkStart w:id="64" w:name="_Toc525903871"/>
      <w:bookmarkStart w:id="65" w:name="_Toc1399161"/>
      <w:bookmarkStart w:id="66" w:name="_Toc43913452"/>
      <w:bookmarkEnd w:id="60"/>
      <w:r w:rsidRPr="00A511E0">
        <w:rPr>
          <w:lang w:eastAsia="en-AU"/>
        </w:rPr>
        <w:t xml:space="preserve">Part </w:t>
      </w:r>
      <w:r w:rsidRPr="00A511E0">
        <w:rPr>
          <w:lang w:eastAsia="en-AU"/>
        </w:rPr>
        <w:fldChar w:fldCharType="begin"/>
      </w:r>
      <w:r w:rsidRPr="00A511E0">
        <w:rPr>
          <w:lang w:eastAsia="en-AU"/>
        </w:rPr>
        <w:instrText xml:space="preserve"> SEQ Part \* ARABIC </w:instrText>
      </w:r>
      <w:r w:rsidRPr="00A511E0">
        <w:rPr>
          <w:lang w:eastAsia="en-AU"/>
        </w:rPr>
        <w:fldChar w:fldCharType="separate"/>
      </w:r>
      <w:r w:rsidR="007119B1">
        <w:rPr>
          <w:noProof/>
          <w:lang w:eastAsia="en-AU"/>
        </w:rPr>
        <w:t>2</w:t>
      </w:r>
      <w:r w:rsidRPr="00A511E0">
        <w:rPr>
          <w:lang w:eastAsia="en-AU"/>
        </w:rPr>
        <w:fldChar w:fldCharType="end"/>
      </w:r>
      <w:r w:rsidRPr="00A511E0">
        <w:rPr>
          <w:lang w:eastAsia="en-AU"/>
        </w:rPr>
        <w:t xml:space="preserve"> – </w:t>
      </w:r>
      <w:bookmarkEnd w:id="61"/>
      <w:bookmarkEnd w:id="62"/>
      <w:bookmarkEnd w:id="63"/>
      <w:bookmarkEnd w:id="64"/>
      <w:r>
        <w:rPr>
          <w:lang w:eastAsia="en-AU"/>
        </w:rPr>
        <w:t>C</w:t>
      </w:r>
      <w:bookmarkEnd w:id="65"/>
      <w:r w:rsidR="00727A19">
        <w:rPr>
          <w:lang w:eastAsia="en-AU"/>
        </w:rPr>
        <w:t>rimes Act 1900</w:t>
      </w:r>
      <w:bookmarkEnd w:id="66"/>
    </w:p>
    <w:p w14:paraId="45625868" w14:textId="4B0217A7" w:rsidR="00B10644" w:rsidRPr="008B378B" w:rsidRDefault="00B10644" w:rsidP="00F24DE4">
      <w:pPr>
        <w:rPr>
          <w:szCs w:val="24"/>
        </w:rPr>
      </w:pPr>
      <w:bookmarkStart w:id="67" w:name="_Hlk38955532"/>
      <w:r w:rsidRPr="0067098F">
        <w:rPr>
          <w:lang w:eastAsia="en-AU"/>
        </w:rPr>
        <w:t xml:space="preserve">This part makes amendments to </w:t>
      </w:r>
      <w:r w:rsidR="002426A0">
        <w:rPr>
          <w:lang w:eastAsia="en-AU"/>
        </w:rPr>
        <w:t xml:space="preserve">better align section 56 of the </w:t>
      </w:r>
      <w:r w:rsidR="002426A0">
        <w:rPr>
          <w:i/>
          <w:iCs/>
          <w:lang w:eastAsia="en-AU"/>
        </w:rPr>
        <w:t xml:space="preserve">Crimes Act 1900 </w:t>
      </w:r>
      <w:r w:rsidR="002426A0">
        <w:rPr>
          <w:lang w:eastAsia="en-AU"/>
        </w:rPr>
        <w:t>(ACT) with the recommendations made by the Royal Commission</w:t>
      </w:r>
      <w:r w:rsidR="002426A0">
        <w:rPr>
          <w:rStyle w:val="FootnoteReference"/>
          <w:lang w:eastAsia="en-AU"/>
        </w:rPr>
        <w:footnoteReference w:id="70"/>
      </w:r>
      <w:r w:rsidR="002426A0">
        <w:rPr>
          <w:lang w:eastAsia="en-AU"/>
        </w:rPr>
        <w:t xml:space="preserve"> and section 229B of the </w:t>
      </w:r>
      <w:bookmarkStart w:id="68" w:name="_Hlk38957307"/>
      <w:r w:rsidR="00716E0C" w:rsidRPr="00FF0EB3">
        <w:rPr>
          <w:i/>
          <w:iCs/>
          <w:lang w:eastAsia="en-AU"/>
        </w:rPr>
        <w:t>Criminal Code Act 1899 (Qld)</w:t>
      </w:r>
      <w:r w:rsidR="00716E0C" w:rsidRPr="00BB5026">
        <w:rPr>
          <w:lang w:eastAsia="en-AU"/>
        </w:rPr>
        <w:t xml:space="preserve"> sch 1 </w:t>
      </w:r>
      <w:bookmarkEnd w:id="68"/>
      <w:r w:rsidR="00716E0C" w:rsidRPr="00BB5026">
        <w:rPr>
          <w:lang w:eastAsia="en-AU"/>
        </w:rPr>
        <w:t>(Criminal Code (Qld))</w:t>
      </w:r>
      <w:r w:rsidR="00716E0C">
        <w:rPr>
          <w:lang w:eastAsia="en-AU"/>
        </w:rPr>
        <w:t>, as endorsed by the Royal Commission.  It also makes amendments to align sections 55A, 56 and 61A, so there are not multiple meanings of ‘under special care’ in these sections.</w:t>
      </w:r>
    </w:p>
    <w:p w14:paraId="68E662D3" w14:textId="5F79731D" w:rsidR="00B10644" w:rsidRDefault="00B10644" w:rsidP="00B10644">
      <w:pPr>
        <w:pStyle w:val="Heading3"/>
      </w:pPr>
      <w:bookmarkStart w:id="69" w:name="_Toc524517799"/>
      <w:bookmarkStart w:id="70" w:name="_Toc525903872"/>
      <w:bookmarkStart w:id="71" w:name="_Toc1399162"/>
      <w:bookmarkStart w:id="72" w:name="_Toc43913453"/>
      <w:bookmarkEnd w:id="67"/>
      <w:r w:rsidRPr="00716E0C">
        <w:t xml:space="preserve">Clause </w:t>
      </w:r>
      <w:r w:rsidRPr="00716E0C">
        <w:rPr>
          <w:noProof/>
        </w:rPr>
        <w:fldChar w:fldCharType="begin"/>
      </w:r>
      <w:r w:rsidRPr="00A13DB9">
        <w:rPr>
          <w:noProof/>
        </w:rPr>
        <w:instrText xml:space="preserve"> SEQ Clause \* ARABIC </w:instrText>
      </w:r>
      <w:r w:rsidRPr="00716E0C">
        <w:rPr>
          <w:noProof/>
        </w:rPr>
        <w:fldChar w:fldCharType="separate"/>
      </w:r>
      <w:r w:rsidR="007119B1">
        <w:rPr>
          <w:noProof/>
        </w:rPr>
        <w:t>4</w:t>
      </w:r>
      <w:r w:rsidRPr="00716E0C">
        <w:rPr>
          <w:noProof/>
        </w:rPr>
        <w:fldChar w:fldCharType="end"/>
      </w:r>
      <w:r w:rsidRPr="00716E0C">
        <w:t xml:space="preserve"> – </w:t>
      </w:r>
      <w:bookmarkEnd w:id="69"/>
      <w:bookmarkEnd w:id="70"/>
      <w:r w:rsidR="00716E0C" w:rsidRPr="00F24DE4">
        <w:t xml:space="preserve">Sexual intercourse with young person under special care </w:t>
      </w:r>
      <w:bookmarkEnd w:id="71"/>
      <w:r w:rsidR="00716E0C" w:rsidRPr="00F24DE4">
        <w:t>Section 55A (2)</w:t>
      </w:r>
      <w:bookmarkEnd w:id="72"/>
    </w:p>
    <w:p w14:paraId="696A18B5" w14:textId="67149F8D" w:rsidR="00B10644" w:rsidRPr="0067098F" w:rsidRDefault="00716E0C" w:rsidP="00A13DB9">
      <w:pPr>
        <w:rPr>
          <w:lang w:eastAsia="en-AU"/>
        </w:rPr>
      </w:pPr>
      <w:r>
        <w:t>This clause substitutes (2) to align s 55A with s 56</w:t>
      </w:r>
      <w:r w:rsidR="00E470BA">
        <w:t xml:space="preserve"> and s 61A</w:t>
      </w:r>
      <w:r>
        <w:t>, ensuring there are not multiple definitions of ‘under special care’ and that the more expansive definition is used.</w:t>
      </w:r>
      <w:bookmarkStart w:id="73" w:name="_Clause_7_–"/>
      <w:bookmarkEnd w:id="73"/>
      <w:r w:rsidR="00B10644">
        <w:rPr>
          <w:i/>
          <w:lang w:eastAsia="en-AU"/>
        </w:rPr>
        <w:t xml:space="preserve"> </w:t>
      </w:r>
    </w:p>
    <w:p w14:paraId="3094E7EB" w14:textId="2964223D" w:rsidR="00DA63E2" w:rsidRPr="00DA63E2" w:rsidRDefault="00DA63E2" w:rsidP="00DA63E2">
      <w:pPr>
        <w:pStyle w:val="Heading3"/>
        <w:rPr>
          <w:i/>
          <w:iCs/>
          <w:lang w:eastAsia="en-AU"/>
        </w:rPr>
      </w:pPr>
      <w:bookmarkStart w:id="74" w:name="_Toc43913454"/>
      <w:bookmarkStart w:id="75" w:name="_Toc1399163"/>
      <w:r>
        <w:rPr>
          <w:lang w:eastAsia="en-AU"/>
        </w:rPr>
        <w:t xml:space="preserve">Clause </w:t>
      </w:r>
      <w:r w:rsidR="00A47E36">
        <w:fldChar w:fldCharType="begin"/>
      </w:r>
      <w:r w:rsidR="00A47E36">
        <w:instrText xml:space="preserve"> SEQ Clause \* AR</w:instrText>
      </w:r>
      <w:r w:rsidR="00A47E36">
        <w:instrText xml:space="preserve">ABIC </w:instrText>
      </w:r>
      <w:r w:rsidR="00A47E36">
        <w:fldChar w:fldCharType="separate"/>
      </w:r>
      <w:r w:rsidR="007119B1">
        <w:rPr>
          <w:noProof/>
        </w:rPr>
        <w:t>5</w:t>
      </w:r>
      <w:r w:rsidR="00A47E36">
        <w:rPr>
          <w:noProof/>
        </w:rPr>
        <w:fldChar w:fldCharType="end"/>
      </w:r>
      <w:r>
        <w:rPr>
          <w:lang w:eastAsia="en-AU"/>
        </w:rPr>
        <w:t xml:space="preserve"> – Section 55A (5), new definition of </w:t>
      </w:r>
      <w:r>
        <w:rPr>
          <w:i/>
          <w:iCs/>
          <w:lang w:eastAsia="en-AU"/>
        </w:rPr>
        <w:t>foster carer</w:t>
      </w:r>
      <w:bookmarkEnd w:id="74"/>
    </w:p>
    <w:p w14:paraId="5B91F564" w14:textId="46B98FD9" w:rsidR="00DA63E2" w:rsidRDefault="00DA63E2" w:rsidP="00DA63E2">
      <w:pPr>
        <w:rPr>
          <w:lang w:eastAsia="en-AU"/>
        </w:rPr>
      </w:pPr>
      <w:r>
        <w:rPr>
          <w:lang w:eastAsia="en-AU"/>
        </w:rPr>
        <w:t xml:space="preserve">This clause aligns the meaning of ‘foster carer’ with </w:t>
      </w:r>
      <w:bookmarkStart w:id="76" w:name="_Hlk41322310"/>
      <w:r>
        <w:rPr>
          <w:lang w:eastAsia="en-AU"/>
        </w:rPr>
        <w:t xml:space="preserve">section 518 (2) of the </w:t>
      </w:r>
      <w:r>
        <w:rPr>
          <w:i/>
          <w:iCs/>
          <w:lang w:eastAsia="en-AU"/>
        </w:rPr>
        <w:t>Children and Young People Act 2008</w:t>
      </w:r>
      <w:bookmarkEnd w:id="76"/>
      <w:r>
        <w:rPr>
          <w:lang w:eastAsia="en-AU"/>
        </w:rPr>
        <w:t>, ensuring there are not multiple definitions of ‘foster care</w:t>
      </w:r>
      <w:r w:rsidR="00E16175">
        <w:rPr>
          <w:lang w:eastAsia="en-AU"/>
        </w:rPr>
        <w:t>r</w:t>
      </w:r>
      <w:r>
        <w:rPr>
          <w:lang w:eastAsia="en-AU"/>
        </w:rPr>
        <w:t>’.</w:t>
      </w:r>
    </w:p>
    <w:p w14:paraId="2642D2B7" w14:textId="74ECA45F" w:rsidR="00B10644" w:rsidRPr="00FB6328" w:rsidRDefault="00B10644" w:rsidP="00B10644">
      <w:pPr>
        <w:pStyle w:val="Heading3"/>
      </w:pPr>
      <w:bookmarkStart w:id="77" w:name="_Toc43913455"/>
      <w:r w:rsidRPr="00FB6328">
        <w:t xml:space="preserve">Clause </w:t>
      </w:r>
      <w:r>
        <w:rPr>
          <w:noProof/>
        </w:rPr>
        <w:fldChar w:fldCharType="begin"/>
      </w:r>
      <w:r>
        <w:rPr>
          <w:noProof/>
        </w:rPr>
        <w:instrText xml:space="preserve"> SEQ Clause \* ARABIC </w:instrText>
      </w:r>
      <w:r>
        <w:rPr>
          <w:noProof/>
        </w:rPr>
        <w:fldChar w:fldCharType="separate"/>
      </w:r>
      <w:r w:rsidR="007119B1">
        <w:rPr>
          <w:noProof/>
        </w:rPr>
        <w:t>6</w:t>
      </w:r>
      <w:r>
        <w:rPr>
          <w:noProof/>
        </w:rPr>
        <w:fldChar w:fldCharType="end"/>
      </w:r>
      <w:r w:rsidRPr="00FB6328">
        <w:t xml:space="preserve"> – Section 56</w:t>
      </w:r>
      <w:r w:rsidR="00E16175">
        <w:t xml:space="preserve"> </w:t>
      </w:r>
      <w:r w:rsidRPr="00FB6328">
        <w:t xml:space="preserve"> </w:t>
      </w:r>
      <w:bookmarkEnd w:id="75"/>
      <w:r w:rsidR="00E16175">
        <w:t>S</w:t>
      </w:r>
      <w:r w:rsidR="00BB5026">
        <w:t>exual relationship with a child or young person under special care</w:t>
      </w:r>
      <w:bookmarkEnd w:id="77"/>
    </w:p>
    <w:p w14:paraId="1632B495" w14:textId="5B7A4D3E" w:rsidR="00BB5026" w:rsidRDefault="00BB5026" w:rsidP="00B10644">
      <w:pPr>
        <w:rPr>
          <w:lang w:eastAsia="en-AU"/>
        </w:rPr>
      </w:pPr>
      <w:r w:rsidRPr="00BB5026">
        <w:rPr>
          <w:lang w:eastAsia="en-AU"/>
        </w:rPr>
        <w:lastRenderedPageBreak/>
        <w:t xml:space="preserve">This clause substitutes the section 56 offence of maintaining a sexual relationship with a young person with a revised provision to </w:t>
      </w:r>
      <w:r>
        <w:rPr>
          <w:lang w:eastAsia="en-AU"/>
        </w:rPr>
        <w:t xml:space="preserve">more closely </w:t>
      </w:r>
      <w:r w:rsidRPr="00BB5026">
        <w:rPr>
          <w:lang w:eastAsia="en-AU"/>
        </w:rPr>
        <w:t>align with the Model Provision recommended by the Royal Commission</w:t>
      </w:r>
      <w:r>
        <w:rPr>
          <w:lang w:eastAsia="en-AU"/>
        </w:rPr>
        <w:t xml:space="preserve"> (recommendations 21 and 22 of the </w:t>
      </w:r>
      <w:r>
        <w:rPr>
          <w:i/>
          <w:iCs/>
          <w:lang w:eastAsia="en-AU"/>
        </w:rPr>
        <w:t>Criminal Justice Report</w:t>
      </w:r>
      <w:r>
        <w:rPr>
          <w:lang w:eastAsia="en-AU"/>
        </w:rPr>
        <w:t>).</w:t>
      </w:r>
    </w:p>
    <w:p w14:paraId="16C4EFDA" w14:textId="67A10141" w:rsidR="00BB5026" w:rsidRDefault="00BB5026" w:rsidP="00B10644">
      <w:pPr>
        <w:rPr>
          <w:lang w:eastAsia="en-AU"/>
        </w:rPr>
      </w:pPr>
      <w:r w:rsidRPr="00BB5026">
        <w:rPr>
          <w:lang w:eastAsia="en-AU"/>
        </w:rPr>
        <w:t xml:space="preserve">Between 1989 and 1999 all Australian jurisdictions introduced persistent child sexual abuse offences. Throughout Australia, the provisions varied but each sought to allow a prosecution to proceed in cases where there is evidence of a course of unlawful conduct over time, but the evidence lacked the particularity required to permit charges to be laid for each of the separate criminal acts. In 1991, the ACT introduced section 56 of the Crimes Act which prohibits maintaining a sexual relationship with a young person.  These provisions were introduced to overcome the issues identified by the High Court’s decision in </w:t>
      </w:r>
      <w:r w:rsidRPr="00F24DE4">
        <w:rPr>
          <w:i/>
          <w:iCs/>
          <w:lang w:eastAsia="en-AU"/>
        </w:rPr>
        <w:t>S v The Queen</w:t>
      </w:r>
      <w:r w:rsidRPr="00BB5026">
        <w:rPr>
          <w:lang w:eastAsia="en-AU"/>
        </w:rPr>
        <w:t xml:space="preserve"> (1989) 168 CLR 266 where it was held that offending which could not be sufficiently particularised could not be successfully prosecuted.</w:t>
      </w:r>
      <w:r>
        <w:rPr>
          <w:lang w:eastAsia="en-AU"/>
        </w:rPr>
        <w:t xml:space="preserve">  </w:t>
      </w:r>
      <w:r w:rsidRPr="00BB5026">
        <w:rPr>
          <w:lang w:eastAsia="en-AU"/>
        </w:rPr>
        <w:t xml:space="preserve">When first introduced, each offence operated prospectively and did not capture sexual offending that occurred before the offence commenced. This is problematic given abuse is often not reported for years, even decades, after it has occurred.  </w:t>
      </w:r>
      <w:r>
        <w:rPr>
          <w:lang w:eastAsia="en-AU"/>
        </w:rPr>
        <w:t xml:space="preserve">The Royal Commission found that, on average, </w:t>
      </w:r>
      <w:r w:rsidRPr="00045755">
        <w:rPr>
          <w:lang w:eastAsia="en-AU"/>
        </w:rPr>
        <w:t>survivors of child sexual abuse who disclose in adulthood take 31.9 years to do so.</w:t>
      </w:r>
      <w:r w:rsidRPr="00045755">
        <w:rPr>
          <w:rStyle w:val="FootnoteReference"/>
          <w:lang w:eastAsia="en-AU"/>
        </w:rPr>
        <w:footnoteReference w:id="71"/>
      </w:r>
    </w:p>
    <w:p w14:paraId="200BA580" w14:textId="4DDAF05A" w:rsidR="00BB5026" w:rsidRDefault="00BB5026" w:rsidP="00B10644">
      <w:pPr>
        <w:rPr>
          <w:lang w:eastAsia="en-AU"/>
        </w:rPr>
      </w:pPr>
      <w:r w:rsidRPr="00BB5026">
        <w:rPr>
          <w:lang w:eastAsia="en-AU"/>
        </w:rPr>
        <w:t xml:space="preserve">In </w:t>
      </w:r>
      <w:r w:rsidRPr="00F24DE4">
        <w:rPr>
          <w:i/>
          <w:iCs/>
          <w:lang w:eastAsia="en-AU"/>
        </w:rPr>
        <w:t>KBT v R</w:t>
      </w:r>
      <w:r w:rsidRPr="00BB5026">
        <w:rPr>
          <w:lang w:eastAsia="en-AU"/>
        </w:rPr>
        <w:t xml:space="preserve"> (1997) 191 CLR 417 the High Court considered the Queensland offence of ‘maintaining a sexual relationship with a child/young person’ under s2</w:t>
      </w:r>
      <w:r w:rsidR="00CF3CC4">
        <w:rPr>
          <w:lang w:eastAsia="en-AU"/>
        </w:rPr>
        <w:t>2</w:t>
      </w:r>
      <w:r w:rsidRPr="00BB5026">
        <w:rPr>
          <w:lang w:eastAsia="en-AU"/>
        </w:rPr>
        <w:t xml:space="preserve">9B of the Criminal Code (Qld). In </w:t>
      </w:r>
      <w:r w:rsidRPr="00F24DE4">
        <w:rPr>
          <w:i/>
          <w:iCs/>
          <w:lang w:eastAsia="en-AU"/>
        </w:rPr>
        <w:t>KBT</w:t>
      </w:r>
      <w:r w:rsidRPr="00BB5026">
        <w:rPr>
          <w:lang w:eastAsia="en-AU"/>
        </w:rPr>
        <w:t xml:space="preserve"> it was held that s229B required the jury to be satisfied beyond reasonable doubt as to the commission of the same three acts which constituted relevant sexual offences. This meant that three occasions of abuse must be clearly articulated and particularised, albeit without requiring dates and exact circumstances. </w:t>
      </w:r>
    </w:p>
    <w:p w14:paraId="0F05A847" w14:textId="77777777" w:rsidR="00BB5026" w:rsidRDefault="00BB5026" w:rsidP="00B10644">
      <w:pPr>
        <w:rPr>
          <w:lang w:eastAsia="en-AU"/>
        </w:rPr>
      </w:pPr>
      <w:r w:rsidRPr="00BB5026">
        <w:rPr>
          <w:lang w:eastAsia="en-AU"/>
        </w:rPr>
        <w:t xml:space="preserve">Given the similarity between the offences Australia-wide, </w:t>
      </w:r>
      <w:r w:rsidRPr="00F24DE4">
        <w:rPr>
          <w:i/>
          <w:iCs/>
          <w:lang w:eastAsia="en-AU"/>
        </w:rPr>
        <w:t>KBT</w:t>
      </w:r>
      <w:r w:rsidRPr="00BB5026">
        <w:rPr>
          <w:lang w:eastAsia="en-AU"/>
        </w:rPr>
        <w:t xml:space="preserve"> effectively applied to all persistent child abuse offences and rendered them ineffective and unworkable.  </w:t>
      </w:r>
    </w:p>
    <w:p w14:paraId="3CDA4A5F" w14:textId="77777777" w:rsidR="00BB5026" w:rsidRDefault="00BB5026" w:rsidP="00B10644">
      <w:pPr>
        <w:rPr>
          <w:lang w:eastAsia="en-AU"/>
        </w:rPr>
      </w:pPr>
      <w:r w:rsidRPr="00BB5026">
        <w:rPr>
          <w:lang w:eastAsia="en-AU"/>
        </w:rPr>
        <w:t xml:space="preserve">Following the decision in </w:t>
      </w:r>
      <w:r w:rsidRPr="00F24DE4">
        <w:rPr>
          <w:i/>
          <w:iCs/>
          <w:lang w:eastAsia="en-AU"/>
        </w:rPr>
        <w:t>KBT</w:t>
      </w:r>
      <w:r w:rsidRPr="00BB5026">
        <w:rPr>
          <w:lang w:eastAsia="en-AU"/>
        </w:rPr>
        <w:t>, Queensland, South Australia, Tasmania and Western Australia made substantive amendments to their persistent child sexual abuse offences. South Australia and Tasmania</w:t>
      </w:r>
      <w:r>
        <w:rPr>
          <w:lang w:eastAsia="en-AU"/>
        </w:rPr>
        <w:t xml:space="preserve"> </w:t>
      </w:r>
      <w:r w:rsidRPr="00BB5026">
        <w:rPr>
          <w:lang w:eastAsia="en-AU"/>
        </w:rPr>
        <w:t xml:space="preserve">amended their offences to make them retrospective in operation. </w:t>
      </w:r>
    </w:p>
    <w:p w14:paraId="39BA01FE" w14:textId="3F21A38C" w:rsidR="00BB5026" w:rsidRDefault="00BB5026" w:rsidP="00B10644">
      <w:pPr>
        <w:rPr>
          <w:lang w:eastAsia="en-AU"/>
        </w:rPr>
      </w:pPr>
      <w:r w:rsidRPr="00BB5026">
        <w:rPr>
          <w:lang w:eastAsia="en-AU"/>
        </w:rPr>
        <w:t>Victoria also amended its persistent child abuse provision.</w:t>
      </w:r>
      <w:r>
        <w:rPr>
          <w:rStyle w:val="FootnoteReference"/>
          <w:lang w:eastAsia="en-AU"/>
        </w:rPr>
        <w:footnoteReference w:id="72"/>
      </w:r>
      <w:r w:rsidRPr="00BB5026">
        <w:rPr>
          <w:lang w:eastAsia="en-AU"/>
        </w:rPr>
        <w:t xml:space="preserve"> However, the ACT provision remained in its original form</w:t>
      </w:r>
      <w:r w:rsidR="00CF3CC4">
        <w:rPr>
          <w:lang w:eastAsia="en-AU"/>
        </w:rPr>
        <w:t xml:space="preserve"> until 2018</w:t>
      </w:r>
      <w:r w:rsidRPr="00BB5026">
        <w:rPr>
          <w:lang w:eastAsia="en-AU"/>
        </w:rPr>
        <w:t xml:space="preserve">. The effect </w:t>
      </w:r>
      <w:r w:rsidR="00CF3CC4">
        <w:rPr>
          <w:lang w:eastAsia="en-AU"/>
        </w:rPr>
        <w:t>wa</w:t>
      </w:r>
      <w:r w:rsidRPr="00BB5026">
        <w:rPr>
          <w:lang w:eastAsia="en-AU"/>
        </w:rPr>
        <w:t>s that</w:t>
      </w:r>
      <w:r w:rsidR="00CF3CC4">
        <w:rPr>
          <w:lang w:eastAsia="en-AU"/>
        </w:rPr>
        <w:t>, prior to 2018,</w:t>
      </w:r>
      <w:r w:rsidRPr="00BB5026">
        <w:rPr>
          <w:lang w:eastAsia="en-AU"/>
        </w:rPr>
        <w:t xml:space="preserve"> charges </w:t>
      </w:r>
      <w:r w:rsidR="00CF3CC4">
        <w:rPr>
          <w:lang w:eastAsia="en-AU"/>
        </w:rPr>
        <w:t>we</w:t>
      </w:r>
      <w:r w:rsidRPr="00BB5026">
        <w:rPr>
          <w:lang w:eastAsia="en-AU"/>
        </w:rPr>
        <w:t>re very rarely laid under section 56.</w:t>
      </w:r>
      <w:r>
        <w:rPr>
          <w:rStyle w:val="FootnoteReference"/>
          <w:lang w:eastAsia="en-AU"/>
        </w:rPr>
        <w:footnoteReference w:id="73"/>
      </w:r>
    </w:p>
    <w:p w14:paraId="10EEBA46" w14:textId="77777777" w:rsidR="00783637" w:rsidRDefault="00BB5026" w:rsidP="00B51056">
      <w:pPr>
        <w:rPr>
          <w:lang w:eastAsia="en-AU"/>
        </w:rPr>
      </w:pPr>
      <w:r w:rsidRPr="00BB5026">
        <w:rPr>
          <w:lang w:eastAsia="en-AU"/>
        </w:rPr>
        <w:t xml:space="preserve">The Royal Commission conducted a detailed review of all Australian persistent child abuse offences and recommended that each state and territory government introduce legislation to amend its persistent child sexual abuse offence so that the unlawful sexual relationship, rather </w:t>
      </w:r>
      <w:r w:rsidRPr="00BB5026">
        <w:rPr>
          <w:lang w:eastAsia="en-AU"/>
        </w:rPr>
        <w:lastRenderedPageBreak/>
        <w:t>than individual sexual acts, constitutes the actus reus for the offence in accordance with the Model Provision.</w:t>
      </w:r>
      <w:r>
        <w:rPr>
          <w:rStyle w:val="FootnoteReference"/>
          <w:lang w:eastAsia="en-AU"/>
        </w:rPr>
        <w:footnoteReference w:id="74"/>
      </w:r>
      <w:r w:rsidR="00CF3CC4">
        <w:rPr>
          <w:lang w:eastAsia="en-AU"/>
        </w:rPr>
        <w:t xml:space="preserve">  </w:t>
      </w:r>
    </w:p>
    <w:p w14:paraId="64E6CAFC" w14:textId="3A19EA66" w:rsidR="00BB5026" w:rsidRDefault="00CF3CC4" w:rsidP="00B51056">
      <w:pPr>
        <w:rPr>
          <w:lang w:eastAsia="en-AU"/>
        </w:rPr>
      </w:pPr>
      <w:r>
        <w:rPr>
          <w:lang w:eastAsia="en-AU"/>
        </w:rPr>
        <w:t xml:space="preserve">In 2018, the Crimes Legislation Amendment Act 2018 substituted a new </w:t>
      </w:r>
      <w:r w:rsidR="00783637">
        <w:rPr>
          <w:lang w:eastAsia="en-AU"/>
        </w:rPr>
        <w:t>s 56 offence provision which endeavoured to introduce amendments consistent with the Royal Commission recommendations regarding persistent child sexual abuse offences.</w:t>
      </w:r>
    </w:p>
    <w:p w14:paraId="1D55FAA0" w14:textId="7E9DC3C5" w:rsidR="003969AF" w:rsidRPr="00B51056" w:rsidRDefault="00783637" w:rsidP="00B51056">
      <w:pPr>
        <w:rPr>
          <w:b/>
          <w:lang w:eastAsia="en-AU"/>
        </w:rPr>
      </w:pPr>
      <w:bookmarkStart w:id="78" w:name="_Toc1399164"/>
      <w:r>
        <w:rPr>
          <w:lang w:eastAsia="en-AU"/>
        </w:rPr>
        <w:t xml:space="preserve">The </w:t>
      </w:r>
      <w:r w:rsidRPr="00783637">
        <w:rPr>
          <w:lang w:eastAsia="en-AU"/>
        </w:rPr>
        <w:t xml:space="preserve">ACT Court of Appeal decision in the case of </w:t>
      </w:r>
      <w:r w:rsidRPr="00F24DE4">
        <w:rPr>
          <w:i/>
          <w:iCs/>
          <w:lang w:eastAsia="en-AU"/>
        </w:rPr>
        <w:t>KN v R</w:t>
      </w:r>
      <w:r w:rsidRPr="00783637">
        <w:rPr>
          <w:lang w:eastAsia="en-AU"/>
        </w:rPr>
        <w:t xml:space="preserve"> </w:t>
      </w:r>
      <w:bookmarkStart w:id="79" w:name="_Hlk38955661"/>
      <w:r w:rsidRPr="00783637">
        <w:rPr>
          <w:lang w:eastAsia="en-AU"/>
        </w:rPr>
        <w:t>[2019] ACTCA 37</w:t>
      </w:r>
      <w:bookmarkEnd w:id="79"/>
      <w:r w:rsidRPr="00783637">
        <w:rPr>
          <w:lang w:eastAsia="en-AU"/>
        </w:rPr>
        <w:t xml:space="preserve"> (</w:t>
      </w:r>
      <w:r w:rsidRPr="00F24DE4">
        <w:rPr>
          <w:i/>
          <w:iCs/>
          <w:lang w:eastAsia="en-AU"/>
        </w:rPr>
        <w:t>KN v R</w:t>
      </w:r>
      <w:r w:rsidRPr="00783637">
        <w:rPr>
          <w:lang w:eastAsia="en-AU"/>
        </w:rPr>
        <w:t>)</w:t>
      </w:r>
      <w:r>
        <w:rPr>
          <w:lang w:eastAsia="en-AU"/>
        </w:rPr>
        <w:t xml:space="preserve"> determined that s 56 as introduced in 2018 did not implement the Royal Commission recommendations as intended, including that the relationship was not the actus reus of the offence.</w:t>
      </w:r>
    </w:p>
    <w:p w14:paraId="0EE9A54D" w14:textId="7E094009" w:rsidR="00783637" w:rsidRDefault="00783637" w:rsidP="00783637">
      <w:pPr>
        <w:rPr>
          <w:lang w:eastAsia="en-AU"/>
        </w:rPr>
      </w:pPr>
      <w:r>
        <w:rPr>
          <w:u w:val="single"/>
          <w:lang w:eastAsia="en-AU"/>
        </w:rPr>
        <w:t xml:space="preserve">Substituted section 56 </w:t>
      </w:r>
      <w:r w:rsidRPr="00F24DE4">
        <w:rPr>
          <w:lang w:eastAsia="en-AU"/>
        </w:rPr>
        <w:t>changes the title of the offence to remove the word ‘maintaining’</w:t>
      </w:r>
      <w:r w:rsidR="00AA3A7D">
        <w:rPr>
          <w:lang w:eastAsia="en-AU"/>
        </w:rPr>
        <w:t>, as the offence provision only requires the relationship be engaged in</w:t>
      </w:r>
      <w:r>
        <w:rPr>
          <w:lang w:eastAsia="en-AU"/>
        </w:rPr>
        <w:t>.</w:t>
      </w:r>
    </w:p>
    <w:p w14:paraId="26512960" w14:textId="6FEDA350" w:rsidR="00783637" w:rsidRDefault="00783637" w:rsidP="00783637">
      <w:pPr>
        <w:rPr>
          <w:lang w:eastAsia="en-AU"/>
        </w:rPr>
      </w:pPr>
      <w:r>
        <w:rPr>
          <w:u w:val="single"/>
          <w:lang w:eastAsia="en-AU"/>
        </w:rPr>
        <w:t>S</w:t>
      </w:r>
      <w:r w:rsidR="00C628A9">
        <w:rPr>
          <w:u w:val="single"/>
          <w:lang w:eastAsia="en-AU"/>
        </w:rPr>
        <w:t>ubstituted s</w:t>
      </w:r>
      <w:r>
        <w:rPr>
          <w:u w:val="single"/>
          <w:lang w:eastAsia="en-AU"/>
        </w:rPr>
        <w:t xml:space="preserve">ection 56 (1) </w:t>
      </w:r>
      <w:r>
        <w:rPr>
          <w:lang w:eastAsia="en-AU"/>
        </w:rPr>
        <w:t xml:space="preserve">sets out the elements of the offence to more closely align with the Royal Commission recommendations regarding persistent child sexual abuse offences, and the Queensland provision of s 229B </w:t>
      </w:r>
      <w:r w:rsidR="00716E0C" w:rsidRPr="00BB5026">
        <w:rPr>
          <w:lang w:eastAsia="en-AU"/>
        </w:rPr>
        <w:t>Criminal Code (Qld)</w:t>
      </w:r>
      <w:r w:rsidR="00716E0C">
        <w:rPr>
          <w:lang w:eastAsia="en-AU"/>
        </w:rPr>
        <w:t xml:space="preserve">, </w:t>
      </w:r>
      <w:r>
        <w:rPr>
          <w:lang w:eastAsia="en-AU"/>
        </w:rPr>
        <w:t>as endorsed by the Royal Commission.  The relationship is the actus reus of the offence.</w:t>
      </w:r>
    </w:p>
    <w:p w14:paraId="01A433B6" w14:textId="7C98E700" w:rsidR="00783637" w:rsidRDefault="00783637" w:rsidP="00783637">
      <w:pPr>
        <w:rPr>
          <w:lang w:eastAsia="en-AU"/>
        </w:rPr>
      </w:pPr>
      <w:r>
        <w:rPr>
          <w:lang w:eastAsia="en-AU"/>
        </w:rPr>
        <w:t>Th</w:t>
      </w:r>
      <w:r w:rsidR="00AA3A7D">
        <w:rPr>
          <w:lang w:eastAsia="en-AU"/>
        </w:rPr>
        <w:t xml:space="preserve">e accused must have engaged in a relationship with a child or young person under special care, and </w:t>
      </w:r>
      <w:r w:rsidR="00EC47B3">
        <w:rPr>
          <w:lang w:eastAsia="en-AU"/>
        </w:rPr>
        <w:t xml:space="preserve">the relationship </w:t>
      </w:r>
      <w:r>
        <w:rPr>
          <w:lang w:eastAsia="en-AU"/>
        </w:rPr>
        <w:t xml:space="preserve">must involve more than one sexual act </w:t>
      </w:r>
      <w:r w:rsidR="00204A12">
        <w:rPr>
          <w:lang w:eastAsia="en-AU"/>
        </w:rPr>
        <w:t xml:space="preserve">by the accused </w:t>
      </w:r>
      <w:r>
        <w:rPr>
          <w:lang w:eastAsia="en-AU"/>
        </w:rPr>
        <w:t>against the child or young person</w:t>
      </w:r>
      <w:r w:rsidR="00EC47B3">
        <w:rPr>
          <w:lang w:eastAsia="en-AU"/>
        </w:rPr>
        <w:t>.</w:t>
      </w:r>
      <w:r>
        <w:rPr>
          <w:lang w:eastAsia="en-AU"/>
        </w:rPr>
        <w:t xml:space="preserve"> </w:t>
      </w:r>
    </w:p>
    <w:p w14:paraId="477598D4" w14:textId="41E57260" w:rsidR="00783637" w:rsidRDefault="00783637" w:rsidP="00783637">
      <w:pPr>
        <w:rPr>
          <w:lang w:eastAsia="en-AU"/>
        </w:rPr>
      </w:pPr>
      <w:r>
        <w:rPr>
          <w:u w:val="single"/>
          <w:lang w:eastAsia="en-AU"/>
        </w:rPr>
        <w:t>S</w:t>
      </w:r>
      <w:r w:rsidR="00C628A9">
        <w:rPr>
          <w:u w:val="single"/>
          <w:lang w:eastAsia="en-AU"/>
        </w:rPr>
        <w:t>ubstituted s</w:t>
      </w:r>
      <w:r>
        <w:rPr>
          <w:u w:val="single"/>
          <w:lang w:eastAsia="en-AU"/>
        </w:rPr>
        <w:t xml:space="preserve">ection 56 (2) </w:t>
      </w:r>
      <w:r w:rsidR="00EC47B3" w:rsidRPr="00045755">
        <w:rPr>
          <w:lang w:eastAsia="en-AU"/>
        </w:rPr>
        <w:t>varies from existing</w:t>
      </w:r>
      <w:r w:rsidR="00C628A9" w:rsidRPr="00045755">
        <w:rPr>
          <w:lang w:eastAsia="en-AU"/>
        </w:rPr>
        <w:t xml:space="preserve"> sections 56(2) and (3) to</w:t>
      </w:r>
      <w:r w:rsidR="00AA3A7D">
        <w:rPr>
          <w:lang w:eastAsia="en-AU"/>
        </w:rPr>
        <w:t xml:space="preserve"> include a broad definition of ‘relationship’ at paragraph (a), as it is not intended that the relationship need be of a </w:t>
      </w:r>
      <w:r w:rsidR="00A23FAE">
        <w:rPr>
          <w:lang w:eastAsia="en-AU"/>
        </w:rPr>
        <w:t>certain nature or particular class</w:t>
      </w:r>
      <w:r w:rsidR="00AA3A7D">
        <w:rPr>
          <w:lang w:eastAsia="en-AU"/>
        </w:rPr>
        <w:t>. Rather, it is simply the way in which the accused and child or young person are connected.</w:t>
      </w:r>
      <w:r w:rsidR="00B912F4">
        <w:rPr>
          <w:lang w:eastAsia="en-AU"/>
        </w:rPr>
        <w:t xml:space="preserve"> Section 56 (2) (b) makes it clear </w:t>
      </w:r>
      <w:r w:rsidR="00204A12">
        <w:rPr>
          <w:lang w:eastAsia="en-AU"/>
        </w:rPr>
        <w:t>that the relationship can</w:t>
      </w:r>
      <w:r w:rsidR="00EC47B3">
        <w:rPr>
          <w:lang w:eastAsia="en-AU"/>
        </w:rPr>
        <w:t xml:space="preserve"> have started, or started and ended before the</w:t>
      </w:r>
      <w:r w:rsidR="00204A12">
        <w:rPr>
          <w:lang w:eastAsia="en-AU"/>
        </w:rPr>
        <w:t xml:space="preserve"> day the law </w:t>
      </w:r>
      <w:r w:rsidR="00EC47B3">
        <w:rPr>
          <w:lang w:eastAsia="en-AU"/>
        </w:rPr>
        <w:t>i</w:t>
      </w:r>
      <w:r w:rsidR="00204A12">
        <w:rPr>
          <w:lang w:eastAsia="en-AU"/>
        </w:rPr>
        <w:t>s amended</w:t>
      </w:r>
      <w:r w:rsidR="00EC47B3">
        <w:rPr>
          <w:lang w:eastAsia="en-AU"/>
        </w:rPr>
        <w:t xml:space="preserve"> by this Bill</w:t>
      </w:r>
      <w:r w:rsidR="00204A12">
        <w:rPr>
          <w:lang w:eastAsia="en-AU"/>
        </w:rPr>
        <w:t>.</w:t>
      </w:r>
    </w:p>
    <w:p w14:paraId="6A914CA8" w14:textId="1A61ABBD" w:rsidR="00AA3A7D" w:rsidRDefault="00AA3A7D" w:rsidP="00783637">
      <w:pPr>
        <w:rPr>
          <w:lang w:eastAsia="en-AU"/>
        </w:rPr>
      </w:pPr>
      <w:r>
        <w:rPr>
          <w:u w:val="single"/>
          <w:lang w:eastAsia="en-AU"/>
        </w:rPr>
        <w:t>S</w:t>
      </w:r>
      <w:r w:rsidR="00C628A9">
        <w:rPr>
          <w:u w:val="single"/>
          <w:lang w:eastAsia="en-AU"/>
        </w:rPr>
        <w:t>ubstituted s</w:t>
      </w:r>
      <w:r>
        <w:rPr>
          <w:u w:val="single"/>
          <w:lang w:eastAsia="en-AU"/>
        </w:rPr>
        <w:t xml:space="preserve">ection 56 (3) </w:t>
      </w:r>
      <w:r w:rsidR="00C628A9" w:rsidRPr="00045755">
        <w:rPr>
          <w:lang w:eastAsia="en-AU"/>
        </w:rPr>
        <w:t>varies from existing section 56</w:t>
      </w:r>
      <w:r w:rsidR="00516721">
        <w:rPr>
          <w:lang w:eastAsia="en-AU"/>
        </w:rPr>
        <w:t xml:space="preserve"> </w:t>
      </w:r>
      <w:r w:rsidR="00C628A9" w:rsidRPr="00045755">
        <w:rPr>
          <w:lang w:eastAsia="en-AU"/>
        </w:rPr>
        <w:t>(4)</w:t>
      </w:r>
      <w:r w:rsidR="00126AFD" w:rsidRPr="0063693D">
        <w:rPr>
          <w:lang w:eastAsia="en-AU"/>
        </w:rPr>
        <w:t xml:space="preserve"> and </w:t>
      </w:r>
      <w:r>
        <w:rPr>
          <w:lang w:eastAsia="en-AU"/>
        </w:rPr>
        <w:t>requires the trier of fact to be unanimously satisfied beyond reasonable doubt that the actus reus of the relationship existed.  This is consistent with</w:t>
      </w:r>
      <w:r w:rsidR="00F23420">
        <w:rPr>
          <w:lang w:eastAsia="en-AU"/>
        </w:rPr>
        <w:t xml:space="preserve"> </w:t>
      </w:r>
      <w:r>
        <w:rPr>
          <w:lang w:eastAsia="en-AU"/>
        </w:rPr>
        <w:t>Royal Commission recommendations</w:t>
      </w:r>
      <w:r w:rsidR="00F23420">
        <w:rPr>
          <w:lang w:eastAsia="en-AU"/>
        </w:rPr>
        <w:t xml:space="preserve"> 21 and 22,</w:t>
      </w:r>
      <w:r>
        <w:rPr>
          <w:lang w:eastAsia="en-AU"/>
        </w:rPr>
        <w:t xml:space="preserve"> and aligns with s 229B of the </w:t>
      </w:r>
      <w:r w:rsidR="00716E0C" w:rsidRPr="00BB5026">
        <w:rPr>
          <w:lang w:eastAsia="en-AU"/>
        </w:rPr>
        <w:t>Criminal Code (Qld)</w:t>
      </w:r>
      <w:r>
        <w:rPr>
          <w:lang w:eastAsia="en-AU"/>
        </w:rPr>
        <w:t>.</w:t>
      </w:r>
      <w:r w:rsidR="0076393E">
        <w:rPr>
          <w:lang w:eastAsia="en-AU"/>
        </w:rPr>
        <w:t xml:space="preserve"> </w:t>
      </w:r>
      <w:r w:rsidR="0076393E" w:rsidRPr="0076393E">
        <w:rPr>
          <w:lang w:eastAsia="en-AU"/>
        </w:rPr>
        <w:t>The section is intended to clarify that the prosecution must prove the existence of the relationship, not the individual sexual acts, beyond reasonable doubt.</w:t>
      </w:r>
    </w:p>
    <w:p w14:paraId="44BC5809" w14:textId="768C443B" w:rsidR="00AA3A7D" w:rsidRDefault="00AA3A7D" w:rsidP="00783637">
      <w:pPr>
        <w:rPr>
          <w:lang w:eastAsia="en-AU"/>
        </w:rPr>
      </w:pPr>
      <w:r>
        <w:rPr>
          <w:u w:val="single"/>
          <w:lang w:eastAsia="en-AU"/>
        </w:rPr>
        <w:t>S</w:t>
      </w:r>
      <w:r w:rsidR="00C628A9">
        <w:rPr>
          <w:u w:val="single"/>
          <w:lang w:eastAsia="en-AU"/>
        </w:rPr>
        <w:t>ubstituted s</w:t>
      </w:r>
      <w:r>
        <w:rPr>
          <w:u w:val="single"/>
          <w:lang w:eastAsia="en-AU"/>
        </w:rPr>
        <w:t>ection 56 (4</w:t>
      </w:r>
      <w:r w:rsidRPr="0063693D">
        <w:rPr>
          <w:u w:val="single"/>
          <w:lang w:eastAsia="en-AU"/>
        </w:rPr>
        <w:t>)</w:t>
      </w:r>
      <w:r w:rsidRPr="0063693D">
        <w:rPr>
          <w:lang w:eastAsia="en-AU"/>
        </w:rPr>
        <w:t xml:space="preserve"> </w:t>
      </w:r>
      <w:r w:rsidR="00C628A9">
        <w:rPr>
          <w:lang w:eastAsia="en-AU"/>
        </w:rPr>
        <w:t>varies from existing section 56(5) with</w:t>
      </w:r>
      <w:r w:rsidR="0076393E" w:rsidRPr="0063693D">
        <w:rPr>
          <w:lang w:eastAsia="en-AU"/>
        </w:rPr>
        <w:t xml:space="preserve"> paragraph (c) amended to make clear </w:t>
      </w:r>
      <w:r w:rsidR="00F23420">
        <w:rPr>
          <w:lang w:eastAsia="en-AU"/>
        </w:rPr>
        <w:t>that if the trier of fact is a jury, all members of the jury need not agree on the same sexual acts committed as part of the relationship – only that the relationship existed and that it involved more than one sexual act.  This is consistent with (3) and with Royal Commission recommendations 21 and 22.</w:t>
      </w:r>
    </w:p>
    <w:p w14:paraId="505DF7D9" w14:textId="0A9968E7" w:rsidR="00F23420" w:rsidRPr="003677BE" w:rsidRDefault="00F23420" w:rsidP="00783637">
      <w:pPr>
        <w:rPr>
          <w:i/>
          <w:iCs/>
          <w:u w:val="single"/>
          <w:lang w:eastAsia="en-AU"/>
        </w:rPr>
      </w:pPr>
      <w:r w:rsidRPr="0063693D">
        <w:rPr>
          <w:u w:val="single"/>
          <w:lang w:eastAsia="en-AU"/>
        </w:rPr>
        <w:lastRenderedPageBreak/>
        <w:t>S</w:t>
      </w:r>
      <w:r w:rsidR="00C628A9">
        <w:rPr>
          <w:u w:val="single"/>
          <w:lang w:eastAsia="en-AU"/>
        </w:rPr>
        <w:t>ubstituted s</w:t>
      </w:r>
      <w:r w:rsidRPr="0063693D">
        <w:rPr>
          <w:u w:val="single"/>
          <w:lang w:eastAsia="en-AU"/>
        </w:rPr>
        <w:t xml:space="preserve">ection 56 (5) </w:t>
      </w:r>
      <w:r w:rsidR="00C628A9" w:rsidRPr="00045755">
        <w:rPr>
          <w:lang w:eastAsia="en-AU"/>
        </w:rPr>
        <w:t>replicates the requirements of existing section 56(6)</w:t>
      </w:r>
      <w:r w:rsidR="00C628A9">
        <w:rPr>
          <w:u w:val="single"/>
          <w:lang w:eastAsia="en-AU"/>
        </w:rPr>
        <w:t xml:space="preserve"> </w:t>
      </w:r>
      <w:r w:rsidR="00C628A9" w:rsidRPr="00045755">
        <w:rPr>
          <w:lang w:eastAsia="en-AU"/>
        </w:rPr>
        <w:t xml:space="preserve">that the prosecution is required to allege the particulars of the period of the relationship, and </w:t>
      </w:r>
      <w:r w:rsidR="00AC7B05" w:rsidRPr="0063693D">
        <w:rPr>
          <w:lang w:eastAsia="en-AU"/>
        </w:rPr>
        <w:t xml:space="preserve">paragraph (b) </w:t>
      </w:r>
      <w:r w:rsidR="001C3ABC">
        <w:rPr>
          <w:lang w:eastAsia="en-AU"/>
        </w:rPr>
        <w:t>has</w:t>
      </w:r>
      <w:r w:rsidR="00126AFD" w:rsidRPr="0063693D">
        <w:rPr>
          <w:lang w:eastAsia="en-AU"/>
        </w:rPr>
        <w:t xml:space="preserve"> been </w:t>
      </w:r>
      <w:r w:rsidR="00C628A9">
        <w:rPr>
          <w:lang w:eastAsia="en-AU"/>
        </w:rPr>
        <w:t>added</w:t>
      </w:r>
      <w:r w:rsidR="00516721">
        <w:rPr>
          <w:lang w:eastAsia="en-AU"/>
        </w:rPr>
        <w:t xml:space="preserve"> </w:t>
      </w:r>
      <w:r w:rsidR="00126AFD" w:rsidRPr="0063693D">
        <w:rPr>
          <w:lang w:eastAsia="en-AU"/>
        </w:rPr>
        <w:t xml:space="preserve">to clarify how the </w:t>
      </w:r>
      <w:r w:rsidR="00126AFD" w:rsidRPr="003677BE">
        <w:rPr>
          <w:lang w:eastAsia="en-AU"/>
        </w:rPr>
        <w:t>geographical nexus operates in relation to this offence</w:t>
      </w:r>
      <w:r w:rsidR="0063693D" w:rsidRPr="003677BE">
        <w:rPr>
          <w:lang w:eastAsia="en-AU"/>
        </w:rPr>
        <w:t>.</w:t>
      </w:r>
    </w:p>
    <w:p w14:paraId="746140FB" w14:textId="2E740229" w:rsidR="00BB7D66" w:rsidRDefault="00C628A9" w:rsidP="0063693D">
      <w:pPr>
        <w:rPr>
          <w:u w:val="single"/>
          <w:lang w:eastAsia="en-AU"/>
        </w:rPr>
      </w:pPr>
      <w:r>
        <w:rPr>
          <w:u w:val="single"/>
          <w:lang w:eastAsia="en-AU"/>
        </w:rPr>
        <w:t>Substituted s</w:t>
      </w:r>
      <w:r w:rsidR="00F23420" w:rsidRPr="003677BE">
        <w:rPr>
          <w:u w:val="single"/>
          <w:lang w:eastAsia="en-AU"/>
        </w:rPr>
        <w:t>ection 56 (6)</w:t>
      </w:r>
      <w:r w:rsidR="00AC7B05" w:rsidRPr="003677BE">
        <w:rPr>
          <w:u w:val="single"/>
          <w:lang w:eastAsia="en-AU"/>
        </w:rPr>
        <w:t xml:space="preserve"> </w:t>
      </w:r>
      <w:r w:rsidRPr="00045755">
        <w:rPr>
          <w:lang w:eastAsia="en-AU"/>
        </w:rPr>
        <w:t xml:space="preserve">replaces existing section 56(7) to provide for the </w:t>
      </w:r>
      <w:r w:rsidR="005413C9" w:rsidRPr="00045755">
        <w:rPr>
          <w:lang w:eastAsia="en-AU"/>
        </w:rPr>
        <w:t>determination of the penalty for this offence.  Substituted section 56(6)</w:t>
      </w:r>
      <w:r w:rsidR="00AC7B05" w:rsidRPr="003677BE">
        <w:rPr>
          <w:lang w:eastAsia="en-AU"/>
        </w:rPr>
        <w:t xml:space="preserve"> confirm</w:t>
      </w:r>
      <w:r w:rsidR="005413C9">
        <w:rPr>
          <w:lang w:eastAsia="en-AU"/>
        </w:rPr>
        <w:t>s</w:t>
      </w:r>
      <w:r w:rsidR="00F23420" w:rsidRPr="003677BE">
        <w:rPr>
          <w:lang w:eastAsia="en-AU"/>
        </w:rPr>
        <w:t xml:space="preserve"> that where an offence under section 56(1) occurred wholly or in part before the amendment day, the maximum penalty for the offence is the penalty in </w:t>
      </w:r>
      <w:r w:rsidR="002E34AD">
        <w:rPr>
          <w:lang w:eastAsia="en-AU"/>
        </w:rPr>
        <w:t>56</w:t>
      </w:r>
      <w:r w:rsidR="00F23420" w:rsidRPr="003677BE">
        <w:rPr>
          <w:lang w:eastAsia="en-AU"/>
        </w:rPr>
        <w:t xml:space="preserve">(1).  However, </w:t>
      </w:r>
      <w:r w:rsidR="00E62679">
        <w:rPr>
          <w:lang w:eastAsia="en-AU"/>
        </w:rPr>
        <w:t>to ensure compatibility with section 25 of the HR Act,</w:t>
      </w:r>
      <w:r w:rsidR="00E62679">
        <w:rPr>
          <w:i/>
          <w:iCs/>
          <w:lang w:eastAsia="en-AU"/>
        </w:rPr>
        <w:t xml:space="preserve"> </w:t>
      </w:r>
      <w:r w:rsidR="001C3ABC">
        <w:rPr>
          <w:lang w:eastAsia="en-AU"/>
        </w:rPr>
        <w:t xml:space="preserve">for an offence against section 56 where the period of the relationship occurred wholly or in part before 2 March 2018, the imposed sentence must not exceed </w:t>
      </w:r>
      <w:r w:rsidR="00E62679">
        <w:rPr>
          <w:lang w:eastAsia="en-AU"/>
        </w:rPr>
        <w:t>give</w:t>
      </w:r>
      <w:r w:rsidR="001C3ABC">
        <w:rPr>
          <w:lang w:eastAsia="en-AU"/>
        </w:rPr>
        <w:t xml:space="preserve">n penalties </w:t>
      </w:r>
      <w:r w:rsidR="00E62679">
        <w:rPr>
          <w:lang w:eastAsia="en-AU"/>
        </w:rPr>
        <w:t>determined by</w:t>
      </w:r>
      <w:r w:rsidR="001C3ABC">
        <w:rPr>
          <w:lang w:eastAsia="en-AU"/>
        </w:rPr>
        <w:t xml:space="preserve"> the period of the relationship</w:t>
      </w:r>
      <w:r w:rsidR="00E62679">
        <w:rPr>
          <w:lang w:eastAsia="en-AU"/>
        </w:rPr>
        <w:t xml:space="preserve"> – as detailed in Table 56.  </w:t>
      </w:r>
      <w:r w:rsidR="0076393E" w:rsidRPr="003677BE">
        <w:rPr>
          <w:lang w:eastAsia="en-AU"/>
        </w:rPr>
        <w:t xml:space="preserve">Section 34A of the </w:t>
      </w:r>
      <w:r w:rsidR="0076393E" w:rsidRPr="003677BE">
        <w:rPr>
          <w:i/>
          <w:iCs/>
          <w:lang w:eastAsia="en-AU"/>
        </w:rPr>
        <w:t xml:space="preserve">Crimes (Sentencing) Act 2005 </w:t>
      </w:r>
      <w:r w:rsidR="0076393E" w:rsidRPr="003677BE">
        <w:rPr>
          <w:lang w:eastAsia="en-AU"/>
        </w:rPr>
        <w:t>(ACT) also continues to apply in this scenario.</w:t>
      </w:r>
    </w:p>
    <w:p w14:paraId="72F80BC3" w14:textId="1DCC1A0B" w:rsidR="0063693D" w:rsidRDefault="005413C9" w:rsidP="0063693D">
      <w:r>
        <w:rPr>
          <w:u w:val="single"/>
          <w:lang w:eastAsia="en-AU"/>
        </w:rPr>
        <w:t>Substituted s</w:t>
      </w:r>
      <w:r w:rsidR="00F23420" w:rsidRPr="00C52C23">
        <w:rPr>
          <w:u w:val="single"/>
          <w:lang w:eastAsia="en-AU"/>
        </w:rPr>
        <w:t>ection 56 (7</w:t>
      </w:r>
      <w:r w:rsidR="00F23420" w:rsidRPr="00045755">
        <w:rPr>
          <w:lang w:eastAsia="en-AU"/>
        </w:rPr>
        <w:t>)</w:t>
      </w:r>
      <w:r w:rsidRPr="00045755">
        <w:rPr>
          <w:lang w:eastAsia="en-AU"/>
        </w:rPr>
        <w:t>, replaces existing section</w:t>
      </w:r>
      <w:r w:rsidR="00516721">
        <w:rPr>
          <w:lang w:eastAsia="en-AU"/>
        </w:rPr>
        <w:t xml:space="preserve"> </w:t>
      </w:r>
      <w:r w:rsidRPr="00CE4140">
        <w:rPr>
          <w:lang w:eastAsia="en-AU"/>
        </w:rPr>
        <w:t>56</w:t>
      </w:r>
      <w:r w:rsidR="00F23420" w:rsidRPr="00C52C23">
        <w:rPr>
          <w:lang w:eastAsia="en-AU"/>
        </w:rPr>
        <w:t xml:space="preserve"> (8)</w:t>
      </w:r>
      <w:r w:rsidR="00C52C23" w:rsidRPr="00C52C23">
        <w:rPr>
          <w:lang w:eastAsia="en-AU"/>
        </w:rPr>
        <w:t>.</w:t>
      </w:r>
    </w:p>
    <w:p w14:paraId="05B03702" w14:textId="6FCB61D6" w:rsidR="0063693D" w:rsidRDefault="0063693D" w:rsidP="0063693D">
      <w:r>
        <w:t xml:space="preserve">It was held in </w:t>
      </w:r>
      <w:r>
        <w:rPr>
          <w:i/>
          <w:iCs/>
        </w:rPr>
        <w:t>KN v R</w:t>
      </w:r>
      <w:r>
        <w:t xml:space="preserve"> at [82]:</w:t>
      </w:r>
    </w:p>
    <w:p w14:paraId="543AE88B" w14:textId="540EEBA9" w:rsidR="0063693D" w:rsidRDefault="0063693D" w:rsidP="0063693D">
      <w:pPr>
        <w:ind w:left="720"/>
      </w:pPr>
      <w:r>
        <w:t>We consider that ss 56(8) and (9) [</w:t>
      </w:r>
      <w:r>
        <w:rPr>
          <w:i/>
          <w:iCs/>
        </w:rPr>
        <w:t>renumbered to (7) and (8) in this Bill</w:t>
      </w:r>
      <w:r>
        <w:t>] unequivocally allow for concurrent charging and conviction, provided that the relationship charge and the specific sexual offence charges are prosecuted in the same indictment.</w:t>
      </w:r>
    </w:p>
    <w:p w14:paraId="5B7391C7" w14:textId="45B5DF79" w:rsidR="0063693D" w:rsidRPr="00AE6C47" w:rsidRDefault="0063693D" w:rsidP="0063693D">
      <w:r>
        <w:t>That statement aptly captures the intention of this provision.</w:t>
      </w:r>
    </w:p>
    <w:p w14:paraId="67A6B82C" w14:textId="4736C47C" w:rsidR="00F23420" w:rsidRDefault="008027AE" w:rsidP="00783637">
      <w:pPr>
        <w:rPr>
          <w:lang w:eastAsia="en-AU"/>
        </w:rPr>
      </w:pPr>
      <w:r>
        <w:rPr>
          <w:lang w:eastAsia="en-AU"/>
        </w:rPr>
        <w:t xml:space="preserve">Paragraph (b) makes clear that a person must not be </w:t>
      </w:r>
      <w:r w:rsidR="00204A12">
        <w:rPr>
          <w:lang w:eastAsia="en-AU"/>
        </w:rPr>
        <w:t xml:space="preserve">required to serve the </w:t>
      </w:r>
      <w:r>
        <w:rPr>
          <w:lang w:eastAsia="en-AU"/>
        </w:rPr>
        <w:t>sentence consecutively for an offence against subsection (1) and a sexual offence mentioned in paragraph (a) (ii), to prevent double punishment.</w:t>
      </w:r>
    </w:p>
    <w:p w14:paraId="0FBC9240" w14:textId="3A0FDE21" w:rsidR="00CF2DD6" w:rsidRDefault="00CF2DD6" w:rsidP="00783637">
      <w:pPr>
        <w:rPr>
          <w:lang w:eastAsia="en-AU"/>
        </w:rPr>
      </w:pPr>
      <w:r>
        <w:rPr>
          <w:u w:val="single"/>
          <w:lang w:eastAsia="en-AU"/>
        </w:rPr>
        <w:t>S</w:t>
      </w:r>
      <w:r w:rsidR="005413C9">
        <w:rPr>
          <w:u w:val="single"/>
          <w:lang w:eastAsia="en-AU"/>
        </w:rPr>
        <w:t>ubstituted s</w:t>
      </w:r>
      <w:r>
        <w:rPr>
          <w:u w:val="single"/>
          <w:lang w:eastAsia="en-AU"/>
        </w:rPr>
        <w:t>ection 56 (8)</w:t>
      </w:r>
      <w:r w:rsidRPr="00045755">
        <w:rPr>
          <w:lang w:eastAsia="en-AU"/>
        </w:rPr>
        <w:t xml:space="preserve"> </w:t>
      </w:r>
      <w:r w:rsidR="005413C9" w:rsidRPr="00045755">
        <w:rPr>
          <w:lang w:eastAsia="en-AU"/>
        </w:rPr>
        <w:t>replaces existing section 56(9) and</w:t>
      </w:r>
      <w:r w:rsidR="00516721" w:rsidRPr="00045755">
        <w:rPr>
          <w:lang w:eastAsia="en-AU"/>
        </w:rPr>
        <w:t xml:space="preserve"> </w:t>
      </w:r>
      <w:r w:rsidR="005413C9">
        <w:rPr>
          <w:lang w:eastAsia="en-AU"/>
        </w:rPr>
        <w:t>i</w:t>
      </w:r>
      <w:r>
        <w:rPr>
          <w:lang w:eastAsia="en-AU"/>
        </w:rPr>
        <w:t>s unchanged</w:t>
      </w:r>
      <w:r w:rsidR="005413C9">
        <w:rPr>
          <w:lang w:eastAsia="en-AU"/>
        </w:rPr>
        <w:t xml:space="preserve">, </w:t>
      </w:r>
      <w:bookmarkStart w:id="80" w:name="_Hlk43905951"/>
      <w:r w:rsidR="005413C9">
        <w:rPr>
          <w:lang w:eastAsia="en-AU"/>
        </w:rPr>
        <w:t>other than to reflect references to a ‘relationship’ rather than a ‘sexual relationship’ and the numbering of substituted section 56</w:t>
      </w:r>
      <w:bookmarkEnd w:id="80"/>
      <w:r>
        <w:rPr>
          <w:lang w:eastAsia="en-AU"/>
        </w:rPr>
        <w:t xml:space="preserve">.  </w:t>
      </w:r>
    </w:p>
    <w:p w14:paraId="69B7BDBE" w14:textId="6567BF73" w:rsidR="00CF2DD6" w:rsidRDefault="00CF2DD6" w:rsidP="00783637">
      <w:pPr>
        <w:rPr>
          <w:lang w:eastAsia="en-AU"/>
        </w:rPr>
      </w:pPr>
      <w:r w:rsidRPr="00F24DE4">
        <w:rPr>
          <w:u w:val="single"/>
          <w:lang w:eastAsia="en-AU"/>
        </w:rPr>
        <w:t>S</w:t>
      </w:r>
      <w:r w:rsidR="005413C9">
        <w:rPr>
          <w:u w:val="single"/>
          <w:lang w:eastAsia="en-AU"/>
        </w:rPr>
        <w:t>ubstituted s</w:t>
      </w:r>
      <w:r w:rsidRPr="00F24DE4">
        <w:rPr>
          <w:u w:val="single"/>
          <w:lang w:eastAsia="en-AU"/>
        </w:rPr>
        <w:t>ection 56 (9</w:t>
      </w:r>
      <w:r>
        <w:rPr>
          <w:u w:val="single"/>
          <w:lang w:eastAsia="en-AU"/>
        </w:rPr>
        <w:t>)</w:t>
      </w:r>
      <w:r w:rsidRPr="00045755">
        <w:rPr>
          <w:lang w:eastAsia="en-AU"/>
        </w:rPr>
        <w:t xml:space="preserve"> </w:t>
      </w:r>
      <w:r w:rsidR="005413C9" w:rsidRPr="00045755">
        <w:rPr>
          <w:lang w:eastAsia="en-AU"/>
        </w:rPr>
        <w:t xml:space="preserve">replaces existing section 56 (10) and is </w:t>
      </w:r>
      <w:r w:rsidRPr="00CE4140">
        <w:rPr>
          <w:lang w:eastAsia="en-AU"/>
        </w:rPr>
        <w:t xml:space="preserve"> </w:t>
      </w:r>
      <w:r>
        <w:rPr>
          <w:lang w:eastAsia="en-AU"/>
        </w:rPr>
        <w:t>unchanged</w:t>
      </w:r>
      <w:r w:rsidR="005413C9">
        <w:rPr>
          <w:lang w:eastAsia="en-AU"/>
        </w:rPr>
        <w:t xml:space="preserve"> other than to reflect the numbering of substituted section 56.</w:t>
      </w:r>
    </w:p>
    <w:p w14:paraId="2D27857E" w14:textId="3EE4F2E1" w:rsidR="00CF2DD6" w:rsidRDefault="00CF2DD6" w:rsidP="00783637">
      <w:pPr>
        <w:rPr>
          <w:lang w:eastAsia="en-AU"/>
        </w:rPr>
      </w:pPr>
      <w:r>
        <w:rPr>
          <w:u w:val="single"/>
          <w:lang w:eastAsia="en-AU"/>
        </w:rPr>
        <w:t>S</w:t>
      </w:r>
      <w:r w:rsidR="00C95BC8">
        <w:rPr>
          <w:u w:val="single"/>
          <w:lang w:eastAsia="en-AU"/>
        </w:rPr>
        <w:t>ubstituted s</w:t>
      </w:r>
      <w:r>
        <w:rPr>
          <w:u w:val="single"/>
          <w:lang w:eastAsia="en-AU"/>
        </w:rPr>
        <w:t>ection 56 (10)</w:t>
      </w:r>
      <w:r w:rsidRPr="00045755">
        <w:rPr>
          <w:lang w:eastAsia="en-AU"/>
        </w:rPr>
        <w:t xml:space="preserve">  </w:t>
      </w:r>
      <w:r>
        <w:rPr>
          <w:lang w:eastAsia="en-AU"/>
        </w:rPr>
        <w:t>require</w:t>
      </w:r>
      <w:r w:rsidR="00C95BC8">
        <w:rPr>
          <w:lang w:eastAsia="en-AU"/>
        </w:rPr>
        <w:t>s</w:t>
      </w:r>
      <w:r>
        <w:rPr>
          <w:lang w:eastAsia="en-AU"/>
        </w:rPr>
        <w:t xml:space="preserve"> the consent of the director of public prosecutions to start a proceeding for an offence under this section.</w:t>
      </w:r>
      <w:r w:rsidR="00D13320">
        <w:rPr>
          <w:lang w:eastAsia="en-AU"/>
        </w:rPr>
        <w:t xml:space="preserve"> This aligns the section more closely with the requirements for proceeding with a course of conduct charge under section 66B.</w:t>
      </w:r>
    </w:p>
    <w:p w14:paraId="757F011D" w14:textId="125641C6" w:rsidR="00AC7B05" w:rsidRDefault="00AC7B05" w:rsidP="00783637">
      <w:pPr>
        <w:rPr>
          <w:lang w:eastAsia="en-AU"/>
        </w:rPr>
      </w:pPr>
      <w:r w:rsidRPr="00045755">
        <w:rPr>
          <w:u w:val="single"/>
          <w:lang w:eastAsia="en-AU"/>
        </w:rPr>
        <w:t>S</w:t>
      </w:r>
      <w:r w:rsidR="00C95BC8" w:rsidRPr="00045755">
        <w:rPr>
          <w:u w:val="single"/>
          <w:lang w:eastAsia="en-AU"/>
        </w:rPr>
        <w:t>ubstituted s</w:t>
      </w:r>
      <w:r w:rsidRPr="00045755">
        <w:rPr>
          <w:u w:val="single"/>
          <w:lang w:eastAsia="en-AU"/>
        </w:rPr>
        <w:t>ection 56 (11)</w:t>
      </w:r>
      <w:r>
        <w:rPr>
          <w:lang w:eastAsia="en-AU"/>
        </w:rPr>
        <w:t xml:space="preserve"> remains unchanged</w:t>
      </w:r>
      <w:r w:rsidR="00C95BC8">
        <w:rPr>
          <w:lang w:eastAsia="en-AU"/>
        </w:rPr>
        <w:t xml:space="preserve"> from existing section 56(11)</w:t>
      </w:r>
      <w:r>
        <w:rPr>
          <w:lang w:eastAsia="en-AU"/>
        </w:rPr>
        <w:t>.</w:t>
      </w:r>
    </w:p>
    <w:p w14:paraId="57BD9425" w14:textId="16C9FED7" w:rsidR="00783637" w:rsidRPr="00B51056" w:rsidRDefault="00AC7B05" w:rsidP="00B51056">
      <w:pPr>
        <w:rPr>
          <w:lang w:eastAsia="en-AU"/>
        </w:rPr>
      </w:pPr>
      <w:r w:rsidRPr="00045755">
        <w:rPr>
          <w:u w:val="single"/>
          <w:lang w:eastAsia="en-AU"/>
        </w:rPr>
        <w:t>S</w:t>
      </w:r>
      <w:r w:rsidR="00C95BC8" w:rsidRPr="00045755">
        <w:rPr>
          <w:u w:val="single"/>
          <w:lang w:eastAsia="en-AU"/>
        </w:rPr>
        <w:t>ubstituted s</w:t>
      </w:r>
      <w:r w:rsidRPr="00045755">
        <w:rPr>
          <w:u w:val="single"/>
          <w:lang w:eastAsia="en-AU"/>
        </w:rPr>
        <w:t>ection 56 (12)</w:t>
      </w:r>
      <w:r w:rsidR="00C95BC8">
        <w:rPr>
          <w:lang w:eastAsia="en-AU"/>
        </w:rPr>
        <w:t xml:space="preserve"> sets out the definition of terms used in this provision, replacing existing secti</w:t>
      </w:r>
      <w:r w:rsidR="00874A94">
        <w:rPr>
          <w:lang w:eastAsia="en-AU"/>
        </w:rPr>
        <w:t>o</w:t>
      </w:r>
      <w:r w:rsidR="00C95BC8">
        <w:rPr>
          <w:lang w:eastAsia="en-AU"/>
        </w:rPr>
        <w:t>n 56(13).  It</w:t>
      </w:r>
      <w:r>
        <w:rPr>
          <w:lang w:eastAsia="en-AU"/>
        </w:rPr>
        <w:t xml:space="preserve"> </w:t>
      </w:r>
      <w:r w:rsidR="00874A94">
        <w:rPr>
          <w:lang w:eastAsia="en-AU"/>
        </w:rPr>
        <w:t>varies from the existing section to i</w:t>
      </w:r>
      <w:r>
        <w:rPr>
          <w:lang w:eastAsia="en-AU"/>
        </w:rPr>
        <w:t xml:space="preserve">nclude a definition of ‘child’ and an </w:t>
      </w:r>
      <w:r w:rsidR="00874A94">
        <w:rPr>
          <w:lang w:eastAsia="en-AU"/>
        </w:rPr>
        <w:t xml:space="preserve">changed </w:t>
      </w:r>
      <w:r>
        <w:rPr>
          <w:lang w:eastAsia="en-AU"/>
        </w:rPr>
        <w:t xml:space="preserve">definition of ‘young person’, to align section 56 with section 55A.  </w:t>
      </w:r>
      <w:r w:rsidR="00E62679">
        <w:rPr>
          <w:lang w:eastAsia="en-AU"/>
        </w:rPr>
        <w:t>It also now includes definitions for ‘1991 maximum penalty’ and ‘current maximum penalty’</w:t>
      </w:r>
      <w:r w:rsidR="003211BD">
        <w:rPr>
          <w:lang w:eastAsia="en-AU"/>
        </w:rPr>
        <w:t xml:space="preserve">, in relation to </w:t>
      </w:r>
      <w:r w:rsidR="00E62679">
        <w:rPr>
          <w:lang w:eastAsia="en-AU"/>
        </w:rPr>
        <w:t>s</w:t>
      </w:r>
      <w:r w:rsidR="003211BD">
        <w:rPr>
          <w:lang w:eastAsia="en-AU"/>
        </w:rPr>
        <w:t xml:space="preserve">ection 56 (6).  </w:t>
      </w:r>
      <w:r>
        <w:rPr>
          <w:lang w:eastAsia="en-AU"/>
        </w:rPr>
        <w:t xml:space="preserve">The definition of ‘special care’ is that in section 55A (2).  ‘Amendment day’ </w:t>
      </w:r>
      <w:r>
        <w:rPr>
          <w:lang w:eastAsia="en-AU"/>
        </w:rPr>
        <w:lastRenderedPageBreak/>
        <w:t xml:space="preserve">has also been </w:t>
      </w:r>
      <w:r w:rsidR="00874A94">
        <w:rPr>
          <w:lang w:eastAsia="en-AU"/>
        </w:rPr>
        <w:t>changed</w:t>
      </w:r>
      <w:r>
        <w:rPr>
          <w:lang w:eastAsia="en-AU"/>
        </w:rPr>
        <w:t xml:space="preserve"> to mean the day section 3 of the </w:t>
      </w:r>
      <w:r>
        <w:rPr>
          <w:i/>
          <w:iCs/>
          <w:lang w:eastAsia="en-AU"/>
        </w:rPr>
        <w:t>Royal Commission Criminal Justice Legislation Amendment Act 2020</w:t>
      </w:r>
      <w:r>
        <w:rPr>
          <w:lang w:eastAsia="en-AU"/>
        </w:rPr>
        <w:t xml:space="preserve"> commenced.</w:t>
      </w:r>
      <w:r w:rsidR="00E62679">
        <w:rPr>
          <w:lang w:eastAsia="en-AU"/>
        </w:rPr>
        <w:t xml:space="preserve">  </w:t>
      </w:r>
    </w:p>
    <w:p w14:paraId="32BD4423" w14:textId="7AE31682" w:rsidR="0030162B" w:rsidRDefault="00B10644" w:rsidP="0030162B">
      <w:pPr>
        <w:pStyle w:val="Heading3"/>
        <w:rPr>
          <w:bCs/>
          <w:i/>
          <w:iCs/>
          <w:lang w:eastAsia="en-AU"/>
        </w:rPr>
      </w:pPr>
      <w:bookmarkStart w:id="81" w:name="_Toc43913456"/>
      <w:r w:rsidRPr="0030162B">
        <w:t xml:space="preserve">Clause </w:t>
      </w:r>
      <w:r w:rsidR="00A47E36">
        <w:fldChar w:fldCharType="begin"/>
      </w:r>
      <w:r w:rsidR="00A47E36">
        <w:instrText xml:space="preserve"> SEQ Clause \* ARABIC </w:instrText>
      </w:r>
      <w:r w:rsidR="00A47E36">
        <w:fldChar w:fldCharType="separate"/>
      </w:r>
      <w:r w:rsidR="007119B1">
        <w:rPr>
          <w:noProof/>
        </w:rPr>
        <w:t>7</w:t>
      </w:r>
      <w:r w:rsidR="00A47E36">
        <w:rPr>
          <w:noProof/>
        </w:rPr>
        <w:fldChar w:fldCharType="end"/>
      </w:r>
      <w:r w:rsidRPr="0030162B">
        <w:t xml:space="preserve"> – </w:t>
      </w:r>
      <w:r w:rsidR="00716E0C" w:rsidRPr="0030162B">
        <w:t xml:space="preserve">Act of indecency with young person under special care, </w:t>
      </w:r>
      <w:r w:rsidRPr="0030162B">
        <w:t xml:space="preserve">Section </w:t>
      </w:r>
      <w:r w:rsidR="00716E0C" w:rsidRPr="0030162B">
        <w:t xml:space="preserve">61A </w:t>
      </w:r>
      <w:r w:rsidRPr="0030162B">
        <w:t xml:space="preserve">(2), </w:t>
      </w:r>
      <w:bookmarkEnd w:id="78"/>
      <w:r w:rsidR="00716E0C" w:rsidRPr="0030162B">
        <w:t>omit</w:t>
      </w:r>
      <w:bookmarkEnd w:id="81"/>
      <w:r w:rsidR="0030162B" w:rsidRPr="0030162B">
        <w:rPr>
          <w:bCs/>
          <w:i/>
          <w:iCs/>
          <w:lang w:eastAsia="en-AU"/>
        </w:rPr>
        <w:t xml:space="preserve"> </w:t>
      </w:r>
    </w:p>
    <w:p w14:paraId="07690512" w14:textId="793325C5" w:rsidR="00716E0C" w:rsidRDefault="00B10644" w:rsidP="0030162B">
      <w:r>
        <w:t xml:space="preserve">This clause </w:t>
      </w:r>
      <w:r w:rsidR="00716E0C">
        <w:t>omits section 61A (2).</w:t>
      </w:r>
    </w:p>
    <w:p w14:paraId="415C5F58" w14:textId="144A5745" w:rsidR="00DA63E2" w:rsidRDefault="00DA63E2" w:rsidP="00DA63E2">
      <w:pPr>
        <w:pStyle w:val="Heading3"/>
        <w:rPr>
          <w:i/>
          <w:iCs/>
          <w:lang w:eastAsia="en-AU"/>
        </w:rPr>
      </w:pPr>
      <w:bookmarkStart w:id="82" w:name="_Toc43913457"/>
      <w:r>
        <w:rPr>
          <w:lang w:eastAsia="en-AU"/>
        </w:rPr>
        <w:t xml:space="preserve">Clause </w:t>
      </w:r>
      <w:r w:rsidR="00A47E36">
        <w:fldChar w:fldCharType="begin"/>
      </w:r>
      <w:r w:rsidR="00A47E36">
        <w:instrText xml:space="preserve"> SEQ Clause \* ARABIC </w:instrText>
      </w:r>
      <w:r w:rsidR="00A47E36">
        <w:fldChar w:fldCharType="separate"/>
      </w:r>
      <w:r w:rsidR="007119B1">
        <w:rPr>
          <w:noProof/>
        </w:rPr>
        <w:t>8</w:t>
      </w:r>
      <w:r w:rsidR="00A47E36">
        <w:rPr>
          <w:noProof/>
        </w:rPr>
        <w:fldChar w:fldCharType="end"/>
      </w:r>
      <w:r>
        <w:rPr>
          <w:lang w:eastAsia="en-AU"/>
        </w:rPr>
        <w:t xml:space="preserve"> –Section 61A (5), definitions</w:t>
      </w:r>
      <w:bookmarkEnd w:id="82"/>
    </w:p>
    <w:p w14:paraId="63587B82" w14:textId="1F8152CD" w:rsidR="00067D3E" w:rsidRDefault="00067D3E" w:rsidP="00067D3E">
      <w:pPr>
        <w:rPr>
          <w:lang w:eastAsia="en-AU"/>
        </w:rPr>
      </w:pPr>
      <w:bookmarkStart w:id="83" w:name="_Hlk43907918"/>
      <w:r>
        <w:t>This clause omits a number of definitions from s 61A, as these terms are defined in</w:t>
      </w:r>
      <w:r w:rsidR="00CE4140">
        <w:t xml:space="preserve"> </w:t>
      </w:r>
      <w:r>
        <w:t xml:space="preserve">section 55A and </w:t>
      </w:r>
      <w:r w:rsidR="00513DE2">
        <w:t xml:space="preserve">the amendment made by clause 9 renders these definitions in section </w:t>
      </w:r>
      <w:r>
        <w:t>61A</w:t>
      </w:r>
      <w:r w:rsidR="00513DE2">
        <w:t xml:space="preserve"> redundant</w:t>
      </w:r>
      <w:r>
        <w:t xml:space="preserve">. </w:t>
      </w:r>
    </w:p>
    <w:p w14:paraId="7F1A0C7E" w14:textId="45E14B64" w:rsidR="0030162B" w:rsidRDefault="0030162B" w:rsidP="0030162B">
      <w:pPr>
        <w:pStyle w:val="Heading3"/>
        <w:rPr>
          <w:i/>
          <w:iCs/>
          <w:lang w:eastAsia="en-AU"/>
        </w:rPr>
      </w:pPr>
      <w:bookmarkStart w:id="84" w:name="_Toc43913458"/>
      <w:bookmarkEnd w:id="83"/>
      <w:r>
        <w:rPr>
          <w:lang w:eastAsia="en-AU"/>
        </w:rPr>
        <w:t xml:space="preserve">Clause </w:t>
      </w:r>
      <w:r w:rsidR="00A47E36">
        <w:fldChar w:fldCharType="begin"/>
      </w:r>
      <w:r w:rsidR="00A47E36">
        <w:instrText xml:space="preserve"> SEQ Cla</w:instrText>
      </w:r>
      <w:r w:rsidR="00A47E36">
        <w:instrText xml:space="preserve">use \* ARABIC </w:instrText>
      </w:r>
      <w:r w:rsidR="00A47E36">
        <w:fldChar w:fldCharType="separate"/>
      </w:r>
      <w:r w:rsidR="007119B1">
        <w:rPr>
          <w:noProof/>
        </w:rPr>
        <w:t>9</w:t>
      </w:r>
      <w:r w:rsidR="00A47E36">
        <w:rPr>
          <w:noProof/>
        </w:rPr>
        <w:fldChar w:fldCharType="end"/>
      </w:r>
      <w:r>
        <w:rPr>
          <w:lang w:eastAsia="en-AU"/>
        </w:rPr>
        <w:t xml:space="preserve"> –Section 61A (5), new definition of </w:t>
      </w:r>
      <w:r>
        <w:rPr>
          <w:i/>
          <w:iCs/>
          <w:lang w:eastAsia="en-AU"/>
        </w:rPr>
        <w:t>special care</w:t>
      </w:r>
      <w:bookmarkEnd w:id="84"/>
    </w:p>
    <w:p w14:paraId="29E60AAB" w14:textId="6FABDCB3" w:rsidR="00513DE2" w:rsidRDefault="00B666D4" w:rsidP="00045755">
      <w:r w:rsidRPr="00C6063F">
        <w:t xml:space="preserve">This clause </w:t>
      </w:r>
      <w:r w:rsidR="00513DE2">
        <w:t xml:space="preserve">inserts a new provision to apply the definition of </w:t>
      </w:r>
      <w:r w:rsidR="00513DE2" w:rsidRPr="00045755">
        <w:rPr>
          <w:b/>
          <w:i/>
          <w:iCs/>
        </w:rPr>
        <w:t>special care</w:t>
      </w:r>
      <w:r w:rsidR="00513DE2">
        <w:t xml:space="preserve"> in section 55A(2) for the purposes of section 61A.  </w:t>
      </w:r>
      <w:r w:rsidR="00DF6F9F">
        <w:t>This is one of a number of amendments in the Bill to ensure that a consistent definition of this term applies for the offences at sections 55A, 56 and 61A.</w:t>
      </w:r>
    </w:p>
    <w:p w14:paraId="19519DBF" w14:textId="6673C77C" w:rsidR="00E470BA" w:rsidRDefault="00E470BA" w:rsidP="0030162B">
      <w:pPr>
        <w:pStyle w:val="Heading3"/>
        <w:rPr>
          <w:lang w:eastAsia="en-AU"/>
        </w:rPr>
      </w:pPr>
      <w:bookmarkStart w:id="85" w:name="_Toc43913459"/>
      <w:r w:rsidRPr="00797A74">
        <w:rPr>
          <w:lang w:eastAsia="en-AU"/>
        </w:rPr>
        <w:t xml:space="preserve">Clause </w:t>
      </w:r>
      <w:r w:rsidR="00A47E36">
        <w:fldChar w:fldCharType="begin"/>
      </w:r>
      <w:r w:rsidR="00A47E36">
        <w:instrText xml:space="preserve"> SEQ Clause \* ARABIC </w:instrText>
      </w:r>
      <w:r w:rsidR="00A47E36">
        <w:fldChar w:fldCharType="separate"/>
      </w:r>
      <w:r w:rsidR="007119B1">
        <w:rPr>
          <w:noProof/>
        </w:rPr>
        <w:t>10</w:t>
      </w:r>
      <w:r w:rsidR="00A47E36">
        <w:rPr>
          <w:noProof/>
        </w:rPr>
        <w:fldChar w:fldCharType="end"/>
      </w:r>
      <w:r w:rsidRPr="00797A74">
        <w:rPr>
          <w:lang w:eastAsia="en-AU"/>
        </w:rPr>
        <w:t xml:space="preserve"> </w:t>
      </w:r>
      <w:r w:rsidR="00797A74">
        <w:rPr>
          <w:lang w:eastAsia="en-AU"/>
        </w:rPr>
        <w:t xml:space="preserve">– </w:t>
      </w:r>
      <w:r w:rsidR="00797A74" w:rsidRPr="00797A74">
        <w:rPr>
          <w:lang w:eastAsia="en-AU"/>
        </w:rPr>
        <w:t>Failure by person in authority to protect child or young person from sexual offence</w:t>
      </w:r>
      <w:r w:rsidR="00CE4140">
        <w:rPr>
          <w:lang w:eastAsia="en-AU"/>
        </w:rPr>
        <w:t>, new section</w:t>
      </w:r>
      <w:r w:rsidR="00797A74">
        <w:rPr>
          <w:lang w:eastAsia="en-AU"/>
        </w:rPr>
        <w:t xml:space="preserve"> 66A (2) (aa).</w:t>
      </w:r>
      <w:bookmarkEnd w:id="85"/>
    </w:p>
    <w:p w14:paraId="75165EE5" w14:textId="5BCC9611" w:rsidR="00797A74" w:rsidRDefault="00797A74" w:rsidP="00B10644">
      <w:pPr>
        <w:rPr>
          <w:lang w:eastAsia="en-AU"/>
        </w:rPr>
      </w:pPr>
      <w:r>
        <w:rPr>
          <w:lang w:eastAsia="en-AU"/>
        </w:rPr>
        <w:t xml:space="preserve">This clause inserts new paragraph (aa) which provides that </w:t>
      </w:r>
      <w:r w:rsidRPr="00797A74">
        <w:rPr>
          <w:lang w:eastAsia="en-AU"/>
        </w:rPr>
        <w:t>for subsection (1) (c), it does not matter that the first person is aware of the risk mentioned in subsection (1) (b) because of information communicated to the person during a religious confession</w:t>
      </w:r>
      <w:r>
        <w:rPr>
          <w:lang w:eastAsia="en-AU"/>
        </w:rPr>
        <w:t>.</w:t>
      </w:r>
      <w:r w:rsidR="00DF6F9F">
        <w:rPr>
          <w:lang w:eastAsia="en-AU"/>
        </w:rPr>
        <w:t xml:space="preserve">  The intent of this amendment is to make clear that a person in authority, in a relevant institution, cannot rely on the fact of information having been communicated to them during a religious confession to avoid criminal liability for the offence of failure to protect a child or young person from the risk that a sexual offence will be committed against them.</w:t>
      </w:r>
    </w:p>
    <w:p w14:paraId="3692E523" w14:textId="28011070" w:rsidR="00797A74" w:rsidRDefault="00797A74" w:rsidP="0030162B">
      <w:pPr>
        <w:pStyle w:val="Heading3"/>
        <w:rPr>
          <w:lang w:eastAsia="en-AU"/>
        </w:rPr>
      </w:pPr>
      <w:bookmarkStart w:id="86" w:name="_Toc43913460"/>
      <w:r>
        <w:rPr>
          <w:lang w:eastAsia="en-AU"/>
        </w:rPr>
        <w:t xml:space="preserve">Clause </w:t>
      </w:r>
      <w:r w:rsidR="00A47E36">
        <w:fldChar w:fldCharType="begin"/>
      </w:r>
      <w:r w:rsidR="00A47E36">
        <w:instrText xml:space="preserve"> SEQ Clause \* ARABIC </w:instrText>
      </w:r>
      <w:r w:rsidR="00A47E36">
        <w:fldChar w:fldCharType="separate"/>
      </w:r>
      <w:r w:rsidR="007119B1">
        <w:rPr>
          <w:noProof/>
        </w:rPr>
        <w:t>11</w:t>
      </w:r>
      <w:r w:rsidR="00A47E36">
        <w:rPr>
          <w:noProof/>
        </w:rPr>
        <w:fldChar w:fldCharType="end"/>
      </w:r>
      <w:r>
        <w:rPr>
          <w:lang w:eastAsia="en-AU"/>
        </w:rPr>
        <w:t xml:space="preserve"> – </w:t>
      </w:r>
      <w:r w:rsidR="00CE4140">
        <w:rPr>
          <w:lang w:eastAsia="en-AU"/>
        </w:rPr>
        <w:t>Section 66A (5), new d</w:t>
      </w:r>
      <w:r w:rsidRPr="00797A74">
        <w:rPr>
          <w:lang w:eastAsia="en-AU"/>
        </w:rPr>
        <w:t>efinition of religious confession</w:t>
      </w:r>
      <w:bookmarkEnd w:id="86"/>
    </w:p>
    <w:p w14:paraId="31AD8060" w14:textId="0442D730" w:rsidR="00797A74" w:rsidRDefault="00797A74" w:rsidP="00B10644">
      <w:pPr>
        <w:rPr>
          <w:lang w:eastAsia="en-AU"/>
        </w:rPr>
      </w:pPr>
      <w:r>
        <w:rPr>
          <w:lang w:eastAsia="en-AU"/>
        </w:rPr>
        <w:t>This clause inserts a definition of religious confession by reference to s 66AA (8).</w:t>
      </w:r>
    </w:p>
    <w:p w14:paraId="1345F534" w14:textId="77777777" w:rsidR="00B51056" w:rsidRPr="00B51056" w:rsidRDefault="00B51056" w:rsidP="00B10644">
      <w:pPr>
        <w:rPr>
          <w:lang w:eastAsia="en-AU"/>
        </w:rPr>
      </w:pPr>
    </w:p>
    <w:p w14:paraId="62F22CD5" w14:textId="586B710B" w:rsidR="00B10644" w:rsidRPr="00A511E0" w:rsidRDefault="00B10644" w:rsidP="00B10644">
      <w:pPr>
        <w:pStyle w:val="Heading1"/>
        <w:rPr>
          <w:lang w:eastAsia="en-AU"/>
        </w:rPr>
      </w:pPr>
      <w:bookmarkStart w:id="87" w:name="_Toc1399165"/>
      <w:bookmarkStart w:id="88" w:name="_Toc43913461"/>
      <w:r w:rsidRPr="00A511E0">
        <w:rPr>
          <w:lang w:eastAsia="en-AU"/>
        </w:rPr>
        <w:t xml:space="preserve">Part </w:t>
      </w:r>
      <w:r w:rsidRPr="00A511E0">
        <w:rPr>
          <w:lang w:eastAsia="en-AU"/>
        </w:rPr>
        <w:fldChar w:fldCharType="begin"/>
      </w:r>
      <w:r w:rsidRPr="00A511E0">
        <w:rPr>
          <w:lang w:eastAsia="en-AU"/>
        </w:rPr>
        <w:instrText xml:space="preserve"> SEQ Part \* ARABIC </w:instrText>
      </w:r>
      <w:r w:rsidRPr="00A511E0">
        <w:rPr>
          <w:lang w:eastAsia="en-AU"/>
        </w:rPr>
        <w:fldChar w:fldCharType="separate"/>
      </w:r>
      <w:r w:rsidR="007119B1">
        <w:rPr>
          <w:noProof/>
          <w:lang w:eastAsia="en-AU"/>
        </w:rPr>
        <w:t>3</w:t>
      </w:r>
      <w:r w:rsidRPr="00A511E0">
        <w:rPr>
          <w:lang w:eastAsia="en-AU"/>
        </w:rPr>
        <w:fldChar w:fldCharType="end"/>
      </w:r>
      <w:r w:rsidRPr="00A511E0">
        <w:rPr>
          <w:lang w:eastAsia="en-AU"/>
        </w:rPr>
        <w:t xml:space="preserve"> – </w:t>
      </w:r>
      <w:bookmarkEnd w:id="87"/>
      <w:r w:rsidR="00E470BA">
        <w:rPr>
          <w:lang w:eastAsia="en-AU"/>
        </w:rPr>
        <w:t>Evidence Act 2011</w:t>
      </w:r>
      <w:bookmarkEnd w:id="88"/>
    </w:p>
    <w:p w14:paraId="5BBB5514" w14:textId="4D256B17" w:rsidR="00620C91" w:rsidRDefault="00B10644" w:rsidP="00620C91">
      <w:r>
        <w:rPr>
          <w:lang w:eastAsia="en-AU"/>
        </w:rPr>
        <w:t xml:space="preserve">This part implements </w:t>
      </w:r>
      <w:r w:rsidR="00E470BA">
        <w:rPr>
          <w:lang w:eastAsia="en-AU"/>
        </w:rPr>
        <w:t xml:space="preserve">amendments arising from recommendations </w:t>
      </w:r>
      <w:r w:rsidR="00E470BA">
        <w:t>44 – 51 of the Royal Commission’s Criminal Justice Report,</w:t>
      </w:r>
      <w:r w:rsidR="00E470BA">
        <w:rPr>
          <w:rStyle w:val="FootnoteReference"/>
        </w:rPr>
        <w:footnoteReference w:id="75"/>
      </w:r>
      <w:r w:rsidR="00E470BA">
        <w:t xml:space="preserve"> which relate to tendency and coincidence evidence.  It also amends section 127, to align with </w:t>
      </w:r>
      <w:r w:rsidR="00E470BA" w:rsidRPr="00E470BA">
        <w:t xml:space="preserve">reforms passed </w:t>
      </w:r>
      <w:r w:rsidR="00E470BA">
        <w:t>in 2019</w:t>
      </w:r>
      <w:r w:rsidR="00E470BA" w:rsidRPr="00E470BA">
        <w:t xml:space="preserve"> to implement Royal Commission recommendations relating to reporting laws.</w:t>
      </w:r>
      <w:r w:rsidR="00E470BA">
        <w:rPr>
          <w:rStyle w:val="FootnoteReference"/>
        </w:rPr>
        <w:footnoteReference w:id="76"/>
      </w:r>
      <w:bookmarkStart w:id="89" w:name="_Toc1399166"/>
      <w:r w:rsidR="00EA66B4">
        <w:t xml:space="preserve"> </w:t>
      </w:r>
      <w:r w:rsidR="00620C91">
        <w:t>The Royal Commission was satisfied that tendency and coincidence evidence admissibility laws need to be changed to facilitate more admissibility and cross-admissibility of that kind of evidence in child sexual abuse trials.  The Commission was so satisfied, on the basis that:</w:t>
      </w:r>
    </w:p>
    <w:p w14:paraId="5F098F83" w14:textId="6D6EC7E6" w:rsidR="00620C91" w:rsidRDefault="00620C91" w:rsidP="00F24DE4">
      <w:pPr>
        <w:ind w:left="720"/>
      </w:pPr>
      <w:r>
        <w:t xml:space="preserve">“Courts have assumed for many years that tendency and coincidence evidence is likely to be highly prejudicial – that is, very unfair – to the accused. They have assumed that juries will place too much weight on this evidence, assuming that the accused must be </w:t>
      </w:r>
      <w:r>
        <w:lastRenderedPageBreak/>
        <w:t>guilty because he is the sort of person who commits offences. A number of considerations have led us to conclude that these assumptions are wrong…”</w:t>
      </w:r>
      <w:r>
        <w:rPr>
          <w:rStyle w:val="FootnoteReference"/>
        </w:rPr>
        <w:footnoteReference w:id="77"/>
      </w:r>
    </w:p>
    <w:p w14:paraId="4FE5310E" w14:textId="7C60A164" w:rsidR="00897E08" w:rsidRPr="00897E08" w:rsidRDefault="00897E08" w:rsidP="00B51056">
      <w:r>
        <w:t>The Royal Commission set out the basis for that conclusion, including the Jury Reasoning Research of 2016.</w:t>
      </w:r>
      <w:r>
        <w:rPr>
          <w:rStyle w:val="FootnoteReference"/>
          <w:bCs/>
        </w:rPr>
        <w:footnoteReference w:id="78"/>
      </w:r>
    </w:p>
    <w:p w14:paraId="27B8EC9D" w14:textId="6601BFA7" w:rsidR="00897E08" w:rsidRPr="00CC7067" w:rsidRDefault="00620C91" w:rsidP="00B51056">
      <w:pPr>
        <w:rPr>
          <w:b/>
        </w:rPr>
      </w:pPr>
      <w:r>
        <w:t xml:space="preserve">The Royal Commission recommended a specified test for the admissibility of tendency and coincidence evidence in child sexual abuse trials.  </w:t>
      </w:r>
      <w:r w:rsidR="0072205C">
        <w:t>A</w:t>
      </w:r>
      <w:r>
        <w:t xml:space="preserve"> Council of Attorneys-General working group was established to develop </w:t>
      </w:r>
      <w:r w:rsidR="00897E08">
        <w:t>model provisions following extensive consultation with stakeholders in each jurisdiction</w:t>
      </w:r>
      <w:r w:rsidR="00F57F89">
        <w:t xml:space="preserve">, and did so, incorporating </w:t>
      </w:r>
      <w:r w:rsidR="00B503A2">
        <w:t xml:space="preserve">the </w:t>
      </w:r>
      <w:r w:rsidR="00F57F89">
        <w:t>Royal Commission’s findings in relation to this kind of evidence, and the nature of the recommendations made by the Royal Commission in relation to tendency and coincidence evidence and joint trials</w:t>
      </w:r>
      <w:r w:rsidR="00897E08">
        <w:t xml:space="preserve">.  Those model provisions were agreed to by the Council of Attorneys-General.  </w:t>
      </w:r>
    </w:p>
    <w:p w14:paraId="60B343D7" w14:textId="385294E2" w:rsidR="00CC7067" w:rsidRPr="00620C91" w:rsidRDefault="00897E08" w:rsidP="00B51056">
      <w:r>
        <w:t>This part implements those model provisions.</w:t>
      </w:r>
    </w:p>
    <w:p w14:paraId="5D303E10" w14:textId="3642339B" w:rsidR="00B10644" w:rsidRPr="009F53DA" w:rsidRDefault="00B10644" w:rsidP="00B10644">
      <w:pPr>
        <w:pStyle w:val="Heading3"/>
      </w:pPr>
      <w:bookmarkStart w:id="90" w:name="_Toc43913462"/>
      <w:r w:rsidRPr="009F53DA">
        <w:t xml:space="preserve">Clause </w:t>
      </w:r>
      <w:r w:rsidR="00A47E36">
        <w:fldChar w:fldCharType="begin"/>
      </w:r>
      <w:r w:rsidR="00A47E36">
        <w:instrText xml:space="preserve"> SEQ Clause \* ARABIC </w:instrText>
      </w:r>
      <w:r w:rsidR="00A47E36">
        <w:fldChar w:fldCharType="separate"/>
      </w:r>
      <w:r w:rsidR="007119B1">
        <w:rPr>
          <w:noProof/>
        </w:rPr>
        <w:t>12</w:t>
      </w:r>
      <w:r w:rsidR="00A47E36">
        <w:rPr>
          <w:noProof/>
        </w:rPr>
        <w:fldChar w:fldCharType="end"/>
      </w:r>
      <w:r w:rsidR="00897E08">
        <w:t xml:space="preserve"> – Application – pt 3.6</w:t>
      </w:r>
      <w:bookmarkEnd w:id="89"/>
      <w:bookmarkEnd w:id="90"/>
      <w:r w:rsidR="00E470BA">
        <w:rPr>
          <w:noProof/>
        </w:rPr>
        <w:t xml:space="preserve"> </w:t>
      </w:r>
    </w:p>
    <w:p w14:paraId="1EC9E6D9" w14:textId="62D12178" w:rsidR="00B10644" w:rsidRPr="00B51056" w:rsidRDefault="00897E08" w:rsidP="00B51056">
      <w:pPr>
        <w:rPr>
          <w:b/>
          <w:bCs/>
          <w:i/>
          <w:iCs/>
          <w:lang w:eastAsia="en-AU"/>
        </w:rPr>
      </w:pPr>
      <w:r w:rsidRPr="00B51056">
        <w:rPr>
          <w:b/>
          <w:bCs/>
          <w:i/>
          <w:iCs/>
          <w:lang w:eastAsia="en-AU"/>
        </w:rPr>
        <w:t>Section 94 (4) and (5)</w:t>
      </w:r>
    </w:p>
    <w:p w14:paraId="2E07AFDD" w14:textId="14D881E5" w:rsidR="00897E08" w:rsidRDefault="00897E08" w:rsidP="00897E08">
      <w:r>
        <w:rPr>
          <w:lang w:eastAsia="en-AU"/>
        </w:rPr>
        <w:t xml:space="preserve">New section 94 (4) clarifies that </w:t>
      </w:r>
      <w:r>
        <w:t xml:space="preserve">principles or rules of the common law or equity preventing or restricting the admissibility of evidence about propensity or similar fact evidence are not relevant when applying Part 3.6 of the </w:t>
      </w:r>
      <w:r>
        <w:rPr>
          <w:i/>
          <w:iCs/>
        </w:rPr>
        <w:t xml:space="preserve">Evidence Act 2011 </w:t>
      </w:r>
      <w:r>
        <w:t>(ACT).</w:t>
      </w:r>
      <w:r w:rsidR="00CC7067">
        <w:t xml:space="preserve">  </w:t>
      </w:r>
    </w:p>
    <w:p w14:paraId="6AFCF87F" w14:textId="73B44C1D" w:rsidR="00B10644" w:rsidRDefault="00897E08" w:rsidP="00B10644">
      <w:pPr>
        <w:rPr>
          <w:lang w:eastAsia="en-AU"/>
        </w:rPr>
      </w:pPr>
      <w:r>
        <w:t xml:space="preserve">New section 94 (5) provides that a court, when assessing the probative value of evidence under Part 3.6 of the </w:t>
      </w:r>
      <w:r>
        <w:rPr>
          <w:i/>
          <w:iCs/>
        </w:rPr>
        <w:t xml:space="preserve">Evidence Act 2011 </w:t>
      </w:r>
      <w:r>
        <w:t>(ACT), is not to have regard to the possibility that tendency evidence or coincidence evidence may be the result of collusion, concoction or contamination.</w:t>
      </w:r>
    </w:p>
    <w:p w14:paraId="6083DBE2" w14:textId="09034CF6" w:rsidR="00B10644" w:rsidRPr="00E3063E" w:rsidRDefault="007846D7" w:rsidP="00B10644">
      <w:pPr>
        <w:pStyle w:val="Heading3"/>
      </w:pPr>
      <w:bookmarkStart w:id="91" w:name="_Toc1399169"/>
      <w:bookmarkStart w:id="92" w:name="_Toc43913463"/>
      <w:r w:rsidRPr="00E3063E">
        <w:t>Clause</w:t>
      </w:r>
      <w:r>
        <w:t xml:space="preserve"> </w:t>
      </w:r>
      <w:r w:rsidR="00A47E36">
        <w:fldChar w:fldCharType="begin"/>
      </w:r>
      <w:r w:rsidR="00A47E36">
        <w:instrText xml:space="preserve"> SEQ Clause \* ARABIC </w:instrText>
      </w:r>
      <w:r w:rsidR="00A47E36">
        <w:fldChar w:fldCharType="separate"/>
      </w:r>
      <w:r w:rsidR="007119B1">
        <w:rPr>
          <w:noProof/>
        </w:rPr>
        <w:t>13</w:t>
      </w:r>
      <w:r w:rsidR="00A47E36">
        <w:rPr>
          <w:noProof/>
        </w:rPr>
        <w:fldChar w:fldCharType="end"/>
      </w:r>
      <w:r w:rsidR="00B10644" w:rsidRPr="00E3063E">
        <w:t xml:space="preserve"> –New section </w:t>
      </w:r>
      <w:bookmarkEnd w:id="91"/>
      <w:r>
        <w:t>97A</w:t>
      </w:r>
      <w:r w:rsidR="00CE4140">
        <w:t>, Admissibility of tendency evidence in proceedings involving child sexual offences -</w:t>
      </w:r>
      <w:bookmarkEnd w:id="92"/>
    </w:p>
    <w:p w14:paraId="5E676293" w14:textId="6683094D" w:rsidR="007846D7" w:rsidRDefault="007846D7" w:rsidP="00B10644">
      <w:r>
        <w:rPr>
          <w:u w:val="single"/>
          <w:lang w:eastAsia="en-AU"/>
        </w:rPr>
        <w:t>New section</w:t>
      </w:r>
      <w:r w:rsidR="00B503A2">
        <w:rPr>
          <w:u w:val="single"/>
          <w:lang w:eastAsia="en-AU"/>
        </w:rPr>
        <w:t>s</w:t>
      </w:r>
      <w:r>
        <w:rPr>
          <w:u w:val="single"/>
          <w:lang w:eastAsia="en-AU"/>
        </w:rPr>
        <w:t xml:space="preserve"> 97A </w:t>
      </w:r>
      <w:r w:rsidR="00B503A2">
        <w:rPr>
          <w:u w:val="single"/>
          <w:lang w:eastAsia="en-AU"/>
        </w:rPr>
        <w:t xml:space="preserve">(1) to (3) </w:t>
      </w:r>
      <w:r>
        <w:t>introduce a rebuttable presumption that certain tendency evidence relating to a child sexual offence is presumed to have significant probative value.</w:t>
      </w:r>
    </w:p>
    <w:p w14:paraId="6BB295FD" w14:textId="4F9A1B93" w:rsidR="00B503A2" w:rsidRDefault="00B503A2" w:rsidP="00B10644">
      <w:r w:rsidRPr="00045755">
        <w:rPr>
          <w:u w:val="single"/>
        </w:rPr>
        <w:t>New section 97A(4)</w:t>
      </w:r>
      <w:r>
        <w:t xml:space="preserve"> provides that the court may determine that the tendency evidence does not have significant probative value if it satisfied that there are sufficient grounds to do so.</w:t>
      </w:r>
    </w:p>
    <w:p w14:paraId="3D97698F" w14:textId="6620C093" w:rsidR="00B10644" w:rsidRDefault="007846D7" w:rsidP="00B10644">
      <w:r>
        <w:rPr>
          <w:u w:val="single"/>
        </w:rPr>
        <w:t xml:space="preserve">New section 97A(5) </w:t>
      </w:r>
      <w:r>
        <w:t>sets out matters that may not ordinarily be taken into account by a court to overcome that presumption and determine that the evidence does not have significant probative value, unless the court considers there are exception circumstances in relation to those matters (whether considered individually or in combination) to warrant taking them into account.</w:t>
      </w:r>
    </w:p>
    <w:p w14:paraId="1188B001" w14:textId="586DB1F4" w:rsidR="00B503A2" w:rsidRPr="007846D7" w:rsidRDefault="00B503A2" w:rsidP="00B10644">
      <w:pPr>
        <w:rPr>
          <w:lang w:eastAsia="en-AU"/>
        </w:rPr>
      </w:pPr>
      <w:r>
        <w:t xml:space="preserve">New clause 97A(6) sets out the definition of </w:t>
      </w:r>
      <w:r w:rsidRPr="00045755">
        <w:rPr>
          <w:i/>
          <w:iCs/>
        </w:rPr>
        <w:t>child sexual offence</w:t>
      </w:r>
      <w:r>
        <w:t xml:space="preserve"> for section 97A.</w:t>
      </w:r>
    </w:p>
    <w:p w14:paraId="74B97879" w14:textId="7011C4EE" w:rsidR="00B10644" w:rsidRPr="00FB5AE4" w:rsidRDefault="00B10644" w:rsidP="00B10644">
      <w:pPr>
        <w:pStyle w:val="Heading3"/>
      </w:pPr>
      <w:bookmarkStart w:id="93" w:name="_Toc1399170"/>
      <w:bookmarkStart w:id="94" w:name="_Toc43913464"/>
      <w:r w:rsidRPr="00276C07">
        <w:lastRenderedPageBreak/>
        <w:t xml:space="preserve">Clause </w:t>
      </w:r>
      <w:r w:rsidR="00A47E36">
        <w:fldChar w:fldCharType="begin"/>
      </w:r>
      <w:r w:rsidR="00A47E36">
        <w:instrText xml:space="preserve"> SEQ Clause \* ARABIC </w:instrText>
      </w:r>
      <w:r w:rsidR="00A47E36">
        <w:fldChar w:fldCharType="separate"/>
      </w:r>
      <w:r w:rsidR="007119B1">
        <w:rPr>
          <w:noProof/>
        </w:rPr>
        <w:t>14</w:t>
      </w:r>
      <w:r w:rsidR="00A47E36">
        <w:rPr>
          <w:noProof/>
        </w:rPr>
        <w:fldChar w:fldCharType="end"/>
      </w:r>
      <w:r w:rsidR="007846D7" w:rsidRPr="00276C07">
        <w:t xml:space="preserve"> </w:t>
      </w:r>
      <w:r w:rsidRPr="00276C07">
        <w:t xml:space="preserve">– </w:t>
      </w:r>
      <w:r w:rsidR="00B503A2">
        <w:t>The coincidence rule</w:t>
      </w:r>
      <w:r w:rsidR="00D00BBA">
        <w:t xml:space="preserve">, </w:t>
      </w:r>
      <w:r w:rsidRPr="00276C07">
        <w:t xml:space="preserve">New section </w:t>
      </w:r>
      <w:bookmarkEnd w:id="93"/>
      <w:r w:rsidR="007846D7">
        <w:t>98 (1A)</w:t>
      </w:r>
      <w:bookmarkEnd w:id="94"/>
    </w:p>
    <w:p w14:paraId="0A4FBEE2" w14:textId="6567A6E5" w:rsidR="00B10644" w:rsidRPr="007846D7" w:rsidRDefault="007846D7" w:rsidP="00B10644">
      <w:pPr>
        <w:rPr>
          <w:lang w:eastAsia="en-AU"/>
        </w:rPr>
      </w:pPr>
      <w:r>
        <w:rPr>
          <w:u w:val="single"/>
          <w:lang w:eastAsia="en-AU"/>
        </w:rPr>
        <w:t xml:space="preserve">New section 98 (1A) </w:t>
      </w:r>
      <w:r w:rsidRPr="00F24DE4">
        <w:rPr>
          <w:lang w:eastAsia="en-AU"/>
        </w:rPr>
        <w:t xml:space="preserve">clarifies </w:t>
      </w:r>
      <w:r>
        <w:t>that coincidence evidence includes evidence from 2 or more witnesses claiming they are victims of offences committed by an accused person, which is used to prove, on the basis of similarities in the claimed acts or the circumstances in which they occurred, that the accused person did a particular act.</w:t>
      </w:r>
    </w:p>
    <w:p w14:paraId="305AA092" w14:textId="619FF168" w:rsidR="00B10644" w:rsidRDefault="00B10644" w:rsidP="00B10644">
      <w:pPr>
        <w:pStyle w:val="Heading3"/>
      </w:pPr>
      <w:bookmarkStart w:id="95" w:name="_Toc1399171"/>
      <w:bookmarkStart w:id="96" w:name="_Toc43913465"/>
      <w:r w:rsidRPr="00FB5AE4">
        <w:t xml:space="preserve">Clause </w:t>
      </w:r>
      <w:r w:rsidR="00A47E36">
        <w:fldChar w:fldCharType="begin"/>
      </w:r>
      <w:r w:rsidR="00A47E36">
        <w:instrText xml:space="preserve"> SEQ Clause \* ARABIC </w:instrText>
      </w:r>
      <w:r w:rsidR="00A47E36">
        <w:fldChar w:fldCharType="separate"/>
      </w:r>
      <w:r w:rsidR="007119B1">
        <w:rPr>
          <w:noProof/>
        </w:rPr>
        <w:t>15</w:t>
      </w:r>
      <w:r w:rsidR="00A47E36">
        <w:rPr>
          <w:noProof/>
        </w:rPr>
        <w:fldChar w:fldCharType="end"/>
      </w:r>
      <w:r w:rsidR="007846D7" w:rsidRPr="00FB5AE4">
        <w:t xml:space="preserve"> </w:t>
      </w:r>
      <w:r w:rsidRPr="00FB5AE4">
        <w:t xml:space="preserve">– </w:t>
      </w:r>
      <w:bookmarkEnd w:id="95"/>
      <w:r w:rsidR="00D00BBA">
        <w:t>Further restrictions on tendency evidence and coincidence evidence presented by prosecution, S</w:t>
      </w:r>
      <w:r w:rsidR="007846D7">
        <w:t>ection 101(2)</w:t>
      </w:r>
      <w:bookmarkEnd w:id="96"/>
    </w:p>
    <w:p w14:paraId="4C3129F1" w14:textId="3CD70D3E" w:rsidR="007846D7" w:rsidRPr="00F24DE4" w:rsidRDefault="007846D7" w:rsidP="00F24DE4">
      <w:r w:rsidRPr="00F24DE4">
        <w:t>This clause substitutes an amended test for the restriction on tendency evidence and coincidence evidence presented by the prosecution.  Section 101(2) now requires that the probative value of the evidence outweighs the danger of unfair prejudice to an accused person.</w:t>
      </w:r>
    </w:p>
    <w:p w14:paraId="2ED9863D" w14:textId="5485C444" w:rsidR="007846D7" w:rsidRDefault="007846D7" w:rsidP="00B10644">
      <w:pPr>
        <w:rPr>
          <w:b/>
          <w:bCs/>
          <w:lang w:eastAsia="en-AU"/>
        </w:rPr>
      </w:pPr>
      <w:r>
        <w:rPr>
          <w:b/>
          <w:bCs/>
          <w:lang w:eastAsia="en-AU"/>
        </w:rPr>
        <w:t>Claus</w:t>
      </w:r>
      <w:r w:rsidRPr="001F3044">
        <w:rPr>
          <w:b/>
          <w:bCs/>
          <w:lang w:eastAsia="en-AU"/>
        </w:rPr>
        <w:t xml:space="preserve">e </w:t>
      </w:r>
      <w:r w:rsidR="00491C20" w:rsidRPr="001F3044">
        <w:rPr>
          <w:b/>
          <w:bCs/>
        </w:rPr>
        <w:fldChar w:fldCharType="begin"/>
      </w:r>
      <w:r w:rsidR="00491C20" w:rsidRPr="001F3044">
        <w:rPr>
          <w:b/>
          <w:bCs/>
        </w:rPr>
        <w:instrText xml:space="preserve"> SEQ Clause \* ARABIC </w:instrText>
      </w:r>
      <w:r w:rsidR="00491C20" w:rsidRPr="001F3044">
        <w:rPr>
          <w:b/>
          <w:bCs/>
        </w:rPr>
        <w:fldChar w:fldCharType="separate"/>
      </w:r>
      <w:r w:rsidR="007119B1">
        <w:rPr>
          <w:b/>
          <w:bCs/>
          <w:noProof/>
        </w:rPr>
        <w:t>16</w:t>
      </w:r>
      <w:r w:rsidR="00491C20" w:rsidRPr="001F3044">
        <w:rPr>
          <w:b/>
          <w:bCs/>
          <w:noProof/>
        </w:rPr>
        <w:fldChar w:fldCharType="end"/>
      </w:r>
      <w:r w:rsidR="00F57F89">
        <w:rPr>
          <w:b/>
          <w:bCs/>
          <w:lang w:eastAsia="en-AU"/>
        </w:rPr>
        <w:t xml:space="preserve"> – Religious confessions</w:t>
      </w:r>
      <w:r w:rsidR="00D00BBA">
        <w:rPr>
          <w:b/>
          <w:bCs/>
          <w:lang w:eastAsia="en-AU"/>
        </w:rPr>
        <w:t>, S</w:t>
      </w:r>
      <w:r w:rsidR="00F57F89">
        <w:rPr>
          <w:b/>
          <w:bCs/>
          <w:lang w:eastAsia="en-AU"/>
        </w:rPr>
        <w:t>ection 127 (2)</w:t>
      </w:r>
    </w:p>
    <w:p w14:paraId="671ED851" w14:textId="3841F373" w:rsidR="00F57F89" w:rsidRDefault="00F57F89" w:rsidP="00B10644">
      <w:pPr>
        <w:rPr>
          <w:lang w:eastAsia="en-AU"/>
        </w:rPr>
      </w:pPr>
      <w:r>
        <w:rPr>
          <w:lang w:eastAsia="en-AU"/>
        </w:rPr>
        <w:t xml:space="preserve">The Council of Attorneys-General working group </w:t>
      </w:r>
      <w:r w:rsidR="00C722B3">
        <w:rPr>
          <w:lang w:eastAsia="en-AU"/>
        </w:rPr>
        <w:t xml:space="preserve">which was </w:t>
      </w:r>
      <w:r>
        <w:rPr>
          <w:lang w:eastAsia="en-AU"/>
        </w:rPr>
        <w:t>established to develop model provisions for tendency and coincidence evidence was also tasked with developing proposed amendments to s 127 of the uniform evidence laws, arising from the Royal Commission recommendations relating to the reporting of child sexual abuse and disclosures made in the seal of the confession.</w:t>
      </w:r>
      <w:r w:rsidR="00C722B3">
        <w:rPr>
          <w:rStyle w:val="FootnoteReference"/>
          <w:lang w:eastAsia="en-AU"/>
        </w:rPr>
        <w:footnoteReference w:id="79"/>
      </w:r>
      <w:r w:rsidR="00C722B3">
        <w:rPr>
          <w:lang w:eastAsia="en-AU"/>
        </w:rPr>
        <w:t xml:space="preserve">  The </w:t>
      </w:r>
      <w:r w:rsidR="00C722B3" w:rsidRPr="00F24DE4">
        <w:rPr>
          <w:i/>
          <w:iCs/>
          <w:lang w:eastAsia="en-AU"/>
        </w:rPr>
        <w:t>Royal Commission Criminal Justice Legislation Amendment Act 2019</w:t>
      </w:r>
      <w:r w:rsidR="00C722B3">
        <w:rPr>
          <w:lang w:eastAsia="en-AU"/>
        </w:rPr>
        <w:t xml:space="preserve"> (ACT) introduced legislation requiring the reporting of information about child sexual abuse or non-accidental physical injury even where that information was received under the seal of the confession.</w:t>
      </w:r>
    </w:p>
    <w:p w14:paraId="12932B47" w14:textId="7AFD64FB" w:rsidR="00A13DB9" w:rsidRPr="00374F40" w:rsidRDefault="00A13DB9" w:rsidP="00A13DB9">
      <w:pPr>
        <w:rPr>
          <w:lang w:eastAsia="en-AU"/>
        </w:rPr>
      </w:pPr>
      <w:r>
        <w:rPr>
          <w:lang w:eastAsia="en-AU"/>
        </w:rPr>
        <w:t>The essence of that reform was to make clear that all adults have a duty to report child sexual abuse to the police. As the Royal Commission emphasised in its report, it is important that adults proactively report information about child sexual abuse because</w:t>
      </w:r>
      <w:r w:rsidRPr="00374F40">
        <w:t>:</w:t>
      </w:r>
      <w:r w:rsidRPr="00374F40">
        <w:rPr>
          <w:rStyle w:val="FootnoteReference"/>
        </w:rPr>
        <w:t xml:space="preserve"> </w:t>
      </w:r>
      <w:r w:rsidRPr="00374F40">
        <w:rPr>
          <w:rStyle w:val="FootnoteReference"/>
        </w:rPr>
        <w:footnoteReference w:id="80"/>
      </w:r>
    </w:p>
    <w:p w14:paraId="32EFEC28" w14:textId="77777777" w:rsidR="00A13DB9" w:rsidRPr="00374F40" w:rsidRDefault="00A13DB9" w:rsidP="00A13DB9">
      <w:pPr>
        <w:pStyle w:val="ListParagraph"/>
        <w:numPr>
          <w:ilvl w:val="0"/>
          <w:numId w:val="29"/>
        </w:numPr>
      </w:pPr>
      <w:r w:rsidRPr="00374F40">
        <w:t>It is difficult for victims to disclose or report the abuse at the time, or even soon after it has occurred. If persons other than the victim do no</w:t>
      </w:r>
      <w:r>
        <w:t>t</w:t>
      </w:r>
      <w:r w:rsidRPr="00374F40">
        <w:t xml:space="preserve"> report, the abuse—and the perpetra</w:t>
      </w:r>
      <w:r>
        <w:t>tor—may go undetected for years;</w:t>
      </w:r>
    </w:p>
    <w:p w14:paraId="39437833" w14:textId="77777777" w:rsidR="00A13DB9" w:rsidRPr="00374F40" w:rsidRDefault="00A13DB9" w:rsidP="00A13DB9">
      <w:pPr>
        <w:pStyle w:val="ListParagraph"/>
        <w:numPr>
          <w:ilvl w:val="0"/>
          <w:numId w:val="29"/>
        </w:numPr>
      </w:pPr>
      <w:r w:rsidRPr="00374F40">
        <w:t>Children are likely to have less ability to report the abuse to police or other authorities, or to take effective steps to protect themselves, leaving them particularly in need of the active assi</w:t>
      </w:r>
      <w:r>
        <w:t>stance and protection of adults;</w:t>
      </w:r>
    </w:p>
    <w:p w14:paraId="6C6702CF" w14:textId="77777777" w:rsidR="00A13DB9" w:rsidRPr="00374F40" w:rsidRDefault="00A13DB9" w:rsidP="00A13DB9">
      <w:pPr>
        <w:pStyle w:val="ListParagraph"/>
        <w:numPr>
          <w:ilvl w:val="0"/>
          <w:numId w:val="29"/>
        </w:numPr>
      </w:pPr>
      <w:r w:rsidRPr="00374F40">
        <w:t>Those who commit child sexual abuse offences may have multiple victims and may offend against particular victims over lengthy periods of time. A failure to report may leave the particular child exposed to repeated abuse, and may expose other children to abuse.</w:t>
      </w:r>
    </w:p>
    <w:p w14:paraId="06725706" w14:textId="38035674" w:rsidR="00B10644" w:rsidRPr="00A511E0" w:rsidRDefault="00C722B3" w:rsidP="00B10644">
      <w:pPr>
        <w:rPr>
          <w:lang w:eastAsia="en-AU"/>
        </w:rPr>
      </w:pPr>
      <w:r>
        <w:rPr>
          <w:lang w:eastAsia="en-AU"/>
        </w:rPr>
        <w:lastRenderedPageBreak/>
        <w:t xml:space="preserve">This clause aligns the </w:t>
      </w:r>
      <w:r>
        <w:rPr>
          <w:i/>
          <w:iCs/>
          <w:lang w:eastAsia="en-AU"/>
        </w:rPr>
        <w:t xml:space="preserve">Evidence Act 2011 </w:t>
      </w:r>
      <w:r>
        <w:rPr>
          <w:lang w:eastAsia="en-AU"/>
        </w:rPr>
        <w:t>(ACT) with those requirements</w:t>
      </w:r>
      <w:r w:rsidR="00D00BBA">
        <w:rPr>
          <w:lang w:eastAsia="en-AU"/>
        </w:rPr>
        <w:t>.  It amends</w:t>
      </w:r>
      <w:r>
        <w:rPr>
          <w:lang w:eastAsia="en-AU"/>
        </w:rPr>
        <w:t xml:space="preserve"> s 127</w:t>
      </w:r>
      <w:r w:rsidR="00D00BBA">
        <w:rPr>
          <w:lang w:eastAsia="en-AU"/>
        </w:rPr>
        <w:t xml:space="preserve"> (2), so that s 127</w:t>
      </w:r>
      <w:r>
        <w:rPr>
          <w:lang w:eastAsia="en-AU"/>
        </w:rPr>
        <w:t>(1)</w:t>
      </w:r>
      <w:r w:rsidR="00D00BBA">
        <w:rPr>
          <w:lang w:eastAsia="en-AU"/>
        </w:rPr>
        <w:t>, which excuses a member of the clergy from disclosing that a religious confession was made, or the contents of such a confession,</w:t>
      </w:r>
      <w:r w:rsidR="00CE4140">
        <w:rPr>
          <w:lang w:eastAsia="en-AU"/>
        </w:rPr>
        <w:t xml:space="preserve"> </w:t>
      </w:r>
      <w:r>
        <w:rPr>
          <w:lang w:eastAsia="en-AU"/>
        </w:rPr>
        <w:t xml:space="preserve">does not apply if the religious communication includes information relating to a child or young person that is experiencing, has experienced, or </w:t>
      </w:r>
      <w:r w:rsidR="00D00BBA">
        <w:rPr>
          <w:lang w:eastAsia="en-AU"/>
        </w:rPr>
        <w:t>at</w:t>
      </w:r>
      <w:r>
        <w:rPr>
          <w:lang w:eastAsia="en-AU"/>
        </w:rPr>
        <w:t xml:space="preserve"> substantial risk</w:t>
      </w:r>
      <w:r w:rsidR="00D00BBA">
        <w:rPr>
          <w:lang w:eastAsia="en-AU"/>
        </w:rPr>
        <w:t xml:space="preserve"> of </w:t>
      </w:r>
      <w:r>
        <w:rPr>
          <w:lang w:eastAsia="en-AU"/>
        </w:rPr>
        <w:t>experienc</w:t>
      </w:r>
      <w:r w:rsidR="00D00BBA">
        <w:rPr>
          <w:lang w:eastAsia="en-AU"/>
        </w:rPr>
        <w:t>ing</w:t>
      </w:r>
      <w:r>
        <w:rPr>
          <w:lang w:eastAsia="en-AU"/>
        </w:rPr>
        <w:t>, sexual abuse or non-accidental physical injury.</w:t>
      </w:r>
    </w:p>
    <w:p w14:paraId="410C2CC2" w14:textId="410C616C" w:rsidR="00A02BDE" w:rsidRDefault="00A02BDE" w:rsidP="00A02BDE">
      <w:pPr>
        <w:pStyle w:val="Heading1"/>
        <w:rPr>
          <w:lang w:eastAsia="en-AU"/>
        </w:rPr>
      </w:pPr>
      <w:bookmarkStart w:id="97" w:name="_Toc447714847"/>
      <w:bookmarkStart w:id="98" w:name="_Toc500401683"/>
      <w:bookmarkStart w:id="99" w:name="_Toc43913466"/>
      <w:r w:rsidRPr="000115BF">
        <w:rPr>
          <w:lang w:eastAsia="en-AU"/>
        </w:rPr>
        <w:t xml:space="preserve">Schedule </w:t>
      </w:r>
      <w:r w:rsidRPr="000115BF">
        <w:rPr>
          <w:lang w:eastAsia="en-AU"/>
        </w:rPr>
        <w:fldChar w:fldCharType="begin"/>
      </w:r>
      <w:r w:rsidRPr="000115BF">
        <w:rPr>
          <w:lang w:eastAsia="en-AU"/>
        </w:rPr>
        <w:instrText xml:space="preserve"> SEQ Schedule \* ARABIC </w:instrText>
      </w:r>
      <w:r w:rsidRPr="000115BF">
        <w:rPr>
          <w:lang w:eastAsia="en-AU"/>
        </w:rPr>
        <w:fldChar w:fldCharType="separate"/>
      </w:r>
      <w:r w:rsidR="007119B1">
        <w:rPr>
          <w:noProof/>
          <w:lang w:eastAsia="en-AU"/>
        </w:rPr>
        <w:t>1</w:t>
      </w:r>
      <w:r w:rsidRPr="000115BF">
        <w:rPr>
          <w:lang w:eastAsia="en-AU"/>
        </w:rPr>
        <w:fldChar w:fldCharType="end"/>
      </w:r>
      <w:r w:rsidRPr="000115BF">
        <w:rPr>
          <w:lang w:eastAsia="en-AU"/>
        </w:rPr>
        <w:t xml:space="preserve"> – </w:t>
      </w:r>
      <w:bookmarkEnd w:id="97"/>
      <w:bookmarkEnd w:id="98"/>
      <w:r>
        <w:rPr>
          <w:lang w:eastAsia="en-AU"/>
        </w:rPr>
        <w:t>Consequential amendments</w:t>
      </w:r>
      <w:bookmarkEnd w:id="99"/>
    </w:p>
    <w:p w14:paraId="5138E441" w14:textId="7706D8A8" w:rsidR="00A02BDE" w:rsidRPr="00994C12" w:rsidRDefault="00A02BDE" w:rsidP="00045755">
      <w:pPr>
        <w:rPr>
          <w:lang w:eastAsia="en-AU"/>
        </w:rPr>
      </w:pPr>
      <w:r>
        <w:rPr>
          <w:lang w:eastAsia="en-AU"/>
        </w:rPr>
        <w:t xml:space="preserve">All amendments in Schedule 1 are consequential amendments as a result of the changes to section 56 of the Crimes Act. </w:t>
      </w:r>
    </w:p>
    <w:p w14:paraId="6B8146A3" w14:textId="77777777" w:rsidR="00B10644" w:rsidRPr="00A511E0" w:rsidRDefault="00B10644" w:rsidP="00B10644"/>
    <w:p w14:paraId="16C01D1A" w14:textId="77777777" w:rsidR="00B10644" w:rsidRDefault="00B10644"/>
    <w:sectPr w:rsidR="00B10644" w:rsidSect="00B10644">
      <w:footerReference w:type="default" r:id="rId14"/>
      <w:footerReference w:type="first" r:id="rId15"/>
      <w:pgSz w:w="11906" w:h="16838"/>
      <w:pgMar w:top="1440" w:right="1440" w:bottom="1440" w:left="1440"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2ACD150" w14:textId="77777777" w:rsidR="00491C20" w:rsidRDefault="00491C20" w:rsidP="00B10644">
      <w:pPr>
        <w:spacing w:after="0" w:line="240" w:lineRule="auto"/>
      </w:pPr>
      <w:r>
        <w:separator/>
      </w:r>
    </w:p>
  </w:endnote>
  <w:endnote w:type="continuationSeparator" w:id="0">
    <w:p w14:paraId="7132CF62" w14:textId="77777777" w:rsidR="00491C20" w:rsidRDefault="00491C20" w:rsidP="00B106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New Roman"/>
    <w:panose1 w:val="02020603050405020304"/>
    <w:charset w:val="00"/>
    <w:family w:val="roman"/>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0002EFF" w:usb1="C000247B"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Arial">
    <w:altName w:val="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HelveticaNeueLT Pro 45 Lt">
    <w:altName w:val="Arial"/>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526FE8" w14:textId="77777777" w:rsidR="005C4F8A" w:rsidRDefault="005C4F8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121D32" w14:textId="77777777" w:rsidR="00C6063F" w:rsidRPr="00C31AB2" w:rsidRDefault="00C6063F" w:rsidP="00B10644">
    <w:pPr>
      <w:pStyle w:val="Header"/>
      <w:jc w:val="center"/>
      <w:rPr>
        <w:rFonts w:ascii="Arial" w:hAnsi="Arial" w:cs="Arial"/>
        <w:b/>
        <w:color w:val="FF0000"/>
      </w:rPr>
    </w:pPr>
    <w:r>
      <w:rPr>
        <w:rFonts w:ascii="Arial" w:hAnsi="Arial" w:cs="Arial"/>
        <w:b/>
        <w:color w:val="FF0000"/>
      </w:rPr>
      <w:t>SENSITIVE: CABINET</w:t>
    </w:r>
  </w:p>
  <w:p w14:paraId="28F6EE91" w14:textId="702C8291" w:rsidR="00C6063F" w:rsidRPr="005C4F8A" w:rsidRDefault="005C4F8A" w:rsidP="005C4F8A">
    <w:pPr>
      <w:pStyle w:val="Header"/>
      <w:jc w:val="center"/>
      <w:rPr>
        <w:rFonts w:ascii="Arial" w:hAnsi="Arial" w:cs="Arial"/>
        <w:b/>
        <w:color w:val="FF0000"/>
        <w:sz w:val="14"/>
      </w:rPr>
    </w:pPr>
    <w:r w:rsidRPr="005C4F8A">
      <w:rPr>
        <w:rFonts w:ascii="Arial" w:hAnsi="Arial" w:cs="Arial"/>
        <w:b/>
        <w:color w:val="FF0000"/>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4DE0C1" w14:textId="259C1709" w:rsidR="0005277C" w:rsidRPr="005C4F8A" w:rsidRDefault="005C4F8A" w:rsidP="005C4F8A">
    <w:pPr>
      <w:pStyle w:val="Footer"/>
      <w:jc w:val="center"/>
      <w:rPr>
        <w:rFonts w:ascii="Arial" w:hAnsi="Arial" w:cs="Arial"/>
        <w:sz w:val="14"/>
        <w:szCs w:val="14"/>
      </w:rPr>
    </w:pPr>
    <w:r w:rsidRPr="005C4F8A">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C1AD4D" w14:textId="77777777" w:rsidR="00C6063F" w:rsidRDefault="00C6063F">
    <w:pPr>
      <w:pStyle w:val="Footer"/>
      <w:jc w:val="right"/>
    </w:pPr>
    <w:r>
      <w:fldChar w:fldCharType="begin"/>
    </w:r>
    <w:r>
      <w:instrText xml:space="preserve"> PAGE   \* MERGEFORMAT </w:instrText>
    </w:r>
    <w:r>
      <w:fldChar w:fldCharType="separate"/>
    </w:r>
    <w:r>
      <w:rPr>
        <w:noProof/>
      </w:rPr>
      <w:t>28</w:t>
    </w:r>
    <w:r>
      <w:rPr>
        <w:noProof/>
      </w:rPr>
      <w:fldChar w:fldCharType="end"/>
    </w:r>
  </w:p>
  <w:p w14:paraId="77224CFE" w14:textId="77777777" w:rsidR="00C6063F" w:rsidRPr="0005277C" w:rsidRDefault="00C6063F" w:rsidP="0005277C">
    <w:pPr>
      <w:pStyle w:val="Header"/>
      <w:spacing w:before="120" w:after="120"/>
      <w:jc w:val="center"/>
      <w:rPr>
        <w:rFonts w:ascii="Arial" w:hAnsi="Arial" w:cs="Arial"/>
        <w:b/>
      </w:rPr>
    </w:pPr>
  </w:p>
  <w:p w14:paraId="79F0AD4C" w14:textId="0A4319B3" w:rsidR="00C6063F" w:rsidRPr="005C4F8A" w:rsidRDefault="005C4F8A" w:rsidP="005C4F8A">
    <w:pPr>
      <w:jc w:val="center"/>
      <w:rPr>
        <w:rFonts w:ascii="Arial" w:hAnsi="Arial" w:cs="Arial"/>
        <w:sz w:val="14"/>
        <w:szCs w:val="14"/>
      </w:rPr>
    </w:pPr>
    <w:r w:rsidRPr="005C4F8A">
      <w:rPr>
        <w:rFonts w:ascii="Arial" w:hAnsi="Arial" w:cs="Arial"/>
        <w:sz w:val="14"/>
        <w:szCs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345748" w14:textId="77777777" w:rsidR="00C6063F" w:rsidRDefault="00C6063F">
    <w:pPr>
      <w:pStyle w:val="Footer"/>
      <w:jc w:val="right"/>
    </w:pPr>
    <w:r>
      <w:fldChar w:fldCharType="begin"/>
    </w:r>
    <w:r>
      <w:instrText xml:space="preserve"> PAGE   \* MERGEFORMAT </w:instrText>
    </w:r>
    <w:r>
      <w:fldChar w:fldCharType="separate"/>
    </w:r>
    <w:r>
      <w:rPr>
        <w:noProof/>
      </w:rPr>
      <w:t>1</w:t>
    </w:r>
    <w:r>
      <w:rPr>
        <w:noProof/>
      </w:rPr>
      <w:fldChar w:fldCharType="end"/>
    </w:r>
  </w:p>
  <w:p w14:paraId="20050FDE" w14:textId="77777777" w:rsidR="00C6063F" w:rsidRPr="0005277C" w:rsidRDefault="00C6063F" w:rsidP="00B10644">
    <w:pPr>
      <w:pStyle w:val="Header"/>
      <w:jc w:val="center"/>
      <w:rPr>
        <w:rFonts w:ascii="Arial" w:hAnsi="Arial" w:cs="Arial"/>
        <w:b/>
      </w:rPr>
    </w:pPr>
  </w:p>
  <w:p w14:paraId="7D3E7FA7" w14:textId="7699EDC2" w:rsidR="00C6063F" w:rsidRPr="005C4F8A" w:rsidRDefault="005C4F8A" w:rsidP="005C4F8A">
    <w:pPr>
      <w:jc w:val="center"/>
      <w:rPr>
        <w:rFonts w:ascii="Arial" w:hAnsi="Arial" w:cs="Arial"/>
        <w:sz w:val="14"/>
      </w:rPr>
    </w:pPr>
    <w:r w:rsidRPr="005C4F8A">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FD6EF1B" w14:textId="77777777" w:rsidR="00491C20" w:rsidRDefault="00491C20" w:rsidP="00B10644">
      <w:pPr>
        <w:spacing w:after="0" w:line="240" w:lineRule="auto"/>
      </w:pPr>
      <w:r>
        <w:separator/>
      </w:r>
    </w:p>
  </w:footnote>
  <w:footnote w:type="continuationSeparator" w:id="0">
    <w:p w14:paraId="0E84AC1F" w14:textId="77777777" w:rsidR="00491C20" w:rsidRDefault="00491C20" w:rsidP="00B10644">
      <w:pPr>
        <w:spacing w:after="0" w:line="240" w:lineRule="auto"/>
      </w:pPr>
      <w:r>
        <w:continuationSeparator/>
      </w:r>
    </w:p>
  </w:footnote>
  <w:footnote w:id="1">
    <w:p w14:paraId="597FC3AA" w14:textId="77777777" w:rsidR="00C6063F" w:rsidRPr="000B2549" w:rsidRDefault="00C6063F" w:rsidP="00B10644">
      <w:pPr>
        <w:pStyle w:val="FootnoteText"/>
        <w:rPr>
          <w:rFonts w:ascii="Times New Roman" w:hAnsi="Times New Roman"/>
          <w:sz w:val="18"/>
          <w:szCs w:val="18"/>
        </w:rPr>
      </w:pPr>
      <w:r w:rsidRPr="000B2549">
        <w:rPr>
          <w:rStyle w:val="FootnoteReference"/>
          <w:rFonts w:ascii="Times New Roman" w:hAnsi="Times New Roman"/>
          <w:sz w:val="18"/>
          <w:szCs w:val="18"/>
        </w:rPr>
        <w:footnoteRef/>
      </w:r>
      <w:r w:rsidRPr="000B2549">
        <w:rPr>
          <w:rFonts w:ascii="Times New Roman" w:hAnsi="Times New Roman"/>
          <w:sz w:val="18"/>
          <w:szCs w:val="18"/>
        </w:rPr>
        <w:t xml:space="preserve"> </w:t>
      </w:r>
      <w:r w:rsidRPr="000B2549">
        <w:rPr>
          <w:rFonts w:ascii="Times New Roman" w:hAnsi="Times New Roman"/>
          <w:i/>
          <w:sz w:val="18"/>
          <w:szCs w:val="18"/>
        </w:rPr>
        <w:t>Commonwealth, Royal Commission into Institutional Responses to Child Sexual Abuse, Criminal Justice Report.</w:t>
      </w:r>
      <w:r w:rsidRPr="000B2549">
        <w:rPr>
          <w:rFonts w:ascii="Times New Roman" w:hAnsi="Times New Roman"/>
          <w:sz w:val="18"/>
          <w:szCs w:val="18"/>
        </w:rPr>
        <w:t xml:space="preserve"> Available at: </w:t>
      </w:r>
      <w:hyperlink r:id="rId1" w:history="1">
        <w:r w:rsidRPr="000B2549">
          <w:rPr>
            <w:rStyle w:val="Hyperlink"/>
            <w:rFonts w:ascii="Times New Roman" w:hAnsi="Times New Roman"/>
            <w:sz w:val="18"/>
            <w:szCs w:val="18"/>
          </w:rPr>
          <w:t>https://www.childabuseroyalcommission.gov.au/policy-and-research/our-policywork/criminal-justice</w:t>
        </w:r>
      </w:hyperlink>
      <w:r w:rsidRPr="000B2549">
        <w:rPr>
          <w:rFonts w:ascii="Times New Roman" w:hAnsi="Times New Roman"/>
          <w:sz w:val="18"/>
          <w:szCs w:val="18"/>
        </w:rPr>
        <w:t xml:space="preserve"> </w:t>
      </w:r>
    </w:p>
  </w:footnote>
  <w:footnote w:id="2">
    <w:p w14:paraId="0E097C23" w14:textId="313E1D85" w:rsidR="00C6063F" w:rsidRDefault="00C6063F">
      <w:pPr>
        <w:pStyle w:val="FootnoteText"/>
      </w:pPr>
      <w:r>
        <w:rPr>
          <w:rStyle w:val="FootnoteReference"/>
        </w:rPr>
        <w:footnoteRef/>
      </w:r>
      <w:r>
        <w:t xml:space="preserve"> Royal Commission Criminal Justice Legislation Amendment Act 2019.</w:t>
      </w:r>
    </w:p>
  </w:footnote>
  <w:footnote w:id="3">
    <w:p w14:paraId="3EDF7349" w14:textId="77777777" w:rsidR="00C6063F" w:rsidRDefault="00C6063F" w:rsidP="00B10644">
      <w:pPr>
        <w:pStyle w:val="FootnoteText"/>
      </w:pPr>
      <w:r>
        <w:rPr>
          <w:rStyle w:val="FootnoteReference"/>
        </w:rPr>
        <w:footnoteRef/>
      </w:r>
      <w:r>
        <w:t xml:space="preserve"> </w:t>
      </w:r>
      <w:r w:rsidRPr="0050521A">
        <w:rPr>
          <w:rFonts w:ascii="Times New Roman" w:hAnsi="Times New Roman"/>
          <w:i/>
          <w:sz w:val="18"/>
          <w:szCs w:val="18"/>
        </w:rPr>
        <w:t xml:space="preserve">Commonwealth, Royal Commission into Institutional Responses to Child Sexual Abuse, </w:t>
      </w:r>
      <w:r>
        <w:rPr>
          <w:i/>
          <w:sz w:val="18"/>
          <w:szCs w:val="18"/>
        </w:rPr>
        <w:t>Final Report</w:t>
      </w:r>
      <w:r w:rsidRPr="0050521A">
        <w:rPr>
          <w:rFonts w:ascii="Times New Roman" w:hAnsi="Times New Roman"/>
          <w:i/>
          <w:sz w:val="18"/>
          <w:szCs w:val="18"/>
        </w:rPr>
        <w:t xml:space="preserve">, </w:t>
      </w:r>
      <w:r>
        <w:rPr>
          <w:sz w:val="18"/>
          <w:szCs w:val="18"/>
        </w:rPr>
        <w:t>Volume 3, Impacts</w:t>
      </w:r>
      <w:r w:rsidRPr="0050521A">
        <w:rPr>
          <w:rFonts w:ascii="Times New Roman" w:hAnsi="Times New Roman"/>
          <w:sz w:val="18"/>
          <w:szCs w:val="18"/>
        </w:rPr>
        <w:t xml:space="preserve">, p. </w:t>
      </w:r>
      <w:r>
        <w:rPr>
          <w:sz w:val="18"/>
          <w:szCs w:val="18"/>
        </w:rPr>
        <w:t>9-11</w:t>
      </w:r>
      <w:r w:rsidRPr="0050521A">
        <w:rPr>
          <w:rFonts w:ascii="Times New Roman" w:hAnsi="Times New Roman"/>
          <w:sz w:val="18"/>
          <w:szCs w:val="18"/>
        </w:rPr>
        <w:t xml:space="preserve">. Available at: </w:t>
      </w:r>
      <w:hyperlink r:id="rId2" w:history="1">
        <w:r w:rsidRPr="00551684">
          <w:rPr>
            <w:rStyle w:val="Hyperlink"/>
            <w:sz w:val="18"/>
            <w:szCs w:val="18"/>
          </w:rPr>
          <w:t>https://www.childabuseroyalcommission.gov.au/impacts</w:t>
        </w:r>
      </w:hyperlink>
      <w:r>
        <w:rPr>
          <w:sz w:val="18"/>
          <w:szCs w:val="18"/>
        </w:rPr>
        <w:t xml:space="preserve"> </w:t>
      </w:r>
    </w:p>
  </w:footnote>
  <w:footnote w:id="4">
    <w:p w14:paraId="1D56A032" w14:textId="77777777" w:rsidR="00C6063F" w:rsidRPr="000B2549" w:rsidRDefault="00C6063F" w:rsidP="00B10644">
      <w:pPr>
        <w:pStyle w:val="FootnoteText"/>
        <w:rPr>
          <w:rFonts w:ascii="Times New Roman" w:hAnsi="Times New Roman"/>
          <w:sz w:val="18"/>
          <w:szCs w:val="18"/>
        </w:rPr>
      </w:pPr>
      <w:r w:rsidRPr="000B2549">
        <w:rPr>
          <w:rStyle w:val="FootnoteReference"/>
          <w:rFonts w:ascii="Times New Roman" w:hAnsi="Times New Roman"/>
          <w:sz w:val="18"/>
          <w:szCs w:val="18"/>
        </w:rPr>
        <w:footnoteRef/>
      </w:r>
      <w:r w:rsidRPr="000B2549">
        <w:rPr>
          <w:rFonts w:ascii="Times New Roman" w:hAnsi="Times New Roman"/>
          <w:sz w:val="18"/>
          <w:szCs w:val="18"/>
        </w:rPr>
        <w:t xml:space="preserve"> Colvin, M &amp; Cooper, J, 2009 </w:t>
      </w:r>
      <w:r w:rsidRPr="000B2549">
        <w:rPr>
          <w:rFonts w:ascii="Times New Roman" w:hAnsi="Times New Roman"/>
          <w:i/>
          <w:sz w:val="18"/>
          <w:szCs w:val="18"/>
        </w:rPr>
        <w:t>‘Human Rights in the Investigation and Prosecution of Crime’</w:t>
      </w:r>
      <w:r w:rsidRPr="000B2549">
        <w:rPr>
          <w:rFonts w:ascii="Times New Roman" w:hAnsi="Times New Roman"/>
          <w:sz w:val="18"/>
          <w:szCs w:val="18"/>
        </w:rPr>
        <w:t xml:space="preserve"> Oxford University Press, p.425. For more detail on positive obligations, see generally, Akandji-Kombe, J, 2007 ‘</w:t>
      </w:r>
      <w:r w:rsidRPr="000B2549">
        <w:rPr>
          <w:rFonts w:ascii="Times New Roman" w:hAnsi="Times New Roman"/>
          <w:i/>
          <w:sz w:val="18"/>
          <w:szCs w:val="18"/>
        </w:rPr>
        <w:t>Positive obligations under the European Convention on Human Rights’</w:t>
      </w:r>
      <w:r w:rsidRPr="000B2549">
        <w:rPr>
          <w:rFonts w:ascii="Times New Roman" w:hAnsi="Times New Roman"/>
          <w:sz w:val="18"/>
          <w:szCs w:val="18"/>
        </w:rPr>
        <w:t>, Council of Europe.</w:t>
      </w:r>
    </w:p>
  </w:footnote>
  <w:footnote w:id="5">
    <w:p w14:paraId="1F4C6E7D" w14:textId="77777777" w:rsidR="00C6063F" w:rsidRPr="000B2549" w:rsidRDefault="00C6063F" w:rsidP="00B10644">
      <w:pPr>
        <w:pStyle w:val="FootnoteText"/>
        <w:rPr>
          <w:rFonts w:ascii="Times New Roman" w:hAnsi="Times New Roman"/>
          <w:sz w:val="18"/>
          <w:szCs w:val="18"/>
        </w:rPr>
      </w:pPr>
      <w:r w:rsidRPr="000B2549">
        <w:rPr>
          <w:rStyle w:val="FootnoteReference"/>
          <w:rFonts w:ascii="Times New Roman" w:hAnsi="Times New Roman"/>
          <w:sz w:val="18"/>
          <w:szCs w:val="18"/>
        </w:rPr>
        <w:footnoteRef/>
      </w:r>
      <w:r w:rsidRPr="000B2549">
        <w:rPr>
          <w:rFonts w:ascii="Times New Roman" w:hAnsi="Times New Roman"/>
          <w:sz w:val="18"/>
          <w:szCs w:val="18"/>
        </w:rPr>
        <w:t xml:space="preserve"> No. 33218/96, 26 November 2002</w:t>
      </w:r>
    </w:p>
  </w:footnote>
  <w:footnote w:id="6">
    <w:p w14:paraId="52378075" w14:textId="77777777" w:rsidR="00C6063F" w:rsidRPr="000B2549" w:rsidRDefault="00C6063F" w:rsidP="00B10644">
      <w:pPr>
        <w:pStyle w:val="FootnoteText"/>
        <w:rPr>
          <w:rFonts w:ascii="Times New Roman" w:hAnsi="Times New Roman"/>
          <w:sz w:val="18"/>
          <w:szCs w:val="18"/>
        </w:rPr>
      </w:pPr>
      <w:r w:rsidRPr="000B2549">
        <w:rPr>
          <w:rStyle w:val="FootnoteReference"/>
          <w:rFonts w:ascii="Times New Roman" w:hAnsi="Times New Roman"/>
          <w:sz w:val="18"/>
          <w:szCs w:val="18"/>
        </w:rPr>
        <w:footnoteRef/>
      </w:r>
      <w:r w:rsidRPr="000B2549">
        <w:rPr>
          <w:rFonts w:ascii="Times New Roman" w:hAnsi="Times New Roman"/>
          <w:sz w:val="18"/>
          <w:szCs w:val="18"/>
        </w:rPr>
        <w:t xml:space="preserve"> No. 35810/09, 28 January 2014</w:t>
      </w:r>
    </w:p>
  </w:footnote>
  <w:footnote w:id="7">
    <w:p w14:paraId="01A6F683" w14:textId="77777777" w:rsidR="00C6063F" w:rsidRPr="000B2549" w:rsidRDefault="00C6063F" w:rsidP="003812EC">
      <w:pPr>
        <w:pStyle w:val="FootnoteText"/>
        <w:spacing w:after="120"/>
        <w:rPr>
          <w:rFonts w:ascii="Times New Roman" w:hAnsi="Times New Roman"/>
          <w:sz w:val="18"/>
          <w:szCs w:val="18"/>
        </w:rPr>
      </w:pPr>
      <w:r w:rsidRPr="000B2549">
        <w:rPr>
          <w:rStyle w:val="FootnoteReference"/>
          <w:rFonts w:ascii="Times New Roman" w:hAnsi="Times New Roman"/>
          <w:sz w:val="18"/>
          <w:szCs w:val="18"/>
        </w:rPr>
        <w:footnoteRef/>
      </w:r>
      <w:r w:rsidRPr="000B2549">
        <w:rPr>
          <w:rFonts w:ascii="Times New Roman" w:hAnsi="Times New Roman"/>
          <w:sz w:val="18"/>
          <w:szCs w:val="18"/>
        </w:rPr>
        <w:t xml:space="preserve"> [</w:t>
      </w:r>
      <w:r w:rsidRPr="000B2549">
        <w:rPr>
          <w:rFonts w:ascii="Times New Roman" w:hAnsi="Times New Roman"/>
          <w:bCs/>
          <w:sz w:val="18"/>
          <w:szCs w:val="18"/>
        </w:rPr>
        <w:t>1986</w:t>
      </w:r>
      <w:r w:rsidRPr="000B2549">
        <w:rPr>
          <w:rFonts w:ascii="Times New Roman" w:hAnsi="Times New Roman"/>
          <w:sz w:val="18"/>
          <w:szCs w:val="18"/>
        </w:rPr>
        <w:t>] 1 S.C.</w:t>
      </w:r>
      <w:r w:rsidRPr="000B2549">
        <w:rPr>
          <w:rFonts w:ascii="Times New Roman" w:hAnsi="Times New Roman"/>
          <w:bCs/>
          <w:sz w:val="18"/>
          <w:szCs w:val="18"/>
        </w:rPr>
        <w:t>R</w:t>
      </w:r>
      <w:r w:rsidRPr="000B2549">
        <w:rPr>
          <w:rFonts w:ascii="Times New Roman" w:hAnsi="Times New Roman"/>
          <w:sz w:val="18"/>
          <w:szCs w:val="18"/>
        </w:rPr>
        <w:t>. 103.</w:t>
      </w:r>
    </w:p>
  </w:footnote>
  <w:footnote w:id="8">
    <w:p w14:paraId="654D65BA" w14:textId="77777777" w:rsidR="00C6063F" w:rsidRPr="000B2549" w:rsidRDefault="00C6063F" w:rsidP="003812EC">
      <w:pPr>
        <w:pStyle w:val="FootnoteText"/>
        <w:rPr>
          <w:rFonts w:ascii="Times New Roman" w:hAnsi="Times New Roman"/>
          <w:sz w:val="18"/>
          <w:szCs w:val="18"/>
        </w:rPr>
      </w:pPr>
      <w:r w:rsidRPr="00D46DD6">
        <w:rPr>
          <w:rStyle w:val="FootnoteReference"/>
          <w:rFonts w:ascii="Times New Roman" w:hAnsi="Times New Roman"/>
          <w:sz w:val="18"/>
          <w:szCs w:val="18"/>
        </w:rPr>
        <w:footnoteRef/>
      </w:r>
      <w:r w:rsidRPr="00D46DD6">
        <w:rPr>
          <w:rFonts w:ascii="Times New Roman" w:hAnsi="Times New Roman"/>
          <w:sz w:val="18"/>
          <w:szCs w:val="18"/>
        </w:rPr>
        <w:t xml:space="preserve"> (Communication no. </w:t>
      </w:r>
      <w:r>
        <w:rPr>
          <w:rFonts w:ascii="Times New Roman" w:hAnsi="Times New Roman"/>
          <w:sz w:val="18"/>
          <w:szCs w:val="18"/>
        </w:rPr>
        <w:t>456/1991 Ismet Celepli v Sweden</w:t>
      </w:r>
      <w:r w:rsidRPr="00D46DD6">
        <w:rPr>
          <w:rFonts w:ascii="Times New Roman" w:hAnsi="Times New Roman"/>
          <w:sz w:val="18"/>
          <w:szCs w:val="18"/>
        </w:rPr>
        <w:t>) Under the Optional Protocol, individuals who claim that any of their rights set forth in the Covenant have been violated and who have exhausted all available domestic remedies may submit a written communication to the Human Rights Committee for consideration.</w:t>
      </w:r>
    </w:p>
  </w:footnote>
  <w:footnote w:id="9">
    <w:p w14:paraId="43B510DC" w14:textId="77777777" w:rsidR="00C6063F" w:rsidRPr="0050521A" w:rsidRDefault="00C6063F" w:rsidP="002B2E60">
      <w:pPr>
        <w:pStyle w:val="FootnoteText"/>
        <w:rPr>
          <w:rFonts w:ascii="Times New Roman" w:hAnsi="Times New Roman"/>
          <w:sz w:val="18"/>
          <w:szCs w:val="18"/>
        </w:rPr>
      </w:pPr>
      <w:r w:rsidRPr="0050521A">
        <w:rPr>
          <w:rStyle w:val="FootnoteReference"/>
          <w:rFonts w:ascii="Times New Roman" w:hAnsi="Times New Roman"/>
          <w:sz w:val="18"/>
          <w:szCs w:val="18"/>
        </w:rPr>
        <w:footnoteRef/>
      </w:r>
      <w:r w:rsidRPr="0050521A">
        <w:rPr>
          <w:rFonts w:ascii="Times New Roman" w:hAnsi="Times New Roman"/>
          <w:sz w:val="18"/>
          <w:szCs w:val="18"/>
        </w:rPr>
        <w:t xml:space="preserve"> Ibid, p. 216.</w:t>
      </w:r>
    </w:p>
  </w:footnote>
  <w:footnote w:id="10">
    <w:p w14:paraId="663A98D0" w14:textId="77777777" w:rsidR="00C6063F" w:rsidRPr="0050521A" w:rsidRDefault="00C6063F" w:rsidP="00B10644">
      <w:pPr>
        <w:pStyle w:val="FootnoteText"/>
        <w:rPr>
          <w:rFonts w:ascii="Times New Roman" w:hAnsi="Times New Roman"/>
          <w:sz w:val="18"/>
          <w:szCs w:val="18"/>
        </w:rPr>
      </w:pPr>
      <w:r w:rsidRPr="0050521A">
        <w:rPr>
          <w:rStyle w:val="FootnoteReference"/>
          <w:rFonts w:ascii="Times New Roman" w:hAnsi="Times New Roman"/>
          <w:sz w:val="18"/>
          <w:szCs w:val="18"/>
        </w:rPr>
        <w:footnoteRef/>
      </w:r>
      <w:r w:rsidRPr="0050521A">
        <w:rPr>
          <w:rFonts w:ascii="Times New Roman" w:hAnsi="Times New Roman"/>
          <w:sz w:val="18"/>
          <w:szCs w:val="18"/>
        </w:rPr>
        <w:t xml:space="preserve"> UN Human Rights Committee General comment No. 22 (48) (art. 18) CCPR/C/21/Rev.1/Add.4, 27 September 1993.</w:t>
      </w:r>
    </w:p>
  </w:footnote>
  <w:footnote w:id="11">
    <w:p w14:paraId="710553BA" w14:textId="77777777" w:rsidR="00C6063F" w:rsidRPr="0050521A" w:rsidRDefault="00C6063F" w:rsidP="00B10644">
      <w:pPr>
        <w:pStyle w:val="FootnoteText"/>
        <w:rPr>
          <w:rFonts w:ascii="Times New Roman" w:hAnsi="Times New Roman"/>
          <w:sz w:val="18"/>
          <w:szCs w:val="18"/>
        </w:rPr>
      </w:pPr>
      <w:r w:rsidRPr="0050521A">
        <w:rPr>
          <w:rStyle w:val="FootnoteReference"/>
          <w:rFonts w:ascii="Times New Roman" w:hAnsi="Times New Roman"/>
          <w:sz w:val="18"/>
          <w:szCs w:val="18"/>
        </w:rPr>
        <w:footnoteRef/>
      </w:r>
      <w:r w:rsidRPr="0050521A">
        <w:rPr>
          <w:rFonts w:ascii="Times New Roman" w:hAnsi="Times New Roman"/>
          <w:sz w:val="18"/>
          <w:szCs w:val="18"/>
        </w:rPr>
        <w:t xml:space="preserve"> Article 18(3) ICCPR; Eweida and ors v United Kingdom, nos. 48420/10, 59842/10, 51671/10 and 36516/10, ECHR 15 January 2013, 30.</w:t>
      </w:r>
    </w:p>
  </w:footnote>
  <w:footnote w:id="12">
    <w:p w14:paraId="724D349C" w14:textId="70A7215D" w:rsidR="00C6063F" w:rsidRPr="00F24DE4" w:rsidRDefault="00C6063F">
      <w:pPr>
        <w:pStyle w:val="FootnoteText"/>
        <w:rPr>
          <w:rFonts w:ascii="Times New Roman" w:hAnsi="Times New Roman"/>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Royal Commission Criminal Justice Legislation Amendment Act 2019.</w:t>
      </w:r>
    </w:p>
  </w:footnote>
  <w:footnote w:id="13">
    <w:p w14:paraId="2217112A" w14:textId="77777777" w:rsidR="00C6063F" w:rsidRPr="00F16D7C" w:rsidRDefault="00C6063F" w:rsidP="00B10644">
      <w:pPr>
        <w:pStyle w:val="FootnoteText"/>
      </w:pPr>
      <w:r w:rsidRPr="0050521A">
        <w:rPr>
          <w:rStyle w:val="FootnoteReference"/>
          <w:rFonts w:ascii="Times New Roman" w:hAnsi="Times New Roman"/>
          <w:sz w:val="18"/>
          <w:szCs w:val="18"/>
        </w:rPr>
        <w:footnoteRef/>
      </w:r>
      <w:r w:rsidRPr="0050521A">
        <w:rPr>
          <w:rFonts w:ascii="Times New Roman" w:hAnsi="Times New Roman"/>
          <w:sz w:val="18"/>
          <w:szCs w:val="18"/>
        </w:rPr>
        <w:t xml:space="preserve"> </w:t>
      </w:r>
      <w:r w:rsidRPr="0050521A">
        <w:rPr>
          <w:rFonts w:ascii="Times New Roman" w:hAnsi="Times New Roman"/>
          <w:i/>
          <w:sz w:val="18"/>
          <w:szCs w:val="18"/>
        </w:rPr>
        <w:t xml:space="preserve">Commonwealth, Royal Commission into Institutional Responses to Child Sexual Abuse, Criminal Justice Report, </w:t>
      </w:r>
      <w:r w:rsidRPr="0050521A">
        <w:rPr>
          <w:rFonts w:ascii="Times New Roman" w:hAnsi="Times New Roman"/>
          <w:sz w:val="18"/>
          <w:szCs w:val="18"/>
        </w:rPr>
        <w:t xml:space="preserve">Parts III-VI, p. 202. Available at: </w:t>
      </w:r>
      <w:hyperlink r:id="rId3" w:history="1">
        <w:r w:rsidRPr="0050521A">
          <w:rPr>
            <w:rStyle w:val="Hyperlink"/>
            <w:rFonts w:ascii="Times New Roman" w:hAnsi="Times New Roman"/>
            <w:sz w:val="18"/>
            <w:szCs w:val="18"/>
          </w:rPr>
          <w:t>https://www.childabuseroyalcommission.gov.au/policy-and-research/our-policywork/criminal-justice</w:t>
        </w:r>
      </w:hyperlink>
    </w:p>
  </w:footnote>
  <w:footnote w:id="14">
    <w:p w14:paraId="69FA431C" w14:textId="77777777" w:rsidR="00C6063F" w:rsidRPr="0050521A" w:rsidRDefault="00C6063F" w:rsidP="00B10644">
      <w:pPr>
        <w:pStyle w:val="FootnoteText"/>
        <w:rPr>
          <w:rFonts w:ascii="Times New Roman" w:hAnsi="Times New Roman"/>
          <w:sz w:val="18"/>
          <w:szCs w:val="18"/>
        </w:rPr>
      </w:pPr>
      <w:r w:rsidRPr="0050521A">
        <w:rPr>
          <w:rStyle w:val="FootnoteReference"/>
          <w:rFonts w:ascii="Times New Roman" w:hAnsi="Times New Roman"/>
          <w:sz w:val="18"/>
          <w:szCs w:val="18"/>
        </w:rPr>
        <w:footnoteRef/>
      </w:r>
      <w:r w:rsidRPr="0050521A">
        <w:rPr>
          <w:rFonts w:ascii="Times New Roman" w:hAnsi="Times New Roman"/>
          <w:sz w:val="18"/>
          <w:szCs w:val="18"/>
        </w:rPr>
        <w:t xml:space="preserve"> Ibid, p. 203</w:t>
      </w:r>
    </w:p>
  </w:footnote>
  <w:footnote w:id="15">
    <w:p w14:paraId="40ED749F" w14:textId="77777777" w:rsidR="00C6063F" w:rsidRPr="0050521A" w:rsidRDefault="00C6063F" w:rsidP="00B10644">
      <w:pPr>
        <w:pStyle w:val="FootnoteText"/>
        <w:rPr>
          <w:rFonts w:ascii="Times New Roman" w:hAnsi="Times New Roman"/>
          <w:sz w:val="18"/>
          <w:szCs w:val="18"/>
        </w:rPr>
      </w:pPr>
      <w:r w:rsidRPr="0050521A">
        <w:rPr>
          <w:rStyle w:val="FootnoteReference"/>
          <w:rFonts w:ascii="Times New Roman" w:hAnsi="Times New Roman"/>
          <w:sz w:val="18"/>
          <w:szCs w:val="18"/>
        </w:rPr>
        <w:footnoteRef/>
      </w:r>
      <w:r w:rsidRPr="0050521A">
        <w:rPr>
          <w:rFonts w:ascii="Times New Roman" w:hAnsi="Times New Roman"/>
          <w:sz w:val="18"/>
          <w:szCs w:val="18"/>
        </w:rPr>
        <w:t xml:space="preserve"> Ibid, pp. 203-204.</w:t>
      </w:r>
    </w:p>
  </w:footnote>
  <w:footnote w:id="16">
    <w:p w14:paraId="709FBD5E" w14:textId="77777777" w:rsidR="00C6063F" w:rsidRPr="0050521A" w:rsidRDefault="00C6063F" w:rsidP="00B10644">
      <w:pPr>
        <w:pStyle w:val="FootnoteText"/>
        <w:rPr>
          <w:rFonts w:ascii="Times New Roman" w:hAnsi="Times New Roman"/>
          <w:sz w:val="18"/>
          <w:szCs w:val="18"/>
        </w:rPr>
      </w:pPr>
      <w:r w:rsidRPr="0050521A">
        <w:rPr>
          <w:rStyle w:val="FootnoteReference"/>
          <w:rFonts w:ascii="Times New Roman" w:hAnsi="Times New Roman"/>
          <w:sz w:val="18"/>
          <w:szCs w:val="18"/>
        </w:rPr>
        <w:footnoteRef/>
      </w:r>
      <w:r w:rsidRPr="0050521A">
        <w:rPr>
          <w:rFonts w:ascii="Times New Roman" w:hAnsi="Times New Roman"/>
          <w:sz w:val="18"/>
          <w:szCs w:val="18"/>
        </w:rPr>
        <w:t xml:space="preserve"> Ibid, p. 133.</w:t>
      </w:r>
    </w:p>
  </w:footnote>
  <w:footnote w:id="17">
    <w:p w14:paraId="3B30B589" w14:textId="77777777" w:rsidR="00C6063F" w:rsidRPr="0050521A" w:rsidRDefault="00C6063F" w:rsidP="00B10644">
      <w:pPr>
        <w:pStyle w:val="FootnoteText"/>
        <w:rPr>
          <w:rFonts w:ascii="Times New Roman" w:hAnsi="Times New Roman"/>
          <w:sz w:val="18"/>
          <w:szCs w:val="18"/>
        </w:rPr>
      </w:pPr>
      <w:r w:rsidRPr="0050521A">
        <w:rPr>
          <w:rStyle w:val="FootnoteReference"/>
          <w:rFonts w:ascii="Times New Roman" w:hAnsi="Times New Roman"/>
          <w:sz w:val="18"/>
          <w:szCs w:val="18"/>
        </w:rPr>
        <w:footnoteRef/>
      </w:r>
      <w:r w:rsidRPr="0050521A">
        <w:rPr>
          <w:rFonts w:ascii="Times New Roman" w:hAnsi="Times New Roman"/>
          <w:sz w:val="18"/>
          <w:szCs w:val="18"/>
        </w:rPr>
        <w:t xml:space="preserve"> Ibid, p. 216.</w:t>
      </w:r>
    </w:p>
  </w:footnote>
  <w:footnote w:id="18">
    <w:p w14:paraId="52C03DCB" w14:textId="77777777" w:rsidR="00C6063F" w:rsidRPr="00F24DE4" w:rsidRDefault="00C6063F" w:rsidP="00B10644">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The Hon. Justice Julie Dodds-Streeton and Jack O’Connor (2019), </w:t>
      </w:r>
      <w:r w:rsidRPr="00F24DE4">
        <w:rPr>
          <w:rFonts w:ascii="Times New Roman" w:hAnsi="Times New Roman"/>
          <w:i/>
          <w:sz w:val="18"/>
          <w:szCs w:val="18"/>
        </w:rPr>
        <w:t xml:space="preserve">Analysis Report: Implementation of Royal Commission Into Institutional Responses to Child Sexual Abuse Recommendations Regarding the Reporting of Child Sexual Abuse with Implications for the Confessional Seal, </w:t>
      </w:r>
      <w:r w:rsidRPr="00F24DE4">
        <w:rPr>
          <w:rFonts w:ascii="Times New Roman" w:hAnsi="Times New Roman"/>
          <w:sz w:val="18"/>
          <w:szCs w:val="18"/>
        </w:rPr>
        <w:t>pp. 43-46.</w:t>
      </w:r>
    </w:p>
  </w:footnote>
  <w:footnote w:id="19">
    <w:p w14:paraId="340F87D6" w14:textId="77777777" w:rsidR="00C6063F" w:rsidRPr="00F24DE4" w:rsidRDefault="00C6063F" w:rsidP="00B10644">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Ibid, p. 45.</w:t>
      </w:r>
    </w:p>
  </w:footnote>
  <w:footnote w:id="20">
    <w:p w14:paraId="788D327A" w14:textId="77777777" w:rsidR="00C6063F" w:rsidRPr="00F24DE4" w:rsidRDefault="00C6063F" w:rsidP="00B10644">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w:t>
      </w:r>
      <w:r w:rsidRPr="00F24DE4">
        <w:rPr>
          <w:rFonts w:ascii="Times New Roman" w:hAnsi="Times New Roman"/>
          <w:i/>
          <w:sz w:val="18"/>
          <w:szCs w:val="18"/>
        </w:rPr>
        <w:t xml:space="preserve">Brown v Stott </w:t>
      </w:r>
      <w:r w:rsidRPr="00F24DE4">
        <w:rPr>
          <w:rFonts w:ascii="Times New Roman" w:hAnsi="Times New Roman"/>
          <w:sz w:val="18"/>
          <w:szCs w:val="18"/>
        </w:rPr>
        <w:t>(2003) 1 AC 681</w:t>
      </w:r>
    </w:p>
  </w:footnote>
  <w:footnote w:id="21">
    <w:p w14:paraId="12E1AD58" w14:textId="77777777" w:rsidR="00C6063F" w:rsidRPr="00F24DE4" w:rsidRDefault="00C6063F" w:rsidP="00775D4C">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The Royal Commission, Criminal Justice Report, Parts III-VI, page 634.</w:t>
      </w:r>
    </w:p>
  </w:footnote>
  <w:footnote w:id="22">
    <w:p w14:paraId="76C3C9DB" w14:textId="77777777" w:rsidR="00C6063F" w:rsidRPr="00F24DE4" w:rsidRDefault="00C6063F" w:rsidP="00775D4C">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The Royal Commission, Criminal Justice Report, Parts III-VI, page 634.</w:t>
      </w:r>
    </w:p>
  </w:footnote>
  <w:footnote w:id="23">
    <w:p w14:paraId="5023BBF0" w14:textId="77777777" w:rsidR="00C6063F" w:rsidRPr="00F24DE4" w:rsidRDefault="00C6063F" w:rsidP="00775D4C">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The Royal Commission, Criminal Justice Report, Parts III-VI, page 633.</w:t>
      </w:r>
    </w:p>
  </w:footnote>
  <w:footnote w:id="24">
    <w:p w14:paraId="05EDB6E4" w14:textId="77777777" w:rsidR="00C6063F" w:rsidRPr="00F24DE4" w:rsidRDefault="00C6063F" w:rsidP="00775D4C">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The Royal Commission, Criminal Justice Report, Parts III-VI, page 634.</w:t>
      </w:r>
    </w:p>
  </w:footnote>
  <w:footnote w:id="25">
    <w:p w14:paraId="0B8DEDFF" w14:textId="77777777" w:rsidR="00C6063F" w:rsidRPr="00F24DE4" w:rsidRDefault="00C6063F" w:rsidP="00775D4C">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The Royal Commission, Criminal Justice Report, Parts III-VI, page 455.</w:t>
      </w:r>
    </w:p>
  </w:footnote>
  <w:footnote w:id="26">
    <w:p w14:paraId="5EF006B5" w14:textId="77777777" w:rsidR="00C6063F" w:rsidRPr="00F24DE4" w:rsidRDefault="00C6063F" w:rsidP="00775D4C">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The Royal Commission, Criminal Justice Report, Parts III-VI, page 417 and 455.</w:t>
      </w:r>
    </w:p>
  </w:footnote>
  <w:footnote w:id="27">
    <w:p w14:paraId="393E3B00" w14:textId="77777777" w:rsidR="00C6063F" w:rsidRPr="00F24DE4" w:rsidRDefault="00C6063F" w:rsidP="00775D4C">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The Royal Commission, Criminal Justice Report, Parts III-VI, page 458.</w:t>
      </w:r>
    </w:p>
  </w:footnote>
  <w:footnote w:id="28">
    <w:p w14:paraId="236A4266" w14:textId="77777777" w:rsidR="00C6063F" w:rsidRPr="00F24DE4" w:rsidRDefault="00C6063F" w:rsidP="00775D4C">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w:t>
      </w:r>
      <w:r w:rsidRPr="00F24DE4">
        <w:rPr>
          <w:rFonts w:ascii="Times New Roman" w:hAnsi="Times New Roman"/>
          <w:i/>
          <w:iCs/>
          <w:sz w:val="18"/>
          <w:szCs w:val="18"/>
        </w:rPr>
        <w:t>IMM v The Queen</w:t>
      </w:r>
      <w:r w:rsidRPr="00F24DE4">
        <w:rPr>
          <w:rFonts w:ascii="Times New Roman" w:hAnsi="Times New Roman"/>
          <w:sz w:val="18"/>
          <w:szCs w:val="18"/>
        </w:rPr>
        <w:t xml:space="preserve"> [2016] HCA 14, [158]–[161] (Nettle and Gordon JJ); (2016) 257 CLR 300, 345-6.</w:t>
      </w:r>
    </w:p>
  </w:footnote>
  <w:footnote w:id="29">
    <w:p w14:paraId="3E81FCE6" w14:textId="77777777" w:rsidR="00C6063F" w:rsidRPr="00F24DE4" w:rsidRDefault="00C6063F" w:rsidP="00775D4C">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The Royal Commission, Criminal Justice Report, Parts III-VI, page 457.</w:t>
      </w:r>
    </w:p>
  </w:footnote>
  <w:footnote w:id="30">
    <w:p w14:paraId="1BCFE617" w14:textId="77777777" w:rsidR="00C6063F" w:rsidRPr="00F24DE4" w:rsidRDefault="00C6063F" w:rsidP="00775D4C">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J Goodman-Delahunty, M Nolan and E van Gijn-Grosvenor, </w:t>
      </w:r>
      <w:r w:rsidRPr="00F24DE4">
        <w:rPr>
          <w:rFonts w:ascii="Times New Roman" w:hAnsi="Times New Roman"/>
          <w:i/>
          <w:iCs/>
          <w:sz w:val="18"/>
          <w:szCs w:val="18"/>
        </w:rPr>
        <w:t>Empirical guidance on the effects of child sexual abuse on memory and complainants’ evidence</w:t>
      </w:r>
      <w:r w:rsidRPr="00F24DE4">
        <w:rPr>
          <w:rFonts w:ascii="Times New Roman" w:hAnsi="Times New Roman"/>
          <w:sz w:val="18"/>
          <w:szCs w:val="18"/>
        </w:rPr>
        <w:t>, Royal Commission into Institutional Responses to Child Sexual Abuse, 2017.</w:t>
      </w:r>
    </w:p>
  </w:footnote>
  <w:footnote w:id="31">
    <w:p w14:paraId="11BAAE5D" w14:textId="77777777" w:rsidR="00C6063F" w:rsidRPr="00F24DE4" w:rsidRDefault="00C6063F" w:rsidP="00775D4C">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J Goodman-Delahunty, M Nolan and E van Gijn-Grosvenor, </w:t>
      </w:r>
      <w:r w:rsidRPr="00F24DE4">
        <w:rPr>
          <w:rFonts w:ascii="Times New Roman" w:hAnsi="Times New Roman"/>
          <w:i/>
          <w:iCs/>
          <w:sz w:val="18"/>
          <w:szCs w:val="18"/>
        </w:rPr>
        <w:t>Empirical guidance on the effects of child sexual abuse on memory and complainants’ evidence</w:t>
      </w:r>
      <w:r w:rsidRPr="00F24DE4">
        <w:rPr>
          <w:rFonts w:ascii="Times New Roman" w:hAnsi="Times New Roman"/>
          <w:sz w:val="18"/>
          <w:szCs w:val="18"/>
        </w:rPr>
        <w:t>, Royal Commission into Institutional Responses to Child Sexual Abuse, 2017.</w:t>
      </w:r>
    </w:p>
  </w:footnote>
  <w:footnote w:id="32">
    <w:p w14:paraId="41BFED7E" w14:textId="77777777" w:rsidR="00C6063F" w:rsidRPr="00F24DE4" w:rsidRDefault="00C6063F" w:rsidP="00775D4C">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The Royal Commission, Criminal Justice Report, Parts III-VI, page 463.</w:t>
      </w:r>
    </w:p>
  </w:footnote>
  <w:footnote w:id="33">
    <w:p w14:paraId="06D88915" w14:textId="77777777" w:rsidR="00C6063F" w:rsidRPr="000B2549" w:rsidRDefault="00C6063F" w:rsidP="00D50824">
      <w:pPr>
        <w:pStyle w:val="FootnoteText"/>
        <w:rPr>
          <w:rFonts w:ascii="Times New Roman" w:hAnsi="Times New Roman"/>
          <w:sz w:val="18"/>
          <w:szCs w:val="18"/>
        </w:rPr>
      </w:pPr>
      <w:r w:rsidRPr="000B2549">
        <w:rPr>
          <w:rStyle w:val="FootnoteReference"/>
          <w:rFonts w:ascii="Times New Roman" w:hAnsi="Times New Roman"/>
          <w:sz w:val="18"/>
          <w:szCs w:val="18"/>
        </w:rPr>
        <w:footnoteRef/>
      </w:r>
      <w:r w:rsidRPr="000B2549">
        <w:rPr>
          <w:rFonts w:ascii="Times New Roman" w:hAnsi="Times New Roman"/>
          <w:sz w:val="18"/>
          <w:szCs w:val="18"/>
        </w:rPr>
        <w:t xml:space="preserve"> </w:t>
      </w:r>
      <w:r w:rsidRPr="000B2549">
        <w:rPr>
          <w:rFonts w:ascii="Times New Roman" w:hAnsi="Times New Roman"/>
          <w:i/>
          <w:sz w:val="18"/>
          <w:szCs w:val="18"/>
        </w:rPr>
        <w:t>Ragg v Magistrates’ Court of Victoria and Corcoris</w:t>
      </w:r>
      <w:r w:rsidRPr="000B2549">
        <w:rPr>
          <w:rFonts w:ascii="Times New Roman" w:hAnsi="Times New Roman"/>
          <w:sz w:val="18"/>
          <w:szCs w:val="18"/>
        </w:rPr>
        <w:t xml:space="preserve"> [2008] VSC 1 (24 January 2008) (Bell J)</w:t>
      </w:r>
    </w:p>
  </w:footnote>
  <w:footnote w:id="34">
    <w:p w14:paraId="728856FF" w14:textId="4FA4CEE2" w:rsidR="00C6063F" w:rsidRPr="00F24DE4" w:rsidRDefault="00C6063F" w:rsidP="00F24DE4">
      <w:pPr>
        <w:shd w:val="clear" w:color="auto" w:fill="FFFFFF"/>
        <w:spacing w:after="0" w:line="240" w:lineRule="auto"/>
        <w:jc w:val="left"/>
        <w:rPr>
          <w:rFonts w:eastAsia="Times New Roman"/>
          <w:sz w:val="18"/>
          <w:szCs w:val="18"/>
          <w:lang w:eastAsia="en-AU"/>
        </w:rPr>
      </w:pPr>
      <w:r w:rsidRPr="00F24DE4">
        <w:rPr>
          <w:rStyle w:val="FootnoteReference"/>
          <w:sz w:val="18"/>
          <w:szCs w:val="18"/>
        </w:rPr>
        <w:footnoteRef/>
      </w:r>
      <w:r w:rsidRPr="00F24DE4">
        <w:rPr>
          <w:sz w:val="18"/>
          <w:szCs w:val="18"/>
        </w:rPr>
        <w:t xml:space="preserve"> </w:t>
      </w:r>
      <w:bookmarkStart w:id="31" w:name="_Hlk37676836"/>
      <w:r w:rsidRPr="00F24DE4">
        <w:rPr>
          <w:rFonts w:eastAsia="Times New Roman"/>
          <w:i/>
          <w:iCs/>
          <w:sz w:val="18"/>
          <w:szCs w:val="18"/>
          <w:lang w:eastAsia="en-AU"/>
        </w:rPr>
        <w:t>Johnson v Miller</w:t>
      </w:r>
      <w:r w:rsidRPr="00F24DE4">
        <w:rPr>
          <w:rFonts w:eastAsia="Times New Roman"/>
          <w:sz w:val="18"/>
          <w:szCs w:val="18"/>
          <w:lang w:eastAsia="en-AU"/>
        </w:rPr>
        <w:t xml:space="preserve"> (1937) 59 CLR 467, 489 </w:t>
      </w:r>
      <w:bookmarkEnd w:id="31"/>
      <w:r w:rsidRPr="00F24DE4">
        <w:rPr>
          <w:rFonts w:eastAsia="Times New Roman"/>
          <w:sz w:val="18"/>
          <w:szCs w:val="18"/>
          <w:lang w:eastAsia="en-AU"/>
        </w:rPr>
        <w:t>(Dixon J).</w:t>
      </w:r>
    </w:p>
  </w:footnote>
  <w:footnote w:id="35">
    <w:p w14:paraId="34E21D2F" w14:textId="1ED79611" w:rsidR="00C6063F" w:rsidRPr="00F24DE4" w:rsidRDefault="00C6063F">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w:t>
      </w:r>
      <w:r w:rsidRPr="00F24DE4">
        <w:rPr>
          <w:rFonts w:ascii="Times New Roman" w:hAnsi="Times New Roman"/>
          <w:i/>
          <w:iCs/>
          <w:sz w:val="18"/>
          <w:szCs w:val="18"/>
        </w:rPr>
        <w:t>Kirk v IRC</w:t>
      </w:r>
      <w:r w:rsidRPr="00F24DE4">
        <w:rPr>
          <w:rFonts w:ascii="Times New Roman" w:hAnsi="Times New Roman"/>
          <w:sz w:val="18"/>
          <w:szCs w:val="18"/>
        </w:rPr>
        <w:t xml:space="preserve"> [2010] HCA 1 [26], (2010) 239 CLR 531, 557.</w:t>
      </w:r>
    </w:p>
  </w:footnote>
  <w:footnote w:id="36">
    <w:p w14:paraId="06511F6A" w14:textId="18BDFFE4" w:rsidR="00C6063F" w:rsidRPr="00F24DE4" w:rsidRDefault="00C6063F">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w:t>
      </w:r>
      <w:r w:rsidRPr="00F24DE4">
        <w:rPr>
          <w:rFonts w:ascii="Times New Roman" w:hAnsi="Times New Roman"/>
          <w:i/>
          <w:iCs/>
          <w:sz w:val="18"/>
          <w:szCs w:val="18"/>
        </w:rPr>
        <w:t>Johnson v Miller</w:t>
      </w:r>
      <w:r w:rsidRPr="00F24DE4">
        <w:rPr>
          <w:rFonts w:ascii="Times New Roman" w:hAnsi="Times New Roman"/>
          <w:sz w:val="18"/>
          <w:szCs w:val="18"/>
        </w:rPr>
        <w:t xml:space="preserve"> (1937) 59 CLR 467, 489.</w:t>
      </w:r>
    </w:p>
  </w:footnote>
  <w:footnote w:id="37">
    <w:p w14:paraId="648A93F6" w14:textId="20FED3A5" w:rsidR="00C6063F" w:rsidRPr="00F24DE4" w:rsidRDefault="00C6063F">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See, for example, </w:t>
      </w:r>
      <w:r w:rsidRPr="00F24DE4">
        <w:rPr>
          <w:rFonts w:ascii="Times New Roman" w:hAnsi="Times New Roman"/>
          <w:i/>
          <w:iCs/>
          <w:sz w:val="18"/>
          <w:szCs w:val="18"/>
        </w:rPr>
        <w:t>Veysey v R</w:t>
      </w:r>
      <w:r w:rsidRPr="00F24DE4">
        <w:rPr>
          <w:rFonts w:ascii="Times New Roman" w:hAnsi="Times New Roman"/>
          <w:sz w:val="18"/>
          <w:szCs w:val="18"/>
        </w:rPr>
        <w:t xml:space="preserve"> [2011] VSCA 309; (2011) 33 VR 277.</w:t>
      </w:r>
    </w:p>
  </w:footnote>
  <w:footnote w:id="38">
    <w:p w14:paraId="50EB7268" w14:textId="574E82BA" w:rsidR="00C6063F" w:rsidRPr="00F24DE4" w:rsidRDefault="00C6063F">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w:t>
      </w:r>
      <w:r w:rsidRPr="00F24DE4">
        <w:rPr>
          <w:rFonts w:ascii="Times New Roman" w:hAnsi="Times New Roman"/>
          <w:i/>
          <w:iCs/>
          <w:sz w:val="18"/>
          <w:szCs w:val="18"/>
        </w:rPr>
        <w:t>S v The Queen</w:t>
      </w:r>
      <w:r w:rsidRPr="00F24DE4">
        <w:rPr>
          <w:rFonts w:ascii="Times New Roman" w:hAnsi="Times New Roman"/>
          <w:sz w:val="18"/>
          <w:szCs w:val="18"/>
        </w:rPr>
        <w:t xml:space="preserve"> [1989] HCA 66; (1989) 168 CLR 266.</w:t>
      </w:r>
    </w:p>
  </w:footnote>
  <w:footnote w:id="39">
    <w:p w14:paraId="7CC72D06" w14:textId="2E08277B" w:rsidR="00C6063F" w:rsidRPr="00F24DE4" w:rsidRDefault="00C6063F">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w:t>
      </w:r>
      <w:r w:rsidRPr="00F24DE4">
        <w:rPr>
          <w:rFonts w:ascii="Times New Roman" w:hAnsi="Times New Roman"/>
          <w:i/>
          <w:iCs/>
          <w:sz w:val="18"/>
          <w:szCs w:val="18"/>
        </w:rPr>
        <w:t>Dietrich v The Queen</w:t>
      </w:r>
      <w:r w:rsidRPr="00F24DE4">
        <w:rPr>
          <w:rFonts w:ascii="Times New Roman" w:hAnsi="Times New Roman"/>
          <w:sz w:val="18"/>
          <w:szCs w:val="18"/>
        </w:rPr>
        <w:t xml:space="preserve"> (1992) 177 CLR 292, 298 (Mason CJ and McHugh J).</w:t>
      </w:r>
    </w:p>
  </w:footnote>
  <w:footnote w:id="40">
    <w:p w14:paraId="6594C639" w14:textId="2C8B83E9" w:rsidR="00C6063F" w:rsidRPr="00F24DE4" w:rsidRDefault="00C6063F">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Andrew Ashworth, ‘Four Threats to the Presumption of Innocence’ (2006) 10 </w:t>
      </w:r>
      <w:r w:rsidRPr="00F24DE4">
        <w:rPr>
          <w:rFonts w:ascii="Times New Roman" w:hAnsi="Times New Roman"/>
          <w:i/>
          <w:iCs/>
          <w:sz w:val="18"/>
          <w:szCs w:val="18"/>
        </w:rPr>
        <w:t xml:space="preserve">International Journal of Evidence and Proof </w:t>
      </w:r>
      <w:r w:rsidRPr="00F24DE4">
        <w:rPr>
          <w:rFonts w:ascii="Times New Roman" w:hAnsi="Times New Roman"/>
          <w:sz w:val="18"/>
          <w:szCs w:val="18"/>
        </w:rPr>
        <w:t>241, 247.</w:t>
      </w:r>
    </w:p>
  </w:footnote>
  <w:footnote w:id="41">
    <w:p w14:paraId="5831F1EB" w14:textId="6D8ACD6C" w:rsidR="00C6063F" w:rsidRPr="00F24DE4" w:rsidRDefault="00C6063F">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w:t>
      </w:r>
      <w:r w:rsidRPr="00F24DE4">
        <w:rPr>
          <w:rFonts w:ascii="Times New Roman" w:hAnsi="Times New Roman"/>
          <w:i/>
          <w:iCs/>
          <w:sz w:val="18"/>
          <w:szCs w:val="18"/>
        </w:rPr>
        <w:t>Dietrich v The Queen</w:t>
      </w:r>
      <w:r w:rsidRPr="00F24DE4">
        <w:rPr>
          <w:rFonts w:ascii="Times New Roman" w:hAnsi="Times New Roman"/>
          <w:sz w:val="18"/>
          <w:szCs w:val="18"/>
        </w:rPr>
        <w:t xml:space="preserve"> (1992) 177 CLR 292, 299–300</w:t>
      </w:r>
    </w:p>
  </w:footnote>
  <w:footnote w:id="42">
    <w:p w14:paraId="568562D9" w14:textId="290BD137" w:rsidR="00C6063F" w:rsidRPr="00F24DE4" w:rsidRDefault="00C6063F">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w:t>
      </w:r>
      <w:r w:rsidRPr="00F24DE4">
        <w:rPr>
          <w:rFonts w:ascii="Times New Roman" w:hAnsi="Times New Roman"/>
          <w:i/>
          <w:iCs/>
          <w:sz w:val="18"/>
          <w:szCs w:val="18"/>
        </w:rPr>
        <w:t>Jago v The District Court of NSW</w:t>
      </w:r>
      <w:r w:rsidRPr="00F24DE4">
        <w:rPr>
          <w:rFonts w:ascii="Times New Roman" w:hAnsi="Times New Roman"/>
          <w:sz w:val="18"/>
          <w:szCs w:val="18"/>
        </w:rPr>
        <w:t xml:space="preserve"> (1989) 168 CLR 23, 56–7 (Deane J).</w:t>
      </w:r>
    </w:p>
  </w:footnote>
  <w:footnote w:id="43">
    <w:p w14:paraId="73C55936" w14:textId="5FA5C81F" w:rsidR="00C6063F" w:rsidRPr="00F24DE4" w:rsidRDefault="00C6063F">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Royal Commission, Criminal Justice Report, August 2017, Parts III-VI, page 68.  </w:t>
      </w:r>
    </w:p>
  </w:footnote>
  <w:footnote w:id="44">
    <w:p w14:paraId="3660744C" w14:textId="0FD7927C" w:rsidR="00C6063F" w:rsidRPr="00F24DE4" w:rsidRDefault="00C6063F">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Royal Commission, Criminal Justice Report, August 2017, Parts III-VI, page 10.</w:t>
      </w:r>
    </w:p>
  </w:footnote>
  <w:footnote w:id="45">
    <w:p w14:paraId="1F6CC0D8" w14:textId="48F1056C" w:rsidR="00C6063F" w:rsidRPr="00F24DE4" w:rsidRDefault="00C6063F">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R v Christopher Rafferty (Unreported, NSWDC, Frearson SC DCJ, 25 August 2016), page 16.</w:t>
      </w:r>
    </w:p>
  </w:footnote>
  <w:footnote w:id="46">
    <w:p w14:paraId="394F17A6" w14:textId="6A4DE542" w:rsidR="00C6063F" w:rsidRPr="00F24DE4" w:rsidRDefault="00C6063F">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R v Christopher Rafferty (Unreported, NSWDC, Frearson SC DCJ, 25 August 2016), page 4.</w:t>
      </w:r>
    </w:p>
  </w:footnote>
  <w:footnote w:id="47">
    <w:p w14:paraId="7103CD7C" w14:textId="59E608C8" w:rsidR="00C6063F" w:rsidRPr="00F24DE4" w:rsidRDefault="00C6063F">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J Goodman-Delahunty, M Nolan and E van Gijn-Grosvenor, </w:t>
      </w:r>
      <w:r w:rsidRPr="00F24DE4">
        <w:rPr>
          <w:rFonts w:ascii="Times New Roman" w:hAnsi="Times New Roman"/>
          <w:i/>
          <w:iCs/>
          <w:sz w:val="18"/>
          <w:szCs w:val="18"/>
        </w:rPr>
        <w:t>Empirical guidance on the effects of child sexual abuse on memory and complainants’ evidence</w:t>
      </w:r>
      <w:r w:rsidRPr="00F24DE4">
        <w:rPr>
          <w:rFonts w:ascii="Times New Roman" w:hAnsi="Times New Roman"/>
          <w:sz w:val="18"/>
          <w:szCs w:val="18"/>
        </w:rPr>
        <w:t>, Royal Commission into Institutional Responses to Child Sexual Abuse, 2017, page 101.</w:t>
      </w:r>
    </w:p>
  </w:footnote>
  <w:footnote w:id="48">
    <w:p w14:paraId="5F3273BD" w14:textId="36D17D10" w:rsidR="00C6063F" w:rsidRPr="00F24DE4" w:rsidRDefault="00C6063F">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J Goodman-Delahunty, M Nolan and Evan Gijn-Grosvenor, </w:t>
      </w:r>
      <w:r w:rsidRPr="00F24DE4">
        <w:rPr>
          <w:rFonts w:ascii="Times New Roman" w:hAnsi="Times New Roman"/>
          <w:i/>
          <w:iCs/>
          <w:sz w:val="18"/>
          <w:szCs w:val="18"/>
        </w:rPr>
        <w:t>Empirical guidance on the effects of child sexual abuse on memory and complainants’ evidence</w:t>
      </w:r>
      <w:r w:rsidRPr="00F24DE4">
        <w:rPr>
          <w:rFonts w:ascii="Times New Roman" w:hAnsi="Times New Roman"/>
          <w:sz w:val="18"/>
          <w:szCs w:val="18"/>
        </w:rPr>
        <w:t>, Royal Commission into Institutional Responses to Child Sexual Abuse, 2017, page 101.</w:t>
      </w:r>
    </w:p>
  </w:footnote>
  <w:footnote w:id="49">
    <w:p w14:paraId="604BDC28" w14:textId="7D4B6A8E" w:rsidR="00C6063F" w:rsidRDefault="00C6063F">
      <w:pPr>
        <w:pStyle w:val="FootnoteText"/>
      </w:pPr>
      <w:r>
        <w:rPr>
          <w:rStyle w:val="FootnoteReference"/>
        </w:rPr>
        <w:footnoteRef/>
      </w:r>
      <w:r>
        <w:t xml:space="preserve"> </w:t>
      </w:r>
      <w:r w:rsidRPr="00783637">
        <w:rPr>
          <w:lang w:eastAsia="en-AU"/>
        </w:rPr>
        <w:t>[</w:t>
      </w:r>
      <w:r w:rsidRPr="000D546F">
        <w:rPr>
          <w:rFonts w:ascii="Times New Roman" w:hAnsi="Times New Roman"/>
          <w:sz w:val="18"/>
          <w:szCs w:val="18"/>
        </w:rPr>
        <w:t>2019] ACTCA 37 at 82</w:t>
      </w:r>
      <w:r>
        <w:rPr>
          <w:rFonts w:ascii="Times New Roman" w:hAnsi="Times New Roman"/>
          <w:sz w:val="18"/>
          <w:szCs w:val="18"/>
        </w:rPr>
        <w:t>.</w:t>
      </w:r>
    </w:p>
  </w:footnote>
  <w:footnote w:id="50">
    <w:p w14:paraId="73787EBE" w14:textId="4B45556C" w:rsidR="00C6063F" w:rsidRPr="00F24DE4" w:rsidRDefault="00C6063F">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The Royal Commission, Criminal Justice Report, Parts III-VI, page 73.</w:t>
      </w:r>
    </w:p>
  </w:footnote>
  <w:footnote w:id="51">
    <w:p w14:paraId="1BC32CDB" w14:textId="2756BB4F" w:rsidR="00C6063F" w:rsidRDefault="00C6063F">
      <w:pPr>
        <w:pStyle w:val="FootnoteText"/>
      </w:pPr>
      <w:r>
        <w:rPr>
          <w:rStyle w:val="FootnoteReference"/>
        </w:rPr>
        <w:footnoteRef/>
      </w:r>
      <w:r w:rsidRPr="000D546F">
        <w:rPr>
          <w:rFonts w:ascii="Times New Roman" w:hAnsi="Times New Roman"/>
          <w:sz w:val="18"/>
          <w:szCs w:val="18"/>
        </w:rPr>
        <w:t xml:space="preserve"> </w:t>
      </w:r>
      <w:r w:rsidRPr="000D546F">
        <w:rPr>
          <w:rFonts w:ascii="Times New Roman" w:hAnsi="Times New Roman"/>
          <w:sz w:val="18"/>
          <w:szCs w:val="18"/>
          <w:lang w:eastAsia="en-AU"/>
        </w:rPr>
        <w:t>[2019] ACTCA 37 at 80.</w:t>
      </w:r>
    </w:p>
  </w:footnote>
  <w:footnote w:id="52">
    <w:p w14:paraId="070AD3E0" w14:textId="77777777" w:rsidR="00C6063F" w:rsidRPr="00F24DE4" w:rsidRDefault="00C6063F" w:rsidP="00D70983">
      <w:pPr>
        <w:spacing w:after="0"/>
        <w:rPr>
          <w:sz w:val="18"/>
          <w:szCs w:val="18"/>
        </w:rPr>
      </w:pPr>
      <w:r w:rsidRPr="00F24DE4">
        <w:rPr>
          <w:rStyle w:val="FootnoteReference"/>
          <w:sz w:val="18"/>
          <w:szCs w:val="18"/>
        </w:rPr>
        <w:footnoteRef/>
      </w:r>
      <w:r w:rsidRPr="00F24DE4">
        <w:rPr>
          <w:sz w:val="18"/>
          <w:szCs w:val="18"/>
        </w:rPr>
        <w:t xml:space="preserve"> Kenneth S Gallant, </w:t>
      </w:r>
      <w:r w:rsidRPr="00F24DE4">
        <w:rPr>
          <w:i/>
          <w:iCs/>
          <w:sz w:val="18"/>
          <w:szCs w:val="18"/>
        </w:rPr>
        <w:t>The Principle of Legality in International and Comparative Criminal Law</w:t>
      </w:r>
      <w:r w:rsidRPr="00F24DE4">
        <w:rPr>
          <w:sz w:val="18"/>
          <w:szCs w:val="18"/>
        </w:rPr>
        <w:t xml:space="preserve"> (Cambridge University Press, 2010).</w:t>
      </w:r>
    </w:p>
  </w:footnote>
  <w:footnote w:id="53">
    <w:p w14:paraId="456EE867" w14:textId="77777777" w:rsidR="00C6063F" w:rsidRPr="00F24DE4" w:rsidRDefault="00C6063F" w:rsidP="00D70983">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w:t>
      </w:r>
      <w:r w:rsidRPr="00F24DE4">
        <w:rPr>
          <w:rFonts w:ascii="Times New Roman" w:hAnsi="Times New Roman"/>
          <w:i/>
          <w:iCs/>
          <w:sz w:val="18"/>
          <w:szCs w:val="18"/>
        </w:rPr>
        <w:t>Polyukhovich v Commonwealth</w:t>
      </w:r>
      <w:r w:rsidRPr="00F24DE4">
        <w:rPr>
          <w:rFonts w:ascii="Times New Roman" w:hAnsi="Times New Roman"/>
          <w:sz w:val="18"/>
          <w:szCs w:val="18"/>
        </w:rPr>
        <w:t xml:space="preserve"> (1991) 172 CLR 501, 608 (Toohey J).</w:t>
      </w:r>
    </w:p>
  </w:footnote>
  <w:footnote w:id="54">
    <w:p w14:paraId="4AD6A1D1" w14:textId="77777777" w:rsidR="00C6063F" w:rsidRPr="00F24DE4" w:rsidRDefault="00C6063F" w:rsidP="00D70983">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ECHR </w:t>
      </w:r>
      <w:r w:rsidRPr="00F24DE4">
        <w:rPr>
          <w:rFonts w:ascii="Times New Roman" w:hAnsi="Times New Roman"/>
          <w:sz w:val="18"/>
          <w:szCs w:val="18"/>
          <w:shd w:val="clear" w:color="auto" w:fill="FFFFFF"/>
        </w:rPr>
        <w:t>Application No.00008710/79 DR 28</w:t>
      </w:r>
    </w:p>
  </w:footnote>
  <w:footnote w:id="55">
    <w:p w14:paraId="270AA612" w14:textId="77777777" w:rsidR="00C6063F" w:rsidRPr="00F24DE4" w:rsidRDefault="00C6063F" w:rsidP="00D70983">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ECHR Application </w:t>
      </w:r>
      <w:r w:rsidRPr="00F24DE4">
        <w:rPr>
          <w:rFonts w:ascii="Times New Roman" w:hAnsi="Times New Roman"/>
          <w:sz w:val="18"/>
          <w:szCs w:val="18"/>
          <w:shd w:val="clear" w:color="auto" w:fill="FFFFFF"/>
        </w:rPr>
        <w:t>No.00013079/87 60 DR 256</w:t>
      </w:r>
    </w:p>
  </w:footnote>
  <w:footnote w:id="56">
    <w:p w14:paraId="5E91BD87" w14:textId="77777777" w:rsidR="00C6063F" w:rsidRPr="00F24DE4" w:rsidRDefault="00C6063F" w:rsidP="00D70983">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w:t>
      </w:r>
      <w:r w:rsidRPr="00F24DE4">
        <w:rPr>
          <w:rFonts w:ascii="Times New Roman" w:hAnsi="Times New Roman"/>
          <w:color w:val="000000"/>
          <w:sz w:val="18"/>
          <w:szCs w:val="18"/>
        </w:rPr>
        <w:t xml:space="preserve">M Hale, </w:t>
      </w:r>
      <w:r w:rsidRPr="00F24DE4">
        <w:rPr>
          <w:rFonts w:ascii="Times New Roman" w:hAnsi="Times New Roman"/>
          <w:i/>
          <w:iCs/>
          <w:color w:val="000000"/>
          <w:sz w:val="18"/>
          <w:szCs w:val="18"/>
        </w:rPr>
        <w:t xml:space="preserve">The history of the pleas of the Crown, </w:t>
      </w:r>
      <w:r w:rsidRPr="00F24DE4">
        <w:rPr>
          <w:rFonts w:ascii="Times New Roman" w:hAnsi="Times New Roman"/>
          <w:color w:val="000000"/>
          <w:sz w:val="18"/>
          <w:szCs w:val="18"/>
        </w:rPr>
        <w:t>1736</w:t>
      </w:r>
    </w:p>
  </w:footnote>
  <w:footnote w:id="57">
    <w:p w14:paraId="1820DEB4" w14:textId="77777777" w:rsidR="00C6063F" w:rsidRPr="00F24DE4" w:rsidRDefault="00C6063F" w:rsidP="00D70983">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w:t>
      </w:r>
      <w:r w:rsidRPr="00F24DE4">
        <w:rPr>
          <w:rFonts w:ascii="Times New Roman" w:hAnsi="Times New Roman"/>
          <w:i/>
          <w:sz w:val="18"/>
          <w:szCs w:val="18"/>
          <w:shd w:val="clear" w:color="auto" w:fill="FFFFFF"/>
        </w:rPr>
        <w:t>CR v United Kingdom</w:t>
      </w:r>
      <w:r w:rsidRPr="00F24DE4">
        <w:rPr>
          <w:rFonts w:ascii="Times New Roman" w:hAnsi="Times New Roman"/>
          <w:sz w:val="18"/>
          <w:szCs w:val="18"/>
          <w:shd w:val="clear" w:color="auto" w:fill="FFFFFF"/>
        </w:rPr>
        <w:t xml:space="preserve"> (1995)  21 EHRR 363, [41]</w:t>
      </w:r>
    </w:p>
  </w:footnote>
  <w:footnote w:id="58">
    <w:p w14:paraId="400C6021" w14:textId="77777777" w:rsidR="00C6063F" w:rsidRPr="00F24DE4" w:rsidRDefault="00C6063F" w:rsidP="00D70983">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w:t>
      </w:r>
      <w:r w:rsidRPr="00F24DE4">
        <w:rPr>
          <w:rFonts w:ascii="Times New Roman" w:hAnsi="Times New Roman"/>
          <w:i/>
          <w:sz w:val="18"/>
          <w:szCs w:val="18"/>
          <w:shd w:val="clear" w:color="auto" w:fill="FFFFFF"/>
        </w:rPr>
        <w:t>CR v United Kingdom</w:t>
      </w:r>
      <w:r w:rsidRPr="00F24DE4">
        <w:rPr>
          <w:rFonts w:ascii="Times New Roman" w:hAnsi="Times New Roman"/>
          <w:sz w:val="18"/>
          <w:szCs w:val="18"/>
          <w:shd w:val="clear" w:color="auto" w:fill="FFFFFF"/>
        </w:rPr>
        <w:t xml:space="preserve"> (1995)  21 EHRR 363, [42]</w:t>
      </w:r>
    </w:p>
  </w:footnote>
  <w:footnote w:id="59">
    <w:p w14:paraId="35D0A96E" w14:textId="77777777" w:rsidR="00C6063F" w:rsidRPr="00F24DE4" w:rsidRDefault="00C6063F" w:rsidP="00D70983">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w:t>
      </w:r>
      <w:r w:rsidRPr="00F24DE4">
        <w:rPr>
          <w:rFonts w:ascii="Times New Roman" w:hAnsi="Times New Roman"/>
          <w:i/>
          <w:sz w:val="18"/>
          <w:szCs w:val="18"/>
          <w:shd w:val="clear" w:color="auto" w:fill="FFFFFF"/>
        </w:rPr>
        <w:t>CR v United Kingdom</w:t>
      </w:r>
      <w:r w:rsidRPr="00F24DE4">
        <w:rPr>
          <w:rFonts w:ascii="Times New Roman" w:hAnsi="Times New Roman"/>
          <w:sz w:val="18"/>
          <w:szCs w:val="18"/>
          <w:shd w:val="clear" w:color="auto" w:fill="FFFFFF"/>
        </w:rPr>
        <w:t xml:space="preserve"> (1995)  21 EHRR 363, [44]</w:t>
      </w:r>
    </w:p>
  </w:footnote>
  <w:footnote w:id="60">
    <w:p w14:paraId="2100B9D4" w14:textId="77777777" w:rsidR="00C6063F" w:rsidRPr="00F24DE4" w:rsidRDefault="00C6063F" w:rsidP="00D70983">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w:t>
      </w:r>
      <w:r w:rsidRPr="00F24DE4">
        <w:rPr>
          <w:rFonts w:ascii="Times New Roman" w:hAnsi="Times New Roman"/>
          <w:i/>
          <w:sz w:val="18"/>
          <w:szCs w:val="18"/>
          <w:shd w:val="clear" w:color="auto" w:fill="FFFFFF"/>
        </w:rPr>
        <w:t>CR v United Kingdom</w:t>
      </w:r>
      <w:r w:rsidRPr="00F24DE4">
        <w:rPr>
          <w:rFonts w:ascii="Times New Roman" w:hAnsi="Times New Roman"/>
          <w:sz w:val="18"/>
          <w:szCs w:val="18"/>
          <w:shd w:val="clear" w:color="auto" w:fill="FFFFFF"/>
        </w:rPr>
        <w:t xml:space="preserve"> (1995)  21 EHRR 363, [47]</w:t>
      </w:r>
    </w:p>
  </w:footnote>
  <w:footnote w:id="61">
    <w:p w14:paraId="33E5BDD4" w14:textId="77777777" w:rsidR="00C6063F" w:rsidRPr="00F24DE4" w:rsidRDefault="00C6063F" w:rsidP="00D70983">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The offence was inserted by the </w:t>
      </w:r>
      <w:r w:rsidRPr="00F24DE4">
        <w:rPr>
          <w:rFonts w:ascii="Times New Roman" w:hAnsi="Times New Roman"/>
          <w:i/>
          <w:iCs/>
          <w:sz w:val="18"/>
          <w:szCs w:val="18"/>
        </w:rPr>
        <w:t>Crimes (Amendment) Act (No. 3) 1991</w:t>
      </w:r>
      <w:r w:rsidRPr="00F24DE4">
        <w:rPr>
          <w:rFonts w:ascii="Times New Roman" w:hAnsi="Times New Roman"/>
          <w:sz w:val="18"/>
          <w:szCs w:val="18"/>
        </w:rPr>
        <w:t xml:space="preserve"> which inserted s92E(2) into the </w:t>
      </w:r>
      <w:r w:rsidRPr="00F24DE4">
        <w:rPr>
          <w:rFonts w:ascii="Times New Roman" w:hAnsi="Times New Roman"/>
          <w:i/>
          <w:iCs/>
          <w:sz w:val="18"/>
          <w:szCs w:val="18"/>
        </w:rPr>
        <w:t>Crimes Act 1900</w:t>
      </w:r>
      <w:r w:rsidRPr="00F24DE4">
        <w:rPr>
          <w:rFonts w:ascii="Times New Roman" w:hAnsi="Times New Roman"/>
          <w:sz w:val="18"/>
          <w:szCs w:val="18"/>
        </w:rPr>
        <w:t>.</w:t>
      </w:r>
    </w:p>
  </w:footnote>
  <w:footnote w:id="62">
    <w:p w14:paraId="0FB03041" w14:textId="77777777" w:rsidR="00C6063F" w:rsidRPr="00F24DE4" w:rsidRDefault="00C6063F" w:rsidP="00D70983">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w:t>
      </w:r>
      <w:r w:rsidRPr="00F24DE4">
        <w:rPr>
          <w:rFonts w:ascii="Times New Roman" w:hAnsi="Times New Roman"/>
          <w:i/>
          <w:iCs/>
          <w:sz w:val="18"/>
          <w:szCs w:val="18"/>
        </w:rPr>
        <w:t>Crimes Act 1900</w:t>
      </w:r>
      <w:r w:rsidRPr="00F24DE4">
        <w:rPr>
          <w:rFonts w:ascii="Times New Roman" w:hAnsi="Times New Roman"/>
          <w:sz w:val="18"/>
          <w:szCs w:val="18"/>
        </w:rPr>
        <w:t>, s.92EA(3).</w:t>
      </w:r>
    </w:p>
  </w:footnote>
  <w:footnote w:id="63">
    <w:p w14:paraId="7537F6F7" w14:textId="77777777" w:rsidR="00C6063F" w:rsidRPr="00F24DE4" w:rsidRDefault="00C6063F" w:rsidP="00D70983">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Kenneth S Gallant, </w:t>
      </w:r>
      <w:r w:rsidRPr="00F24DE4">
        <w:rPr>
          <w:rFonts w:ascii="Times New Roman" w:hAnsi="Times New Roman"/>
          <w:i/>
          <w:iCs/>
          <w:sz w:val="18"/>
          <w:szCs w:val="18"/>
        </w:rPr>
        <w:t>The Principle of Legality in International and Comparative Criminal Law</w:t>
      </w:r>
      <w:r w:rsidRPr="00F24DE4">
        <w:rPr>
          <w:rFonts w:ascii="Times New Roman" w:hAnsi="Times New Roman"/>
          <w:sz w:val="18"/>
          <w:szCs w:val="18"/>
        </w:rPr>
        <w:t xml:space="preserve"> (Cambridge University Press, 2010).</w:t>
      </w:r>
    </w:p>
  </w:footnote>
  <w:footnote w:id="64">
    <w:p w14:paraId="7F0A5B43" w14:textId="60B4EDA7" w:rsidR="00C6063F" w:rsidRPr="00F24DE4" w:rsidRDefault="00C6063F" w:rsidP="00D70983">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Cashmore, J, Taylor, A, Shackel, R and Parkinson, P, 2016, </w:t>
      </w:r>
      <w:r w:rsidRPr="00F24DE4">
        <w:rPr>
          <w:rFonts w:ascii="Times New Roman" w:hAnsi="Times New Roman"/>
          <w:i/>
          <w:iCs/>
          <w:sz w:val="18"/>
          <w:szCs w:val="18"/>
        </w:rPr>
        <w:t>The impact of delayed reporting on</w:t>
      </w:r>
      <w:r w:rsidR="00516721">
        <w:rPr>
          <w:rFonts w:ascii="Times New Roman" w:hAnsi="Times New Roman"/>
          <w:i/>
          <w:iCs/>
          <w:sz w:val="18"/>
          <w:szCs w:val="18"/>
        </w:rPr>
        <w:t xml:space="preserve"> </w:t>
      </w:r>
      <w:r w:rsidRPr="00F24DE4">
        <w:rPr>
          <w:rFonts w:ascii="Times New Roman" w:hAnsi="Times New Roman"/>
          <w:i/>
          <w:iCs/>
          <w:sz w:val="18"/>
          <w:szCs w:val="18"/>
        </w:rPr>
        <w:t>the prosecution and outcomes of child sexual abuse cases</w:t>
      </w:r>
      <w:r w:rsidRPr="00F24DE4">
        <w:rPr>
          <w:rFonts w:ascii="Times New Roman" w:hAnsi="Times New Roman"/>
          <w:sz w:val="18"/>
          <w:szCs w:val="18"/>
        </w:rPr>
        <w:t>, Royal Commission into Institutional Responses to Child Sexual Abuse, Sydney.</w:t>
      </w:r>
    </w:p>
  </w:footnote>
  <w:footnote w:id="65">
    <w:p w14:paraId="4B5C0B28" w14:textId="0C7F8A32" w:rsidR="00C6063F" w:rsidRPr="00F24DE4" w:rsidRDefault="00C6063F" w:rsidP="00D70983">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w:t>
      </w:r>
      <w:r w:rsidR="00516721" w:rsidRPr="00F24DE4">
        <w:rPr>
          <w:rFonts w:ascii="Times New Roman" w:hAnsi="Times New Roman"/>
          <w:sz w:val="18"/>
          <w:szCs w:val="18"/>
        </w:rPr>
        <w:t>Royal Commission, Final Report Volume 4, 2017, page 33.</w:t>
      </w:r>
    </w:p>
  </w:footnote>
  <w:footnote w:id="66">
    <w:p w14:paraId="2524D413" w14:textId="77777777" w:rsidR="00C6063F" w:rsidRPr="00F24DE4" w:rsidRDefault="00C6063F" w:rsidP="00D70983">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Cossins, A. (2010a). </w:t>
      </w:r>
      <w:r w:rsidRPr="00F24DE4">
        <w:rPr>
          <w:rFonts w:ascii="Times New Roman" w:hAnsi="Times New Roman"/>
          <w:i/>
          <w:iCs/>
          <w:sz w:val="18"/>
          <w:szCs w:val="18"/>
        </w:rPr>
        <w:t>Alternative Models for Prosecuting Child Sexual Offences in Australia</w:t>
      </w:r>
      <w:r w:rsidRPr="00F24DE4">
        <w:rPr>
          <w:rFonts w:ascii="Times New Roman" w:hAnsi="Times New Roman"/>
          <w:sz w:val="18"/>
          <w:szCs w:val="18"/>
        </w:rPr>
        <w:t xml:space="preserve">. Sydney: National Child Sexual Assault Reform Committee, page 82. See also, DeVoe, E. R., &amp; Faller, K. C. (1999). The characteristics of disclosure among children who may have been sexually abused. </w:t>
      </w:r>
      <w:r w:rsidRPr="00F24DE4">
        <w:rPr>
          <w:rFonts w:ascii="Times New Roman" w:hAnsi="Times New Roman"/>
          <w:i/>
          <w:iCs/>
          <w:sz w:val="18"/>
          <w:szCs w:val="18"/>
        </w:rPr>
        <w:t>Child Maltreatment</w:t>
      </w:r>
      <w:r w:rsidRPr="00F24DE4">
        <w:rPr>
          <w:rFonts w:ascii="Times New Roman" w:hAnsi="Times New Roman"/>
          <w:sz w:val="18"/>
          <w:szCs w:val="18"/>
        </w:rPr>
        <w:t xml:space="preserve">, 4, 217–27. Goodman, G. S., Taub, E. P., Jones, D. P., England, P., et al. (1992). Testifying in criminal court: Emotional effects on child sexual assault victims. </w:t>
      </w:r>
      <w:r w:rsidRPr="00F24DE4">
        <w:rPr>
          <w:rFonts w:ascii="Times New Roman" w:hAnsi="Times New Roman"/>
          <w:i/>
          <w:iCs/>
          <w:sz w:val="18"/>
          <w:szCs w:val="18"/>
        </w:rPr>
        <w:t>Monographs of the Society for Research in Child Development</w:t>
      </w:r>
      <w:r w:rsidRPr="00F24DE4">
        <w:rPr>
          <w:rFonts w:ascii="Times New Roman" w:hAnsi="Times New Roman"/>
          <w:sz w:val="18"/>
          <w:szCs w:val="18"/>
        </w:rPr>
        <w:t xml:space="preserve">, 57(5), serial no 299. Henry, J. (1997). System intervention trauma to child sexual abuse victims following disclosure. </w:t>
      </w:r>
      <w:r w:rsidRPr="00F24DE4">
        <w:rPr>
          <w:rFonts w:ascii="Times New Roman" w:hAnsi="Times New Roman"/>
          <w:i/>
          <w:iCs/>
          <w:sz w:val="18"/>
          <w:szCs w:val="18"/>
        </w:rPr>
        <w:t>Journal of Interpersonal Violence</w:t>
      </w:r>
      <w:r w:rsidRPr="00F24DE4">
        <w:rPr>
          <w:rFonts w:ascii="Times New Roman" w:hAnsi="Times New Roman"/>
          <w:sz w:val="18"/>
          <w:szCs w:val="18"/>
        </w:rPr>
        <w:t>, 12, 499–512.</w:t>
      </w:r>
    </w:p>
  </w:footnote>
  <w:footnote w:id="67">
    <w:p w14:paraId="10E8AEE1" w14:textId="77777777" w:rsidR="00C6063F" w:rsidRPr="00F24DE4" w:rsidRDefault="00C6063F" w:rsidP="00D70983">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J Cashmore, A Taylor, R Shackel and P Parkinson, </w:t>
      </w:r>
      <w:r w:rsidRPr="00F24DE4">
        <w:rPr>
          <w:rFonts w:ascii="Times New Roman" w:hAnsi="Times New Roman"/>
          <w:i/>
          <w:iCs/>
          <w:sz w:val="18"/>
          <w:szCs w:val="18"/>
        </w:rPr>
        <w:t>The impact of delayed reporting on the prosecution and outcomes of child sexual abuse cases</w:t>
      </w:r>
      <w:r w:rsidRPr="00F24DE4">
        <w:rPr>
          <w:rFonts w:ascii="Times New Roman" w:hAnsi="Times New Roman"/>
          <w:sz w:val="18"/>
          <w:szCs w:val="18"/>
        </w:rPr>
        <w:t>, Royal Commission into Institutional Responses to Child Sexual Abuse, 2016, page 20.</w:t>
      </w:r>
    </w:p>
  </w:footnote>
  <w:footnote w:id="68">
    <w:p w14:paraId="49899646" w14:textId="77777777" w:rsidR="00C6063F" w:rsidRPr="00F24DE4" w:rsidRDefault="00C6063F" w:rsidP="00D70983">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Royal Commission, Criminal Justice Report, August 2017, Parts III-VI, page 68.</w:t>
      </w:r>
    </w:p>
  </w:footnote>
  <w:footnote w:id="69">
    <w:p w14:paraId="3E56DF89" w14:textId="77777777" w:rsidR="00C6063F" w:rsidRPr="00F24DE4" w:rsidRDefault="00C6063F" w:rsidP="00D70983">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Royal Commission, Criminal Justice Report, August 2017, Parts III-VI, page 71.</w:t>
      </w:r>
    </w:p>
  </w:footnote>
  <w:footnote w:id="70">
    <w:p w14:paraId="3ED1768B" w14:textId="035BDF1C" w:rsidR="00C6063F" w:rsidRPr="00F24DE4" w:rsidRDefault="00C6063F">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Recommendations 21 and 22 of the Royal Commission, Criminal Justice Report, August 2017.</w:t>
      </w:r>
    </w:p>
  </w:footnote>
  <w:footnote w:id="71">
    <w:p w14:paraId="36BA174A" w14:textId="64C7382B" w:rsidR="00C6063F" w:rsidRPr="00F24DE4" w:rsidRDefault="00C6063F">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Royal Commission, Final Report Volume 4, 2017, page 33.</w:t>
      </w:r>
    </w:p>
  </w:footnote>
  <w:footnote w:id="72">
    <w:p w14:paraId="3B1141BF" w14:textId="51A2C6F0" w:rsidR="00C6063F" w:rsidRPr="00F24DE4" w:rsidRDefault="00C6063F">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In July 2015, Victoria introduced a course of conduct charge provision in the Criminal Procedure Act (Vic), Sch 1, cl 4A.</w:t>
      </w:r>
    </w:p>
  </w:footnote>
  <w:footnote w:id="73">
    <w:p w14:paraId="4CFD0833" w14:textId="2EAE797E" w:rsidR="00C6063F" w:rsidRPr="00F24DE4" w:rsidRDefault="00C6063F">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Some examples of s.56 charges being prosecuted in the ACT prior to 2018 include - R v Tominac [2009] ACTSC 75 (6 July 2009) and R v AB [2011] ACTSC 204 (16 December 2011).</w:t>
      </w:r>
    </w:p>
  </w:footnote>
  <w:footnote w:id="74">
    <w:p w14:paraId="48CC920F" w14:textId="1867A9E1" w:rsidR="00C6063F" w:rsidRPr="00F24DE4" w:rsidRDefault="00C6063F">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Recommendations 21 and 22 of the Royal Commission, Criminal Justice Report, August 2017.</w:t>
      </w:r>
    </w:p>
  </w:footnote>
  <w:footnote w:id="75">
    <w:p w14:paraId="7C3570E6" w14:textId="1B9077CD" w:rsidR="00C6063F" w:rsidRPr="00F24DE4" w:rsidRDefault="00C6063F">
      <w:pPr>
        <w:pStyle w:val="FootnoteText"/>
        <w:rPr>
          <w:rFonts w:ascii="Times New Roman" w:hAnsi="Times New Roman"/>
          <w:i/>
          <w:iCs/>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Recommendations 44 – 51, Royal Commission, Criminal Justice Report, August 2017.</w:t>
      </w:r>
    </w:p>
  </w:footnote>
  <w:footnote w:id="76">
    <w:p w14:paraId="5DB4D90C" w14:textId="1D516366" w:rsidR="00C6063F" w:rsidRPr="00F24DE4" w:rsidRDefault="00C6063F">
      <w:pPr>
        <w:pStyle w:val="FootnoteText"/>
        <w:rPr>
          <w:rFonts w:ascii="Times New Roman" w:hAnsi="Times New Roman"/>
          <w:i/>
          <w:iCs/>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w:t>
      </w:r>
      <w:r w:rsidRPr="00F24DE4">
        <w:rPr>
          <w:rFonts w:ascii="Times New Roman" w:hAnsi="Times New Roman"/>
          <w:i/>
          <w:iCs/>
          <w:sz w:val="18"/>
          <w:szCs w:val="18"/>
        </w:rPr>
        <w:t>Royal Commission Criminal Justice Legislation Amendment Act 2019.</w:t>
      </w:r>
    </w:p>
  </w:footnote>
  <w:footnote w:id="77">
    <w:p w14:paraId="669F18D9" w14:textId="4249E1B7" w:rsidR="00C6063F" w:rsidRPr="00F24DE4" w:rsidRDefault="00C6063F" w:rsidP="00620C91">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The Royal Commission, Criminal Justice Report: Tendency and coincidence evidence and joint trials, page 2.</w:t>
      </w:r>
    </w:p>
  </w:footnote>
  <w:footnote w:id="78">
    <w:p w14:paraId="4591CE61" w14:textId="30B899BF" w:rsidR="00C6063F" w:rsidRPr="00F24DE4" w:rsidRDefault="00C6063F">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Professor Jane Goodman-Delahunty, Professor Annie Cossins and Natalie Martschuk, Jury Reasoning in Joint and Separate Trials of Institutional Child Sexual Abuse: an Empirical Study, May 2016.</w:t>
      </w:r>
    </w:p>
  </w:footnote>
  <w:footnote w:id="79">
    <w:p w14:paraId="66946940" w14:textId="20C8213F" w:rsidR="00C6063F" w:rsidRPr="00F24DE4" w:rsidRDefault="00C6063F">
      <w:pPr>
        <w:pStyle w:val="FootnoteText"/>
        <w:rPr>
          <w:rFonts w:ascii="Times New Roman" w:hAnsi="Times New Roman"/>
          <w:sz w:val="18"/>
          <w:szCs w:val="18"/>
        </w:rPr>
      </w:pPr>
      <w:r w:rsidRPr="00F24DE4">
        <w:rPr>
          <w:rStyle w:val="FootnoteReference"/>
          <w:rFonts w:ascii="Times New Roman" w:hAnsi="Times New Roman"/>
          <w:sz w:val="18"/>
          <w:szCs w:val="18"/>
        </w:rPr>
        <w:footnoteRef/>
      </w:r>
      <w:r w:rsidRPr="00F24DE4">
        <w:rPr>
          <w:rFonts w:ascii="Times New Roman" w:hAnsi="Times New Roman"/>
          <w:sz w:val="18"/>
          <w:szCs w:val="18"/>
        </w:rPr>
        <w:t xml:space="preserve"> The Royal Commission, Criminal Justice Report, Recommendations 33 – 35, implemented in the Royal Commission Criminal Justice Legislation Amendment Act 2019.</w:t>
      </w:r>
    </w:p>
  </w:footnote>
  <w:footnote w:id="80">
    <w:p w14:paraId="75B60FF0" w14:textId="77777777" w:rsidR="00C6063F" w:rsidRDefault="00C6063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A31A39" w14:textId="77777777" w:rsidR="005C4F8A" w:rsidRDefault="005C4F8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A7F112" w14:textId="77777777" w:rsidR="005C4F8A" w:rsidRDefault="005C4F8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50D1DF" w14:textId="77777777" w:rsidR="00C6063F" w:rsidRPr="0005277C" w:rsidRDefault="00C6063F" w:rsidP="00B10644">
    <w:pPr>
      <w:pStyle w:val="Header"/>
      <w:jc w:val="center"/>
      <w:rPr>
        <w:rFonts w:ascii="Arial" w:hAnsi="Arial" w:cs="Arial"/>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E579A9"/>
    <w:multiLevelType w:val="multilevel"/>
    <w:tmpl w:val="25BAB446"/>
    <w:lvl w:ilvl="0">
      <w:start w:val="1"/>
      <w:numFmt w:val="lowerLetter"/>
      <w:lvlText w:val="%1)"/>
      <w:lvlJc w:val="left"/>
      <w:pPr>
        <w:ind w:left="720" w:hanging="360"/>
      </w:pPr>
      <w:rPr>
        <w:rFonts w:hint="default"/>
      </w:rPr>
    </w:lvl>
    <w:lvl w:ilvl="1">
      <w:start w:val="1"/>
      <w:numFmt w:val="lowerRoman"/>
      <w:lvlText w:val="%2."/>
      <w:lvlJc w:val="right"/>
      <w:pPr>
        <w:ind w:left="1440" w:hanging="360"/>
      </w:pPr>
      <w:rPr>
        <w:rFonts w:hint="default"/>
      </w:rPr>
    </w:lvl>
    <w:lvl w:ilvl="2">
      <w:start w:val="1"/>
      <w:numFmt w:val="bullet"/>
      <w:lvlText w:val=""/>
      <w:lvlJc w:val="left"/>
      <w:pPr>
        <w:ind w:left="2160" w:hanging="180"/>
      </w:pPr>
      <w:rPr>
        <w:rFonts w:ascii="Symbol" w:hAnsi="Symbol" w:hint="default"/>
        <w:color w:val="auto"/>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 w15:restartNumberingAfterBreak="0">
    <w:nsid w:val="01735014"/>
    <w:multiLevelType w:val="hybridMultilevel"/>
    <w:tmpl w:val="A1F22EAC"/>
    <w:lvl w:ilvl="0" w:tplc="0C09000F">
      <w:start w:val="1"/>
      <w:numFmt w:val="decimal"/>
      <w:lvlText w:val="%1."/>
      <w:lvlJc w:val="left"/>
      <w:pPr>
        <w:ind w:left="780" w:hanging="360"/>
      </w:pPr>
    </w:lvl>
    <w:lvl w:ilvl="1" w:tplc="0C090019" w:tentative="1">
      <w:start w:val="1"/>
      <w:numFmt w:val="lowerLetter"/>
      <w:lvlText w:val="%2."/>
      <w:lvlJc w:val="left"/>
      <w:pPr>
        <w:ind w:left="1500" w:hanging="360"/>
      </w:pPr>
    </w:lvl>
    <w:lvl w:ilvl="2" w:tplc="0C09001B" w:tentative="1">
      <w:start w:val="1"/>
      <w:numFmt w:val="lowerRoman"/>
      <w:lvlText w:val="%3."/>
      <w:lvlJc w:val="right"/>
      <w:pPr>
        <w:ind w:left="2220" w:hanging="180"/>
      </w:pPr>
    </w:lvl>
    <w:lvl w:ilvl="3" w:tplc="0C09000F" w:tentative="1">
      <w:start w:val="1"/>
      <w:numFmt w:val="decimal"/>
      <w:lvlText w:val="%4."/>
      <w:lvlJc w:val="left"/>
      <w:pPr>
        <w:ind w:left="2940" w:hanging="360"/>
      </w:pPr>
    </w:lvl>
    <w:lvl w:ilvl="4" w:tplc="0C090019" w:tentative="1">
      <w:start w:val="1"/>
      <w:numFmt w:val="lowerLetter"/>
      <w:lvlText w:val="%5."/>
      <w:lvlJc w:val="left"/>
      <w:pPr>
        <w:ind w:left="3660" w:hanging="360"/>
      </w:pPr>
    </w:lvl>
    <w:lvl w:ilvl="5" w:tplc="0C09001B" w:tentative="1">
      <w:start w:val="1"/>
      <w:numFmt w:val="lowerRoman"/>
      <w:lvlText w:val="%6."/>
      <w:lvlJc w:val="right"/>
      <w:pPr>
        <w:ind w:left="4380" w:hanging="180"/>
      </w:pPr>
    </w:lvl>
    <w:lvl w:ilvl="6" w:tplc="0C09000F" w:tentative="1">
      <w:start w:val="1"/>
      <w:numFmt w:val="decimal"/>
      <w:lvlText w:val="%7."/>
      <w:lvlJc w:val="left"/>
      <w:pPr>
        <w:ind w:left="5100" w:hanging="360"/>
      </w:pPr>
    </w:lvl>
    <w:lvl w:ilvl="7" w:tplc="0C090019" w:tentative="1">
      <w:start w:val="1"/>
      <w:numFmt w:val="lowerLetter"/>
      <w:lvlText w:val="%8."/>
      <w:lvlJc w:val="left"/>
      <w:pPr>
        <w:ind w:left="5820" w:hanging="360"/>
      </w:pPr>
    </w:lvl>
    <w:lvl w:ilvl="8" w:tplc="0C09001B" w:tentative="1">
      <w:start w:val="1"/>
      <w:numFmt w:val="lowerRoman"/>
      <w:lvlText w:val="%9."/>
      <w:lvlJc w:val="right"/>
      <w:pPr>
        <w:ind w:left="6540" w:hanging="180"/>
      </w:pPr>
    </w:lvl>
  </w:abstractNum>
  <w:abstractNum w:abstractNumId="2" w15:restartNumberingAfterBreak="0">
    <w:nsid w:val="030E5867"/>
    <w:multiLevelType w:val="hybridMultilevel"/>
    <w:tmpl w:val="44DE474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7737193"/>
    <w:multiLevelType w:val="hybridMultilevel"/>
    <w:tmpl w:val="C568AEF4"/>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 w15:restartNumberingAfterBreak="0">
    <w:nsid w:val="09A831AA"/>
    <w:multiLevelType w:val="hybridMultilevel"/>
    <w:tmpl w:val="EEB657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B7D75CC"/>
    <w:multiLevelType w:val="hybridMultilevel"/>
    <w:tmpl w:val="DF9E3C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CA95AEC"/>
    <w:multiLevelType w:val="hybridMultilevel"/>
    <w:tmpl w:val="BD6420CA"/>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0ED37190"/>
    <w:multiLevelType w:val="hybridMultilevel"/>
    <w:tmpl w:val="F3161B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0FF561AD"/>
    <w:multiLevelType w:val="hybridMultilevel"/>
    <w:tmpl w:val="CFA6AD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944088F"/>
    <w:multiLevelType w:val="hybridMultilevel"/>
    <w:tmpl w:val="30EAC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08D6D0E"/>
    <w:multiLevelType w:val="hybridMultilevel"/>
    <w:tmpl w:val="25AC9BB2"/>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 w15:restartNumberingAfterBreak="0">
    <w:nsid w:val="21BD0EC9"/>
    <w:multiLevelType w:val="hybridMultilevel"/>
    <w:tmpl w:val="E904C3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6886EC1"/>
    <w:multiLevelType w:val="hybridMultilevel"/>
    <w:tmpl w:val="30EAC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27965ECF"/>
    <w:multiLevelType w:val="hybridMultilevel"/>
    <w:tmpl w:val="F49A6B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A327AB4"/>
    <w:multiLevelType w:val="hybridMultilevel"/>
    <w:tmpl w:val="1E16AE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1071F89"/>
    <w:multiLevelType w:val="hybridMultilevel"/>
    <w:tmpl w:val="179C1B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65B6E8E"/>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928"/>
        </w:tabs>
        <w:ind w:left="928" w:hanging="360"/>
      </w:pPr>
      <w:rPr>
        <w:rFonts w:cs="Times New Roman" w:hint="default"/>
      </w:rPr>
    </w:lvl>
    <w:lvl w:ilvl="2">
      <w:start w:val="1"/>
      <w:numFmt w:val="lowerRoman"/>
      <w:lvlText w:val="%3)"/>
      <w:lvlJc w:val="left"/>
      <w:pPr>
        <w:tabs>
          <w:tab w:val="num" w:pos="1495"/>
        </w:tabs>
        <w:ind w:left="1495"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1070"/>
        </w:tabs>
        <w:ind w:left="107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17" w15:restartNumberingAfterBreak="0">
    <w:nsid w:val="367C6F25"/>
    <w:multiLevelType w:val="hybridMultilevel"/>
    <w:tmpl w:val="3ABE13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8281790"/>
    <w:multiLevelType w:val="hybridMultilevel"/>
    <w:tmpl w:val="2E7EEE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86952EC"/>
    <w:multiLevelType w:val="hybridMultilevel"/>
    <w:tmpl w:val="F6049AA2"/>
    <w:lvl w:ilvl="0" w:tplc="A692B486">
      <w:start w:val="7"/>
      <w:numFmt w:val="bullet"/>
      <w:lvlText w:val="-"/>
      <w:lvlJc w:val="left"/>
      <w:pPr>
        <w:ind w:left="720" w:hanging="360"/>
      </w:pPr>
      <w:rPr>
        <w:rFonts w:ascii="Times New Roman" w:eastAsia="Calibri"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8CE6FC9"/>
    <w:multiLevelType w:val="hybridMultilevel"/>
    <w:tmpl w:val="7C8EC3AA"/>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1" w15:restartNumberingAfterBreak="0">
    <w:nsid w:val="3A9F2101"/>
    <w:multiLevelType w:val="hybridMultilevel"/>
    <w:tmpl w:val="99FA7426"/>
    <w:lvl w:ilvl="0" w:tplc="0C090001">
      <w:start w:val="1"/>
      <w:numFmt w:val="bullet"/>
      <w:lvlText w:val=""/>
      <w:lvlJc w:val="left"/>
      <w:pPr>
        <w:ind w:left="787" w:hanging="360"/>
      </w:pPr>
      <w:rPr>
        <w:rFonts w:ascii="Symbol" w:hAnsi="Symbol" w:hint="default"/>
      </w:rPr>
    </w:lvl>
    <w:lvl w:ilvl="1" w:tplc="0C090003" w:tentative="1">
      <w:start w:val="1"/>
      <w:numFmt w:val="bullet"/>
      <w:lvlText w:val="o"/>
      <w:lvlJc w:val="left"/>
      <w:pPr>
        <w:ind w:left="1507" w:hanging="360"/>
      </w:pPr>
      <w:rPr>
        <w:rFonts w:ascii="Courier New" w:hAnsi="Courier New" w:cs="Courier New" w:hint="default"/>
      </w:rPr>
    </w:lvl>
    <w:lvl w:ilvl="2" w:tplc="0C090005" w:tentative="1">
      <w:start w:val="1"/>
      <w:numFmt w:val="bullet"/>
      <w:lvlText w:val=""/>
      <w:lvlJc w:val="left"/>
      <w:pPr>
        <w:ind w:left="2227" w:hanging="360"/>
      </w:pPr>
      <w:rPr>
        <w:rFonts w:ascii="Wingdings" w:hAnsi="Wingdings" w:hint="default"/>
      </w:rPr>
    </w:lvl>
    <w:lvl w:ilvl="3" w:tplc="0C090001" w:tentative="1">
      <w:start w:val="1"/>
      <w:numFmt w:val="bullet"/>
      <w:lvlText w:val=""/>
      <w:lvlJc w:val="left"/>
      <w:pPr>
        <w:ind w:left="2947" w:hanging="360"/>
      </w:pPr>
      <w:rPr>
        <w:rFonts w:ascii="Symbol" w:hAnsi="Symbol" w:hint="default"/>
      </w:rPr>
    </w:lvl>
    <w:lvl w:ilvl="4" w:tplc="0C090003" w:tentative="1">
      <w:start w:val="1"/>
      <w:numFmt w:val="bullet"/>
      <w:lvlText w:val="o"/>
      <w:lvlJc w:val="left"/>
      <w:pPr>
        <w:ind w:left="3667" w:hanging="360"/>
      </w:pPr>
      <w:rPr>
        <w:rFonts w:ascii="Courier New" w:hAnsi="Courier New" w:cs="Courier New" w:hint="default"/>
      </w:rPr>
    </w:lvl>
    <w:lvl w:ilvl="5" w:tplc="0C090005" w:tentative="1">
      <w:start w:val="1"/>
      <w:numFmt w:val="bullet"/>
      <w:lvlText w:val=""/>
      <w:lvlJc w:val="left"/>
      <w:pPr>
        <w:ind w:left="4387" w:hanging="360"/>
      </w:pPr>
      <w:rPr>
        <w:rFonts w:ascii="Wingdings" w:hAnsi="Wingdings" w:hint="default"/>
      </w:rPr>
    </w:lvl>
    <w:lvl w:ilvl="6" w:tplc="0C090001" w:tentative="1">
      <w:start w:val="1"/>
      <w:numFmt w:val="bullet"/>
      <w:lvlText w:val=""/>
      <w:lvlJc w:val="left"/>
      <w:pPr>
        <w:ind w:left="5107" w:hanging="360"/>
      </w:pPr>
      <w:rPr>
        <w:rFonts w:ascii="Symbol" w:hAnsi="Symbol" w:hint="default"/>
      </w:rPr>
    </w:lvl>
    <w:lvl w:ilvl="7" w:tplc="0C090003" w:tentative="1">
      <w:start w:val="1"/>
      <w:numFmt w:val="bullet"/>
      <w:lvlText w:val="o"/>
      <w:lvlJc w:val="left"/>
      <w:pPr>
        <w:ind w:left="5827" w:hanging="360"/>
      </w:pPr>
      <w:rPr>
        <w:rFonts w:ascii="Courier New" w:hAnsi="Courier New" w:cs="Courier New" w:hint="default"/>
      </w:rPr>
    </w:lvl>
    <w:lvl w:ilvl="8" w:tplc="0C090005" w:tentative="1">
      <w:start w:val="1"/>
      <w:numFmt w:val="bullet"/>
      <w:lvlText w:val=""/>
      <w:lvlJc w:val="left"/>
      <w:pPr>
        <w:ind w:left="6547" w:hanging="360"/>
      </w:pPr>
      <w:rPr>
        <w:rFonts w:ascii="Wingdings" w:hAnsi="Wingdings" w:hint="default"/>
      </w:rPr>
    </w:lvl>
  </w:abstractNum>
  <w:abstractNum w:abstractNumId="22" w15:restartNumberingAfterBreak="0">
    <w:nsid w:val="3AAC2043"/>
    <w:multiLevelType w:val="hybridMultilevel"/>
    <w:tmpl w:val="C818DD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AD119C0"/>
    <w:multiLevelType w:val="hybridMultilevel"/>
    <w:tmpl w:val="14B600C0"/>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4" w15:restartNumberingAfterBreak="0">
    <w:nsid w:val="3AE36281"/>
    <w:multiLevelType w:val="hybridMultilevel"/>
    <w:tmpl w:val="9AA638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3B2F3CAB"/>
    <w:multiLevelType w:val="hybridMultilevel"/>
    <w:tmpl w:val="4C141C0C"/>
    <w:lvl w:ilvl="0" w:tplc="A692B486">
      <w:start w:val="7"/>
      <w:numFmt w:val="bullet"/>
      <w:lvlText w:val="-"/>
      <w:lvlJc w:val="left"/>
      <w:pPr>
        <w:ind w:left="720" w:hanging="360"/>
      </w:pPr>
      <w:rPr>
        <w:rFonts w:ascii="Times New Roman" w:eastAsia="Calibri"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3B6831D6"/>
    <w:multiLevelType w:val="hybridMultilevel"/>
    <w:tmpl w:val="4E9C49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3F067E07"/>
    <w:multiLevelType w:val="hybridMultilevel"/>
    <w:tmpl w:val="390E19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2D36A5D"/>
    <w:multiLevelType w:val="hybridMultilevel"/>
    <w:tmpl w:val="638C7C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4D7E0D3A"/>
    <w:multiLevelType w:val="hybridMultilevel"/>
    <w:tmpl w:val="458689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4E9B45E7"/>
    <w:multiLevelType w:val="hybridMultilevel"/>
    <w:tmpl w:val="D982D5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54E52715"/>
    <w:multiLevelType w:val="hybridMultilevel"/>
    <w:tmpl w:val="1CA43D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4F616FF"/>
    <w:multiLevelType w:val="hybridMultilevel"/>
    <w:tmpl w:val="E93EAE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6046F48"/>
    <w:multiLevelType w:val="hybridMultilevel"/>
    <w:tmpl w:val="FF5C2A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79D420E"/>
    <w:multiLevelType w:val="hybridMultilevel"/>
    <w:tmpl w:val="695EDD6C"/>
    <w:lvl w:ilvl="0" w:tplc="1F80BF74">
      <w:start w:val="1"/>
      <w:numFmt w:val="bullet"/>
      <w:pStyle w:val="Bullet1"/>
      <w:lvlText w:val=""/>
      <w:lvlJc w:val="left"/>
      <w:pPr>
        <w:ind w:left="360" w:hanging="360"/>
      </w:pPr>
      <w:rPr>
        <w:rFonts w:ascii="Symbol" w:hAnsi="Symbol" w:hint="default"/>
        <w:sz w:val="24"/>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35" w15:restartNumberingAfterBreak="0">
    <w:nsid w:val="6A186031"/>
    <w:multiLevelType w:val="hybridMultilevel"/>
    <w:tmpl w:val="07908D34"/>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6BB95BB0"/>
    <w:multiLevelType w:val="hybridMultilevel"/>
    <w:tmpl w:val="6CD6AF00"/>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727E18EB"/>
    <w:multiLevelType w:val="hybridMultilevel"/>
    <w:tmpl w:val="6F1C01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729511CF"/>
    <w:multiLevelType w:val="hybridMultilevel"/>
    <w:tmpl w:val="E640A0C6"/>
    <w:lvl w:ilvl="0" w:tplc="0C090001">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9" w15:restartNumberingAfterBreak="0">
    <w:nsid w:val="770C6B5D"/>
    <w:multiLevelType w:val="hybridMultilevel"/>
    <w:tmpl w:val="5CF6A2DE"/>
    <w:lvl w:ilvl="0" w:tplc="A692B486">
      <w:start w:val="7"/>
      <w:numFmt w:val="bullet"/>
      <w:lvlText w:val="-"/>
      <w:lvlJc w:val="left"/>
      <w:pPr>
        <w:ind w:left="720" w:hanging="360"/>
      </w:pPr>
      <w:rPr>
        <w:rFonts w:ascii="Times New Roman" w:eastAsia="Calibri"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6"/>
  </w:num>
  <w:num w:numId="2">
    <w:abstractNumId w:val="33"/>
  </w:num>
  <w:num w:numId="3">
    <w:abstractNumId w:val="5"/>
  </w:num>
  <w:num w:numId="4">
    <w:abstractNumId w:val="9"/>
  </w:num>
  <w:num w:numId="5">
    <w:abstractNumId w:val="12"/>
  </w:num>
  <w:num w:numId="6">
    <w:abstractNumId w:val="26"/>
  </w:num>
  <w:num w:numId="7">
    <w:abstractNumId w:val="34"/>
  </w:num>
  <w:num w:numId="8">
    <w:abstractNumId w:val="14"/>
  </w:num>
  <w:num w:numId="9">
    <w:abstractNumId w:val="3"/>
  </w:num>
  <w:num w:numId="10">
    <w:abstractNumId w:val="35"/>
  </w:num>
  <w:num w:numId="11">
    <w:abstractNumId w:val="36"/>
  </w:num>
  <w:num w:numId="12">
    <w:abstractNumId w:val="32"/>
  </w:num>
  <w:num w:numId="13">
    <w:abstractNumId w:val="15"/>
  </w:num>
  <w:num w:numId="14">
    <w:abstractNumId w:val="38"/>
  </w:num>
  <w:num w:numId="15">
    <w:abstractNumId w:val="22"/>
  </w:num>
  <w:num w:numId="16">
    <w:abstractNumId w:val="10"/>
  </w:num>
  <w:num w:numId="17">
    <w:abstractNumId w:val="21"/>
  </w:num>
  <w:num w:numId="18">
    <w:abstractNumId w:val="27"/>
  </w:num>
  <w:num w:numId="19">
    <w:abstractNumId w:val="8"/>
  </w:num>
  <w:num w:numId="20">
    <w:abstractNumId w:val="20"/>
  </w:num>
  <w:num w:numId="21">
    <w:abstractNumId w:val="29"/>
  </w:num>
  <w:num w:numId="22">
    <w:abstractNumId w:val="11"/>
  </w:num>
  <w:num w:numId="23">
    <w:abstractNumId w:val="2"/>
  </w:num>
  <w:num w:numId="24">
    <w:abstractNumId w:val="1"/>
  </w:num>
  <w:num w:numId="25">
    <w:abstractNumId w:val="0"/>
  </w:num>
  <w:num w:numId="26">
    <w:abstractNumId w:val="6"/>
  </w:num>
  <w:num w:numId="27">
    <w:abstractNumId w:val="28"/>
  </w:num>
  <w:num w:numId="28">
    <w:abstractNumId w:val="23"/>
  </w:num>
  <w:num w:numId="29">
    <w:abstractNumId w:val="4"/>
  </w:num>
  <w:num w:numId="30">
    <w:abstractNumId w:val="7"/>
  </w:num>
  <w:num w:numId="31">
    <w:abstractNumId w:val="30"/>
  </w:num>
  <w:num w:numId="32">
    <w:abstractNumId w:val="31"/>
  </w:num>
  <w:num w:numId="33">
    <w:abstractNumId w:val="17"/>
  </w:num>
  <w:num w:numId="34">
    <w:abstractNumId w:val="13"/>
  </w:num>
  <w:num w:numId="35">
    <w:abstractNumId w:val="19"/>
  </w:num>
  <w:num w:numId="36">
    <w:abstractNumId w:val="25"/>
  </w:num>
  <w:num w:numId="37">
    <w:abstractNumId w:val="39"/>
  </w:num>
  <w:num w:numId="38">
    <w:abstractNumId w:val="24"/>
  </w:num>
  <w:num w:numId="39">
    <w:abstractNumId w:val="18"/>
  </w:num>
  <w:num w:numId="40">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0644"/>
    <w:rsid w:val="00002DF0"/>
    <w:rsid w:val="0003434F"/>
    <w:rsid w:val="00044A77"/>
    <w:rsid w:val="00045755"/>
    <w:rsid w:val="0005277C"/>
    <w:rsid w:val="0006428D"/>
    <w:rsid w:val="00067D3E"/>
    <w:rsid w:val="000A0805"/>
    <w:rsid w:val="000D546F"/>
    <w:rsid w:val="00101F9A"/>
    <w:rsid w:val="00107EB4"/>
    <w:rsid w:val="00126AFD"/>
    <w:rsid w:val="001527D2"/>
    <w:rsid w:val="0016557C"/>
    <w:rsid w:val="00174175"/>
    <w:rsid w:val="001C3ABC"/>
    <w:rsid w:val="001F3044"/>
    <w:rsid w:val="00204A12"/>
    <w:rsid w:val="002112AF"/>
    <w:rsid w:val="00223E89"/>
    <w:rsid w:val="002426A0"/>
    <w:rsid w:val="0024710D"/>
    <w:rsid w:val="00297919"/>
    <w:rsid w:val="002B2E60"/>
    <w:rsid w:val="002E34AD"/>
    <w:rsid w:val="0030162B"/>
    <w:rsid w:val="00313114"/>
    <w:rsid w:val="003211BD"/>
    <w:rsid w:val="00363A5C"/>
    <w:rsid w:val="003677BE"/>
    <w:rsid w:val="00370963"/>
    <w:rsid w:val="003812EC"/>
    <w:rsid w:val="003969AF"/>
    <w:rsid w:val="00397F2F"/>
    <w:rsid w:val="003E4132"/>
    <w:rsid w:val="003F3379"/>
    <w:rsid w:val="00422268"/>
    <w:rsid w:val="00444C31"/>
    <w:rsid w:val="00452685"/>
    <w:rsid w:val="00453077"/>
    <w:rsid w:val="00491C20"/>
    <w:rsid w:val="004B6DD4"/>
    <w:rsid w:val="004E3B00"/>
    <w:rsid w:val="00513DE2"/>
    <w:rsid w:val="00516721"/>
    <w:rsid w:val="0053204D"/>
    <w:rsid w:val="005413C9"/>
    <w:rsid w:val="00543CFF"/>
    <w:rsid w:val="00571C2E"/>
    <w:rsid w:val="00580DB9"/>
    <w:rsid w:val="00594ED1"/>
    <w:rsid w:val="005A10A7"/>
    <w:rsid w:val="005B69A9"/>
    <w:rsid w:val="005C4F8A"/>
    <w:rsid w:val="00620C91"/>
    <w:rsid w:val="006230ED"/>
    <w:rsid w:val="00630273"/>
    <w:rsid w:val="0063693D"/>
    <w:rsid w:val="00650E5A"/>
    <w:rsid w:val="00693756"/>
    <w:rsid w:val="006967DE"/>
    <w:rsid w:val="006B4C81"/>
    <w:rsid w:val="006B4D11"/>
    <w:rsid w:val="006C078D"/>
    <w:rsid w:val="006C605D"/>
    <w:rsid w:val="00704CBD"/>
    <w:rsid w:val="007119B1"/>
    <w:rsid w:val="00714920"/>
    <w:rsid w:val="00716E0C"/>
    <w:rsid w:val="0072205C"/>
    <w:rsid w:val="00727A19"/>
    <w:rsid w:val="0075388F"/>
    <w:rsid w:val="0076393E"/>
    <w:rsid w:val="00775D4C"/>
    <w:rsid w:val="00783637"/>
    <w:rsid w:val="007846D7"/>
    <w:rsid w:val="00797A74"/>
    <w:rsid w:val="007A488B"/>
    <w:rsid w:val="007A5822"/>
    <w:rsid w:val="007B15F1"/>
    <w:rsid w:val="007B6ED9"/>
    <w:rsid w:val="008027AE"/>
    <w:rsid w:val="00842E70"/>
    <w:rsid w:val="0084423A"/>
    <w:rsid w:val="00860D83"/>
    <w:rsid w:val="00874A94"/>
    <w:rsid w:val="00897E08"/>
    <w:rsid w:val="008C1566"/>
    <w:rsid w:val="008E7210"/>
    <w:rsid w:val="00917AB4"/>
    <w:rsid w:val="00933118"/>
    <w:rsid w:val="00972F25"/>
    <w:rsid w:val="00982C36"/>
    <w:rsid w:val="00994C12"/>
    <w:rsid w:val="009F04E5"/>
    <w:rsid w:val="00A02BDE"/>
    <w:rsid w:val="00A13DB9"/>
    <w:rsid w:val="00A23FAE"/>
    <w:rsid w:val="00A43062"/>
    <w:rsid w:val="00A464B2"/>
    <w:rsid w:val="00A47E36"/>
    <w:rsid w:val="00AA20F5"/>
    <w:rsid w:val="00AA3A7D"/>
    <w:rsid w:val="00AB158C"/>
    <w:rsid w:val="00AB5204"/>
    <w:rsid w:val="00AC7B05"/>
    <w:rsid w:val="00AD687A"/>
    <w:rsid w:val="00AE0670"/>
    <w:rsid w:val="00AE6C47"/>
    <w:rsid w:val="00AF52E5"/>
    <w:rsid w:val="00AF5DDA"/>
    <w:rsid w:val="00B101B1"/>
    <w:rsid w:val="00B10644"/>
    <w:rsid w:val="00B503A2"/>
    <w:rsid w:val="00B51056"/>
    <w:rsid w:val="00B666D4"/>
    <w:rsid w:val="00B912F4"/>
    <w:rsid w:val="00BA6ADA"/>
    <w:rsid w:val="00BB5026"/>
    <w:rsid w:val="00BB7D66"/>
    <w:rsid w:val="00BC7798"/>
    <w:rsid w:val="00C028AA"/>
    <w:rsid w:val="00C52C23"/>
    <w:rsid w:val="00C54179"/>
    <w:rsid w:val="00C6063F"/>
    <w:rsid w:val="00C628A9"/>
    <w:rsid w:val="00C659DA"/>
    <w:rsid w:val="00C722B3"/>
    <w:rsid w:val="00C9244E"/>
    <w:rsid w:val="00C95BC8"/>
    <w:rsid w:val="00C97BE7"/>
    <w:rsid w:val="00CB2D44"/>
    <w:rsid w:val="00CC7067"/>
    <w:rsid w:val="00CD3D7A"/>
    <w:rsid w:val="00CE0D57"/>
    <w:rsid w:val="00CE4140"/>
    <w:rsid w:val="00CF0519"/>
    <w:rsid w:val="00CF2DD6"/>
    <w:rsid w:val="00CF3CC4"/>
    <w:rsid w:val="00CF73F4"/>
    <w:rsid w:val="00D00BBA"/>
    <w:rsid w:val="00D13320"/>
    <w:rsid w:val="00D14532"/>
    <w:rsid w:val="00D203FD"/>
    <w:rsid w:val="00D50824"/>
    <w:rsid w:val="00D51B3D"/>
    <w:rsid w:val="00D53E7B"/>
    <w:rsid w:val="00D60D69"/>
    <w:rsid w:val="00D70983"/>
    <w:rsid w:val="00DA63E2"/>
    <w:rsid w:val="00DB5FAF"/>
    <w:rsid w:val="00DF0E98"/>
    <w:rsid w:val="00DF5A13"/>
    <w:rsid w:val="00DF6F9F"/>
    <w:rsid w:val="00E010FF"/>
    <w:rsid w:val="00E16175"/>
    <w:rsid w:val="00E16634"/>
    <w:rsid w:val="00E470BA"/>
    <w:rsid w:val="00E6227B"/>
    <w:rsid w:val="00E62679"/>
    <w:rsid w:val="00E662E4"/>
    <w:rsid w:val="00E71C18"/>
    <w:rsid w:val="00E81A2F"/>
    <w:rsid w:val="00EA616D"/>
    <w:rsid w:val="00EA66B4"/>
    <w:rsid w:val="00EC47B3"/>
    <w:rsid w:val="00EC62AC"/>
    <w:rsid w:val="00F0305F"/>
    <w:rsid w:val="00F23420"/>
    <w:rsid w:val="00F24DE4"/>
    <w:rsid w:val="00F52210"/>
    <w:rsid w:val="00F57F89"/>
    <w:rsid w:val="00F71E31"/>
    <w:rsid w:val="00F945C0"/>
    <w:rsid w:val="00FF30E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AEA9936"/>
  <w15:chartTrackingRefBased/>
  <w15:docId w15:val="{0E9F08C2-A37E-490A-A6EB-C52B23E0E2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3DB9"/>
    <w:pPr>
      <w:spacing w:after="200" w:line="276" w:lineRule="auto"/>
      <w:jc w:val="both"/>
    </w:pPr>
    <w:rPr>
      <w:rFonts w:ascii="Times New Roman" w:eastAsia="Calibri" w:hAnsi="Times New Roman" w:cs="Times New Roman"/>
      <w:sz w:val="24"/>
    </w:rPr>
  </w:style>
  <w:style w:type="paragraph" w:styleId="Heading1">
    <w:name w:val="heading 1"/>
    <w:aliases w:val="'Part' Heading"/>
    <w:basedOn w:val="Normal"/>
    <w:next w:val="Normal"/>
    <w:link w:val="Heading1Char"/>
    <w:uiPriority w:val="9"/>
    <w:qFormat/>
    <w:rsid w:val="00B10644"/>
    <w:pPr>
      <w:keepNext/>
      <w:spacing w:before="240" w:after="120"/>
      <w:outlineLvl w:val="0"/>
    </w:pPr>
    <w:rPr>
      <w:rFonts w:eastAsia="Times New Roman"/>
      <w:b/>
      <w:bCs/>
      <w:kern w:val="32"/>
      <w:sz w:val="28"/>
      <w:szCs w:val="32"/>
    </w:rPr>
  </w:style>
  <w:style w:type="paragraph" w:styleId="Heading2">
    <w:name w:val="heading 2"/>
    <w:aliases w:val="'Division' heading"/>
    <w:next w:val="Normal"/>
    <w:link w:val="Heading2Char"/>
    <w:uiPriority w:val="9"/>
    <w:unhideWhenUsed/>
    <w:qFormat/>
    <w:rsid w:val="00B10644"/>
    <w:pPr>
      <w:spacing w:after="0" w:line="240" w:lineRule="auto"/>
      <w:outlineLvl w:val="1"/>
    </w:pPr>
    <w:rPr>
      <w:rFonts w:ascii="Times New Roman" w:eastAsia="Calibri" w:hAnsi="Times New Roman" w:cs="Times New Roman"/>
      <w:b/>
      <w:sz w:val="26"/>
      <w:szCs w:val="26"/>
    </w:rPr>
  </w:style>
  <w:style w:type="paragraph" w:styleId="Heading3">
    <w:name w:val="heading 3"/>
    <w:aliases w:val="'Clause' heading"/>
    <w:next w:val="Normal"/>
    <w:link w:val="Heading3Char"/>
    <w:uiPriority w:val="9"/>
    <w:unhideWhenUsed/>
    <w:qFormat/>
    <w:rsid w:val="00B10644"/>
    <w:pPr>
      <w:spacing w:after="0" w:line="240" w:lineRule="auto"/>
      <w:outlineLvl w:val="2"/>
    </w:pPr>
    <w:rPr>
      <w:rFonts w:ascii="Times New Roman" w:eastAsia="Calibri" w:hAnsi="Times New Roman" w:cs="Times New Roman"/>
      <w:b/>
      <w:sz w:val="24"/>
      <w:szCs w:val="24"/>
    </w:rPr>
  </w:style>
  <w:style w:type="paragraph" w:styleId="Heading4">
    <w:name w:val="heading 4"/>
    <w:aliases w:val="New section heading"/>
    <w:next w:val="Normal"/>
    <w:link w:val="Heading4Char"/>
    <w:uiPriority w:val="9"/>
    <w:unhideWhenUsed/>
    <w:qFormat/>
    <w:rsid w:val="00B10644"/>
    <w:pPr>
      <w:spacing w:before="120" w:after="120" w:line="240" w:lineRule="auto"/>
      <w:outlineLvl w:val="3"/>
    </w:pPr>
    <w:rPr>
      <w:rFonts w:ascii="Times New Roman" w:eastAsia="Calibri" w:hAnsi="Times New Roman" w:cs="Times New Roman"/>
      <w:b/>
      <w:i/>
      <w:sz w:val="24"/>
      <w:szCs w:val="24"/>
    </w:rPr>
  </w:style>
  <w:style w:type="paragraph" w:styleId="Heading5">
    <w:name w:val="heading 5"/>
    <w:aliases w:val="EMPA New Part heading"/>
    <w:next w:val="Normal"/>
    <w:link w:val="Heading5Char"/>
    <w:uiPriority w:val="9"/>
    <w:unhideWhenUsed/>
    <w:qFormat/>
    <w:rsid w:val="00B10644"/>
    <w:pPr>
      <w:spacing w:before="120" w:after="120" w:line="240" w:lineRule="auto"/>
      <w:outlineLvl w:val="4"/>
    </w:pPr>
    <w:rPr>
      <w:rFonts w:ascii="Times New Roman" w:eastAsia="Calibri" w:hAnsi="Times New Roman" w:cs="Times New Roman"/>
      <w:b/>
      <w:i/>
      <w:sz w:val="24"/>
      <w:szCs w:val="24"/>
      <w:u w:val="single"/>
    </w:rPr>
  </w:style>
  <w:style w:type="paragraph" w:styleId="Heading6">
    <w:name w:val="heading 6"/>
    <w:aliases w:val="Heading 6 Subsection heading"/>
    <w:basedOn w:val="Heading5"/>
    <w:next w:val="Normal"/>
    <w:link w:val="Heading6Char"/>
    <w:uiPriority w:val="9"/>
    <w:unhideWhenUsed/>
    <w:qFormat/>
    <w:rsid w:val="00B10644"/>
    <w:pPr>
      <w:outlineLvl w:val="5"/>
    </w:pPr>
    <w:rPr>
      <w:b w:val="0"/>
      <w:i w:val="0"/>
    </w:rPr>
  </w:style>
  <w:style w:type="paragraph" w:styleId="Heading7">
    <w:name w:val="heading 7"/>
    <w:aliases w:val="EMPA Div heading"/>
    <w:basedOn w:val="Normal"/>
    <w:next w:val="Normal"/>
    <w:link w:val="Heading7Char"/>
    <w:uiPriority w:val="9"/>
    <w:unhideWhenUsed/>
    <w:qFormat/>
    <w:rsid w:val="00B10644"/>
    <w:pPr>
      <w:outlineLvl w:val="6"/>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art' Heading Char"/>
    <w:basedOn w:val="DefaultParagraphFont"/>
    <w:link w:val="Heading1"/>
    <w:uiPriority w:val="9"/>
    <w:rsid w:val="00B10644"/>
    <w:rPr>
      <w:rFonts w:ascii="Times New Roman" w:eastAsia="Times New Roman" w:hAnsi="Times New Roman" w:cs="Times New Roman"/>
      <w:b/>
      <w:bCs/>
      <w:kern w:val="32"/>
      <w:sz w:val="28"/>
      <w:szCs w:val="32"/>
    </w:rPr>
  </w:style>
  <w:style w:type="character" w:customStyle="1" w:styleId="Heading2Char">
    <w:name w:val="Heading 2 Char"/>
    <w:aliases w:val="'Division' heading Char"/>
    <w:basedOn w:val="DefaultParagraphFont"/>
    <w:link w:val="Heading2"/>
    <w:uiPriority w:val="9"/>
    <w:rsid w:val="00B10644"/>
    <w:rPr>
      <w:rFonts w:ascii="Times New Roman" w:eastAsia="Calibri" w:hAnsi="Times New Roman" w:cs="Times New Roman"/>
      <w:b/>
      <w:sz w:val="26"/>
      <w:szCs w:val="26"/>
    </w:rPr>
  </w:style>
  <w:style w:type="character" w:customStyle="1" w:styleId="Heading3Char">
    <w:name w:val="Heading 3 Char"/>
    <w:aliases w:val="'Clause' heading Char"/>
    <w:basedOn w:val="DefaultParagraphFont"/>
    <w:link w:val="Heading3"/>
    <w:uiPriority w:val="9"/>
    <w:rsid w:val="00B10644"/>
    <w:rPr>
      <w:rFonts w:ascii="Times New Roman" w:eastAsia="Calibri" w:hAnsi="Times New Roman" w:cs="Times New Roman"/>
      <w:b/>
      <w:sz w:val="24"/>
      <w:szCs w:val="24"/>
    </w:rPr>
  </w:style>
  <w:style w:type="character" w:customStyle="1" w:styleId="Heading4Char">
    <w:name w:val="Heading 4 Char"/>
    <w:aliases w:val="New section heading Char"/>
    <w:basedOn w:val="DefaultParagraphFont"/>
    <w:link w:val="Heading4"/>
    <w:uiPriority w:val="9"/>
    <w:rsid w:val="00B10644"/>
    <w:rPr>
      <w:rFonts w:ascii="Times New Roman" w:eastAsia="Calibri" w:hAnsi="Times New Roman" w:cs="Times New Roman"/>
      <w:b/>
      <w:i/>
      <w:sz w:val="24"/>
      <w:szCs w:val="24"/>
    </w:rPr>
  </w:style>
  <w:style w:type="character" w:customStyle="1" w:styleId="Heading5Char">
    <w:name w:val="Heading 5 Char"/>
    <w:aliases w:val="EMPA New Part heading Char"/>
    <w:basedOn w:val="DefaultParagraphFont"/>
    <w:link w:val="Heading5"/>
    <w:uiPriority w:val="9"/>
    <w:rsid w:val="00B10644"/>
    <w:rPr>
      <w:rFonts w:ascii="Times New Roman" w:eastAsia="Calibri" w:hAnsi="Times New Roman" w:cs="Times New Roman"/>
      <w:b/>
      <w:i/>
      <w:sz w:val="24"/>
      <w:szCs w:val="24"/>
      <w:u w:val="single"/>
    </w:rPr>
  </w:style>
  <w:style w:type="character" w:customStyle="1" w:styleId="Heading6Char">
    <w:name w:val="Heading 6 Char"/>
    <w:aliases w:val="Heading 6 Subsection heading Char"/>
    <w:basedOn w:val="DefaultParagraphFont"/>
    <w:link w:val="Heading6"/>
    <w:uiPriority w:val="9"/>
    <w:rsid w:val="00B10644"/>
    <w:rPr>
      <w:rFonts w:ascii="Times New Roman" w:eastAsia="Calibri" w:hAnsi="Times New Roman" w:cs="Times New Roman"/>
      <w:sz w:val="24"/>
      <w:szCs w:val="24"/>
      <w:u w:val="single"/>
    </w:rPr>
  </w:style>
  <w:style w:type="character" w:customStyle="1" w:styleId="Heading7Char">
    <w:name w:val="Heading 7 Char"/>
    <w:aliases w:val="EMPA Div heading Char"/>
    <w:basedOn w:val="DefaultParagraphFont"/>
    <w:link w:val="Heading7"/>
    <w:uiPriority w:val="9"/>
    <w:rsid w:val="00B10644"/>
    <w:rPr>
      <w:rFonts w:ascii="Times New Roman" w:eastAsia="Calibri" w:hAnsi="Times New Roman" w:cs="Times New Roman"/>
      <w:b/>
      <w:sz w:val="24"/>
    </w:rPr>
  </w:style>
  <w:style w:type="character" w:customStyle="1" w:styleId="CommentTextChar">
    <w:name w:val="Comment Text Char"/>
    <w:basedOn w:val="DefaultParagraphFont"/>
    <w:link w:val="CommentText"/>
    <w:uiPriority w:val="99"/>
    <w:semiHidden/>
    <w:rsid w:val="00B10644"/>
    <w:rPr>
      <w:rFonts w:ascii="Times New Roman" w:eastAsia="Calibri" w:hAnsi="Times New Roman" w:cs="Times New Roman"/>
      <w:sz w:val="20"/>
      <w:szCs w:val="20"/>
    </w:rPr>
  </w:style>
  <w:style w:type="paragraph" w:styleId="CommentText">
    <w:name w:val="annotation text"/>
    <w:basedOn w:val="Normal"/>
    <w:link w:val="CommentTextChar"/>
    <w:uiPriority w:val="99"/>
    <w:semiHidden/>
    <w:unhideWhenUsed/>
    <w:rsid w:val="00B10644"/>
    <w:rPr>
      <w:sz w:val="20"/>
      <w:szCs w:val="20"/>
    </w:rPr>
  </w:style>
  <w:style w:type="character" w:customStyle="1" w:styleId="CommentSubjectChar">
    <w:name w:val="Comment Subject Char"/>
    <w:basedOn w:val="CommentTextChar"/>
    <w:link w:val="CommentSubject"/>
    <w:uiPriority w:val="99"/>
    <w:semiHidden/>
    <w:rsid w:val="00B10644"/>
    <w:rPr>
      <w:rFonts w:ascii="Times New Roman" w:eastAsia="Calibri" w:hAnsi="Times New Roman" w:cs="Times New Roman"/>
      <w:b/>
      <w:bCs/>
      <w:sz w:val="20"/>
      <w:szCs w:val="20"/>
    </w:rPr>
  </w:style>
  <w:style w:type="paragraph" w:styleId="CommentSubject">
    <w:name w:val="annotation subject"/>
    <w:basedOn w:val="CommentText"/>
    <w:next w:val="CommentText"/>
    <w:link w:val="CommentSubjectChar"/>
    <w:uiPriority w:val="99"/>
    <w:semiHidden/>
    <w:unhideWhenUsed/>
    <w:rsid w:val="00B10644"/>
    <w:rPr>
      <w:b/>
      <w:bCs/>
    </w:rPr>
  </w:style>
  <w:style w:type="character" w:customStyle="1" w:styleId="BalloonTextChar">
    <w:name w:val="Balloon Text Char"/>
    <w:basedOn w:val="DefaultParagraphFont"/>
    <w:link w:val="BalloonText"/>
    <w:uiPriority w:val="99"/>
    <w:semiHidden/>
    <w:rsid w:val="00B10644"/>
    <w:rPr>
      <w:rFonts w:ascii="Tahoma" w:eastAsia="Calibri" w:hAnsi="Tahoma" w:cs="Tahoma"/>
      <w:sz w:val="16"/>
      <w:szCs w:val="16"/>
    </w:rPr>
  </w:style>
  <w:style w:type="paragraph" w:styleId="BalloonText">
    <w:name w:val="Balloon Text"/>
    <w:basedOn w:val="Normal"/>
    <w:link w:val="BalloonTextChar"/>
    <w:uiPriority w:val="99"/>
    <w:semiHidden/>
    <w:unhideWhenUsed/>
    <w:rsid w:val="00B10644"/>
    <w:pPr>
      <w:spacing w:after="0" w:line="240" w:lineRule="auto"/>
    </w:pPr>
    <w:rPr>
      <w:rFonts w:ascii="Tahoma" w:hAnsi="Tahoma" w:cs="Tahoma"/>
      <w:sz w:val="16"/>
      <w:szCs w:val="16"/>
    </w:rPr>
  </w:style>
  <w:style w:type="character" w:customStyle="1" w:styleId="ListParagraphChar">
    <w:name w:val="List Paragraph Char"/>
    <w:aliases w:val="List Paragraph1 Char,Recommendation Char,List Paragraph11 Char,1 Recommendation Char,standard lewis Char,Bullet point Char,L Char,Bullet Point Char,Bullet points Char,Content descriptions Char,List Paragraph Number Char,列出段 Char"/>
    <w:basedOn w:val="DefaultParagraphFont"/>
    <w:link w:val="ListParagraph"/>
    <w:uiPriority w:val="34"/>
    <w:qFormat/>
    <w:locked/>
    <w:rsid w:val="00B10644"/>
    <w:rPr>
      <w:rFonts w:ascii="Times New Roman" w:hAnsi="Times New Roman"/>
      <w:sz w:val="24"/>
    </w:rPr>
  </w:style>
  <w:style w:type="paragraph" w:styleId="ListParagraph">
    <w:name w:val="List Paragraph"/>
    <w:aliases w:val="List Paragraph1,Recommendation,List Paragraph11,1 Recommendation,standard lewis,Bullet point,L,Bullet Point,Bullet points,Content descriptions,List Paragraph Number,Bulleted Para,NFP GP Bulleted List,bullet point list,List Bullet Cab,列出段"/>
    <w:basedOn w:val="Normal"/>
    <w:link w:val="ListParagraphChar"/>
    <w:uiPriority w:val="34"/>
    <w:qFormat/>
    <w:rsid w:val="00B10644"/>
    <w:pPr>
      <w:ind w:left="720"/>
    </w:pPr>
    <w:rPr>
      <w:rFonts w:eastAsiaTheme="minorHAnsi" w:cstheme="minorBidi"/>
    </w:rPr>
  </w:style>
  <w:style w:type="paragraph" w:styleId="Header">
    <w:name w:val="header"/>
    <w:basedOn w:val="Normal"/>
    <w:link w:val="HeaderChar"/>
    <w:uiPriority w:val="99"/>
    <w:rsid w:val="00B10644"/>
    <w:pPr>
      <w:widowControl w:val="0"/>
      <w:tabs>
        <w:tab w:val="center" w:pos="4320"/>
        <w:tab w:val="right" w:pos="8640"/>
      </w:tabs>
      <w:spacing w:after="0" w:line="240" w:lineRule="auto"/>
    </w:pPr>
    <w:rPr>
      <w:rFonts w:eastAsia="Times New Roman"/>
      <w:szCs w:val="20"/>
      <w:lang w:val="en-GB"/>
    </w:rPr>
  </w:style>
  <w:style w:type="character" w:customStyle="1" w:styleId="HeaderChar">
    <w:name w:val="Header Char"/>
    <w:basedOn w:val="DefaultParagraphFont"/>
    <w:link w:val="Header"/>
    <w:uiPriority w:val="99"/>
    <w:rsid w:val="00B10644"/>
    <w:rPr>
      <w:rFonts w:ascii="Times New Roman" w:eastAsia="Times New Roman" w:hAnsi="Times New Roman" w:cs="Times New Roman"/>
      <w:sz w:val="24"/>
      <w:szCs w:val="20"/>
      <w:lang w:val="en-GB"/>
    </w:rPr>
  </w:style>
  <w:style w:type="paragraph" w:styleId="Footer">
    <w:name w:val="footer"/>
    <w:basedOn w:val="Normal"/>
    <w:link w:val="FooterChar"/>
    <w:uiPriority w:val="99"/>
    <w:unhideWhenUsed/>
    <w:rsid w:val="00B10644"/>
    <w:pPr>
      <w:tabs>
        <w:tab w:val="center" w:pos="4513"/>
        <w:tab w:val="right" w:pos="9026"/>
      </w:tabs>
    </w:pPr>
  </w:style>
  <w:style w:type="character" w:customStyle="1" w:styleId="FooterChar">
    <w:name w:val="Footer Char"/>
    <w:basedOn w:val="DefaultParagraphFont"/>
    <w:link w:val="Footer"/>
    <w:uiPriority w:val="99"/>
    <w:rsid w:val="00B10644"/>
    <w:rPr>
      <w:rFonts w:ascii="Times New Roman" w:eastAsia="Calibri" w:hAnsi="Times New Roman" w:cs="Times New Roman"/>
      <w:sz w:val="24"/>
    </w:rPr>
  </w:style>
  <w:style w:type="paragraph" w:customStyle="1" w:styleId="Default">
    <w:name w:val="Default"/>
    <w:rsid w:val="00B10644"/>
    <w:pPr>
      <w:autoSpaceDE w:val="0"/>
      <w:autoSpaceDN w:val="0"/>
      <w:adjustRightInd w:val="0"/>
      <w:spacing w:after="0" w:line="240" w:lineRule="auto"/>
    </w:pPr>
    <w:rPr>
      <w:rFonts w:ascii="Arial" w:eastAsia="Calibri" w:hAnsi="Arial" w:cs="Arial"/>
      <w:color w:val="000000"/>
      <w:sz w:val="24"/>
      <w:szCs w:val="24"/>
      <w:lang w:eastAsia="en-AU"/>
    </w:rPr>
  </w:style>
  <w:style w:type="paragraph" w:styleId="FootnoteText">
    <w:name w:val="footnote text"/>
    <w:aliases w:val="Footnote Text Char1 Char,Footnote Text Char Char Char,Footnote Text Char Char Char Char Char Char Char Char Char Char Char,Footnote Text Char Char Char Char Char Char Char Char,Footnote Text Char2 Char,Char,FA Fu,Footnote Text Char Char"/>
    <w:basedOn w:val="Normal"/>
    <w:link w:val="FootnoteTextChar"/>
    <w:uiPriority w:val="99"/>
    <w:rsid w:val="00B10644"/>
    <w:pPr>
      <w:spacing w:after="0" w:line="240" w:lineRule="auto"/>
    </w:pPr>
    <w:rPr>
      <w:rFonts w:ascii="Arial" w:hAnsi="Arial"/>
      <w:sz w:val="20"/>
      <w:szCs w:val="20"/>
    </w:rPr>
  </w:style>
  <w:style w:type="character" w:customStyle="1" w:styleId="FootnoteTextChar">
    <w:name w:val="Footnote Text Char"/>
    <w:aliases w:val="Footnote Text Char1 Char Char,Footnote Text Char Char Char Char,Footnote Text Char Char Char Char Char Char Char Char Char Char Char Char,Footnote Text Char Char Char Char Char Char Char Char Char,Footnote Text Char2 Char Char"/>
    <w:basedOn w:val="DefaultParagraphFont"/>
    <w:link w:val="FootnoteText"/>
    <w:uiPriority w:val="99"/>
    <w:rsid w:val="00B10644"/>
    <w:rPr>
      <w:rFonts w:ascii="Arial" w:eastAsia="Calibri" w:hAnsi="Arial" w:cs="Times New Roman"/>
      <w:sz w:val="20"/>
      <w:szCs w:val="20"/>
    </w:rPr>
  </w:style>
  <w:style w:type="character" w:styleId="FootnoteReference">
    <w:name w:val="footnote reference"/>
    <w:aliases w:val="Footnote number,Footnotes refss"/>
    <w:basedOn w:val="DefaultParagraphFont"/>
    <w:uiPriority w:val="99"/>
    <w:rsid w:val="00B10644"/>
    <w:rPr>
      <w:rFonts w:cs="Times New Roman"/>
      <w:vertAlign w:val="superscript"/>
    </w:rPr>
  </w:style>
  <w:style w:type="character" w:customStyle="1" w:styleId="field-content">
    <w:name w:val="field-content"/>
    <w:basedOn w:val="DefaultParagraphFont"/>
    <w:rsid w:val="00B10644"/>
  </w:style>
  <w:style w:type="paragraph" w:styleId="NoSpacing">
    <w:name w:val="No Spacing"/>
    <w:link w:val="NoSpacingChar"/>
    <w:uiPriority w:val="1"/>
    <w:qFormat/>
    <w:rsid w:val="00B10644"/>
    <w:pPr>
      <w:spacing w:after="0" w:line="240" w:lineRule="auto"/>
    </w:pPr>
    <w:rPr>
      <w:rFonts w:ascii="Times New Roman" w:eastAsia="Calibri" w:hAnsi="Times New Roman" w:cs="Times New Roman"/>
      <w:sz w:val="24"/>
    </w:rPr>
  </w:style>
  <w:style w:type="character" w:customStyle="1" w:styleId="NoSpacingChar">
    <w:name w:val="No Spacing Char"/>
    <w:basedOn w:val="DefaultParagraphFont"/>
    <w:link w:val="NoSpacing"/>
    <w:uiPriority w:val="1"/>
    <w:rsid w:val="00B10644"/>
    <w:rPr>
      <w:rFonts w:ascii="Times New Roman" w:eastAsia="Calibri" w:hAnsi="Times New Roman" w:cs="Times New Roman"/>
      <w:sz w:val="24"/>
    </w:rPr>
  </w:style>
  <w:style w:type="character" w:customStyle="1" w:styleId="EndnoteTextChar">
    <w:name w:val="Endnote Text Char"/>
    <w:basedOn w:val="DefaultParagraphFont"/>
    <w:link w:val="EndnoteText"/>
    <w:uiPriority w:val="99"/>
    <w:semiHidden/>
    <w:rsid w:val="00B10644"/>
    <w:rPr>
      <w:rFonts w:ascii="Times New Roman" w:eastAsia="Calibri" w:hAnsi="Times New Roman" w:cs="Times New Roman"/>
      <w:sz w:val="20"/>
      <w:szCs w:val="20"/>
    </w:rPr>
  </w:style>
  <w:style w:type="paragraph" w:styleId="EndnoteText">
    <w:name w:val="endnote text"/>
    <w:basedOn w:val="Normal"/>
    <w:link w:val="EndnoteTextChar"/>
    <w:uiPriority w:val="99"/>
    <w:semiHidden/>
    <w:unhideWhenUsed/>
    <w:rsid w:val="00B10644"/>
    <w:rPr>
      <w:sz w:val="20"/>
      <w:szCs w:val="20"/>
    </w:rPr>
  </w:style>
  <w:style w:type="character" w:styleId="Hyperlink">
    <w:name w:val="Hyperlink"/>
    <w:basedOn w:val="DefaultParagraphFont"/>
    <w:uiPriority w:val="99"/>
    <w:unhideWhenUsed/>
    <w:rsid w:val="00B10644"/>
    <w:rPr>
      <w:color w:val="0000FF"/>
      <w:u w:val="single"/>
    </w:rPr>
  </w:style>
  <w:style w:type="character" w:styleId="Emphasis">
    <w:name w:val="Emphasis"/>
    <w:basedOn w:val="DefaultParagraphFont"/>
    <w:uiPriority w:val="20"/>
    <w:qFormat/>
    <w:rsid w:val="00B10644"/>
    <w:rPr>
      <w:i/>
      <w:iCs/>
    </w:rPr>
  </w:style>
  <w:style w:type="paragraph" w:customStyle="1" w:styleId="s30eec3f8">
    <w:name w:val="s30eec3f8"/>
    <w:basedOn w:val="Normal"/>
    <w:rsid w:val="00B10644"/>
    <w:pPr>
      <w:spacing w:before="100" w:beforeAutospacing="1" w:after="100" w:afterAutospacing="1" w:line="240" w:lineRule="auto"/>
    </w:pPr>
    <w:rPr>
      <w:rFonts w:eastAsia="Times New Roman"/>
      <w:szCs w:val="24"/>
      <w:lang w:eastAsia="en-AU"/>
    </w:rPr>
  </w:style>
  <w:style w:type="character" w:customStyle="1" w:styleId="sb8d990e2">
    <w:name w:val="sb8d990e2"/>
    <w:basedOn w:val="DefaultParagraphFont"/>
    <w:rsid w:val="00B10644"/>
  </w:style>
  <w:style w:type="character" w:customStyle="1" w:styleId="s6b621b36">
    <w:name w:val="s6b621b36"/>
    <w:basedOn w:val="DefaultParagraphFont"/>
    <w:rsid w:val="00B10644"/>
  </w:style>
  <w:style w:type="paragraph" w:styleId="TOC1">
    <w:name w:val="toc 1"/>
    <w:basedOn w:val="Normal"/>
    <w:next w:val="Normal"/>
    <w:autoRedefine/>
    <w:uiPriority w:val="39"/>
    <w:unhideWhenUsed/>
    <w:rsid w:val="00B10644"/>
  </w:style>
  <w:style w:type="paragraph" w:styleId="Title">
    <w:name w:val="Title"/>
    <w:basedOn w:val="Normal"/>
    <w:next w:val="Normal"/>
    <w:link w:val="TitleChar"/>
    <w:uiPriority w:val="10"/>
    <w:qFormat/>
    <w:rsid w:val="00B10644"/>
    <w:pPr>
      <w:spacing w:before="360" w:after="240"/>
      <w:jc w:val="center"/>
      <w:outlineLvl w:val="0"/>
    </w:pPr>
    <w:rPr>
      <w:rFonts w:eastAsia="Times New Roman"/>
      <w:b/>
      <w:bCs/>
      <w:kern w:val="28"/>
      <w:sz w:val="28"/>
      <w:szCs w:val="32"/>
    </w:rPr>
  </w:style>
  <w:style w:type="character" w:customStyle="1" w:styleId="TitleChar">
    <w:name w:val="Title Char"/>
    <w:basedOn w:val="DefaultParagraphFont"/>
    <w:link w:val="Title"/>
    <w:uiPriority w:val="10"/>
    <w:rsid w:val="00B10644"/>
    <w:rPr>
      <w:rFonts w:ascii="Times New Roman" w:eastAsia="Times New Roman" w:hAnsi="Times New Roman" w:cs="Times New Roman"/>
      <w:b/>
      <w:bCs/>
      <w:kern w:val="28"/>
      <w:sz w:val="28"/>
      <w:szCs w:val="32"/>
    </w:rPr>
  </w:style>
  <w:style w:type="paragraph" w:styleId="TOC2">
    <w:name w:val="toc 2"/>
    <w:basedOn w:val="Normal"/>
    <w:next w:val="Normal"/>
    <w:autoRedefine/>
    <w:uiPriority w:val="39"/>
    <w:unhideWhenUsed/>
    <w:rsid w:val="00B10644"/>
    <w:pPr>
      <w:ind w:left="240"/>
    </w:pPr>
  </w:style>
  <w:style w:type="paragraph" w:styleId="Caption">
    <w:name w:val="caption"/>
    <w:basedOn w:val="Normal"/>
    <w:next w:val="Normal"/>
    <w:uiPriority w:val="35"/>
    <w:unhideWhenUsed/>
    <w:qFormat/>
    <w:rsid w:val="00B10644"/>
    <w:rPr>
      <w:b/>
      <w:bCs/>
      <w:sz w:val="20"/>
      <w:szCs w:val="20"/>
    </w:rPr>
  </w:style>
  <w:style w:type="paragraph" w:styleId="TOC3">
    <w:name w:val="toc 3"/>
    <w:basedOn w:val="Normal"/>
    <w:next w:val="Normal"/>
    <w:autoRedefine/>
    <w:uiPriority w:val="39"/>
    <w:unhideWhenUsed/>
    <w:rsid w:val="00B10644"/>
    <w:pPr>
      <w:spacing w:after="100"/>
      <w:ind w:left="480"/>
    </w:pPr>
  </w:style>
  <w:style w:type="character" w:customStyle="1" w:styleId="DocumentMapChar">
    <w:name w:val="Document Map Char"/>
    <w:basedOn w:val="DefaultParagraphFont"/>
    <w:link w:val="DocumentMap"/>
    <w:uiPriority w:val="99"/>
    <w:semiHidden/>
    <w:rsid w:val="00B10644"/>
    <w:rPr>
      <w:rFonts w:ascii="Tahoma" w:eastAsia="Calibri" w:hAnsi="Tahoma" w:cs="Tahoma"/>
      <w:sz w:val="16"/>
      <w:szCs w:val="16"/>
    </w:rPr>
  </w:style>
  <w:style w:type="paragraph" w:styleId="DocumentMap">
    <w:name w:val="Document Map"/>
    <w:basedOn w:val="Normal"/>
    <w:link w:val="DocumentMapChar"/>
    <w:uiPriority w:val="99"/>
    <w:semiHidden/>
    <w:unhideWhenUsed/>
    <w:rsid w:val="00B10644"/>
    <w:pPr>
      <w:spacing w:after="0" w:line="240" w:lineRule="auto"/>
    </w:pPr>
    <w:rPr>
      <w:rFonts w:ascii="Tahoma" w:hAnsi="Tahoma" w:cs="Tahoma"/>
      <w:sz w:val="16"/>
      <w:szCs w:val="16"/>
    </w:rPr>
  </w:style>
  <w:style w:type="paragraph" w:styleId="BodyText">
    <w:name w:val="Body Text"/>
    <w:basedOn w:val="Normal"/>
    <w:link w:val="BodyTextChar"/>
    <w:uiPriority w:val="1"/>
    <w:qFormat/>
    <w:rsid w:val="00B10644"/>
    <w:pPr>
      <w:spacing w:before="240" w:after="120"/>
    </w:pPr>
    <w:rPr>
      <w:szCs w:val="24"/>
      <w:lang w:eastAsia="en-AU"/>
    </w:rPr>
  </w:style>
  <w:style w:type="character" w:customStyle="1" w:styleId="BodyTextChar">
    <w:name w:val="Body Text Char"/>
    <w:basedOn w:val="DefaultParagraphFont"/>
    <w:link w:val="BodyText"/>
    <w:uiPriority w:val="1"/>
    <w:rsid w:val="00B10644"/>
    <w:rPr>
      <w:rFonts w:ascii="Times New Roman" w:eastAsia="Calibri" w:hAnsi="Times New Roman" w:cs="Times New Roman"/>
      <w:sz w:val="24"/>
      <w:szCs w:val="24"/>
      <w:lang w:eastAsia="en-AU"/>
    </w:rPr>
  </w:style>
  <w:style w:type="paragraph" w:customStyle="1" w:styleId="Bullet1">
    <w:name w:val="Bullet 1"/>
    <w:basedOn w:val="Normal"/>
    <w:link w:val="Bullet1Char"/>
    <w:qFormat/>
    <w:rsid w:val="00B10644"/>
    <w:pPr>
      <w:numPr>
        <w:numId w:val="7"/>
      </w:numPr>
      <w:spacing w:after="60" w:line="240" w:lineRule="auto"/>
      <w:ind w:left="357" w:hanging="357"/>
    </w:pPr>
    <w:rPr>
      <w:rFonts w:asciiTheme="minorHAnsi" w:eastAsia="Times New Roman" w:hAnsiTheme="minorHAnsi"/>
      <w:szCs w:val="20"/>
    </w:rPr>
  </w:style>
  <w:style w:type="character" w:customStyle="1" w:styleId="Bullet1Char">
    <w:name w:val="Bullet 1 Char"/>
    <w:basedOn w:val="DefaultParagraphFont"/>
    <w:link w:val="Bullet1"/>
    <w:rsid w:val="00B10644"/>
    <w:rPr>
      <w:rFonts w:eastAsia="Times New Roman" w:cs="Times New Roman"/>
      <w:sz w:val="24"/>
      <w:szCs w:val="20"/>
    </w:rPr>
  </w:style>
  <w:style w:type="character" w:styleId="SubtleEmphasis">
    <w:name w:val="Subtle Emphasis"/>
    <w:basedOn w:val="DefaultParagraphFont"/>
    <w:uiPriority w:val="19"/>
    <w:qFormat/>
    <w:rsid w:val="00B10644"/>
    <w:rPr>
      <w:i/>
      <w:iCs/>
      <w:color w:val="404040" w:themeColor="text1" w:themeTint="BF"/>
    </w:rPr>
  </w:style>
  <w:style w:type="character" w:customStyle="1" w:styleId="A9">
    <w:name w:val="A9"/>
    <w:uiPriority w:val="99"/>
    <w:rsid w:val="00B10644"/>
    <w:rPr>
      <w:rFonts w:cs="Calibri"/>
      <w:color w:val="000000"/>
    </w:rPr>
  </w:style>
  <w:style w:type="paragraph" w:customStyle="1" w:styleId="Pa3">
    <w:name w:val="Pa3"/>
    <w:basedOn w:val="Default"/>
    <w:next w:val="Default"/>
    <w:uiPriority w:val="99"/>
    <w:rsid w:val="00B10644"/>
    <w:pPr>
      <w:spacing w:line="240" w:lineRule="atLeast"/>
    </w:pPr>
    <w:rPr>
      <w:rFonts w:ascii="Calibri Light" w:hAnsi="Calibri Light" w:cs="Times New Roman"/>
      <w:color w:val="auto"/>
    </w:rPr>
  </w:style>
  <w:style w:type="paragraph" w:customStyle="1" w:styleId="Pa0">
    <w:name w:val="Pa0"/>
    <w:basedOn w:val="Default"/>
    <w:next w:val="Default"/>
    <w:uiPriority w:val="99"/>
    <w:rsid w:val="00B10644"/>
    <w:pPr>
      <w:spacing w:line="240" w:lineRule="atLeast"/>
    </w:pPr>
    <w:rPr>
      <w:rFonts w:ascii="Calibri Light" w:hAnsi="Calibri Light" w:cs="Times New Roman"/>
      <w:color w:val="auto"/>
    </w:rPr>
  </w:style>
  <w:style w:type="character" w:customStyle="1" w:styleId="A0">
    <w:name w:val="A0"/>
    <w:uiPriority w:val="99"/>
    <w:rsid w:val="00B10644"/>
    <w:rPr>
      <w:rFonts w:ascii="HelveticaNeueLT Pro 45 Lt" w:hAnsi="HelveticaNeueLT Pro 45 Lt" w:cs="HelveticaNeueLT Pro 45 Lt"/>
      <w:color w:val="000000"/>
      <w:sz w:val="18"/>
      <w:szCs w:val="18"/>
    </w:rPr>
  </w:style>
  <w:style w:type="paragraph" w:styleId="TOC4">
    <w:name w:val="toc 4"/>
    <w:basedOn w:val="Normal"/>
    <w:next w:val="Normal"/>
    <w:autoRedefine/>
    <w:uiPriority w:val="39"/>
    <w:unhideWhenUsed/>
    <w:rsid w:val="00B10644"/>
    <w:pPr>
      <w:spacing w:after="100"/>
      <w:ind w:left="720"/>
    </w:pPr>
  </w:style>
  <w:style w:type="paragraph" w:styleId="TOC5">
    <w:name w:val="toc 5"/>
    <w:basedOn w:val="Normal"/>
    <w:next w:val="Normal"/>
    <w:autoRedefine/>
    <w:uiPriority w:val="39"/>
    <w:unhideWhenUsed/>
    <w:rsid w:val="00B10644"/>
    <w:pPr>
      <w:spacing w:after="100"/>
      <w:ind w:left="960"/>
    </w:pPr>
  </w:style>
  <w:style w:type="paragraph" w:styleId="TOC6">
    <w:name w:val="toc 6"/>
    <w:basedOn w:val="Normal"/>
    <w:next w:val="Normal"/>
    <w:autoRedefine/>
    <w:uiPriority w:val="39"/>
    <w:unhideWhenUsed/>
    <w:rsid w:val="00B10644"/>
    <w:pPr>
      <w:spacing w:after="100"/>
      <w:ind w:left="1200"/>
    </w:pPr>
  </w:style>
  <w:style w:type="paragraph" w:styleId="TOC7">
    <w:name w:val="toc 7"/>
    <w:basedOn w:val="Normal"/>
    <w:next w:val="Normal"/>
    <w:autoRedefine/>
    <w:uiPriority w:val="39"/>
    <w:unhideWhenUsed/>
    <w:rsid w:val="00B10644"/>
    <w:pPr>
      <w:spacing w:after="100"/>
      <w:ind w:left="1440"/>
    </w:pPr>
  </w:style>
  <w:style w:type="paragraph" w:styleId="TOC8">
    <w:name w:val="toc 8"/>
    <w:basedOn w:val="Normal"/>
    <w:next w:val="Normal"/>
    <w:autoRedefine/>
    <w:uiPriority w:val="39"/>
    <w:unhideWhenUsed/>
    <w:rsid w:val="00B10644"/>
    <w:pPr>
      <w:spacing w:after="100" w:line="259" w:lineRule="auto"/>
      <w:ind w:left="1540"/>
      <w:jc w:val="left"/>
    </w:pPr>
    <w:rPr>
      <w:rFonts w:asciiTheme="minorHAnsi" w:eastAsiaTheme="minorEastAsia" w:hAnsiTheme="minorHAnsi" w:cstheme="minorBidi"/>
      <w:sz w:val="22"/>
      <w:lang w:eastAsia="en-AU"/>
    </w:rPr>
  </w:style>
  <w:style w:type="paragraph" w:styleId="TOC9">
    <w:name w:val="toc 9"/>
    <w:basedOn w:val="Normal"/>
    <w:next w:val="Normal"/>
    <w:autoRedefine/>
    <w:uiPriority w:val="39"/>
    <w:unhideWhenUsed/>
    <w:rsid w:val="00B10644"/>
    <w:pPr>
      <w:spacing w:after="100" w:line="259" w:lineRule="auto"/>
      <w:ind w:left="1760"/>
      <w:jc w:val="left"/>
    </w:pPr>
    <w:rPr>
      <w:rFonts w:asciiTheme="minorHAnsi" w:eastAsiaTheme="minorEastAsia" w:hAnsiTheme="minorHAnsi" w:cstheme="minorBidi"/>
      <w:sz w:val="22"/>
      <w:lang w:eastAsia="en-AU"/>
    </w:rPr>
  </w:style>
  <w:style w:type="paragraph" w:styleId="TOCHeading">
    <w:name w:val="TOC Heading"/>
    <w:basedOn w:val="Heading1"/>
    <w:next w:val="Normal"/>
    <w:uiPriority w:val="39"/>
    <w:unhideWhenUsed/>
    <w:qFormat/>
    <w:rsid w:val="00B10644"/>
    <w:pPr>
      <w:keepLines/>
      <w:spacing w:after="0" w:line="259" w:lineRule="auto"/>
      <w:jc w:val="left"/>
      <w:outlineLvl w:val="9"/>
    </w:pPr>
    <w:rPr>
      <w:rFonts w:asciiTheme="majorHAnsi" w:eastAsiaTheme="majorEastAsia" w:hAnsiTheme="majorHAnsi" w:cstheme="majorBidi"/>
      <w:b w:val="0"/>
      <w:bCs w:val="0"/>
      <w:color w:val="2F5496" w:themeColor="accent1" w:themeShade="BF"/>
      <w:kern w:val="0"/>
      <w:sz w:val="32"/>
      <w:lang w:val="en-US"/>
    </w:rPr>
  </w:style>
  <w:style w:type="paragraph" w:customStyle="1" w:styleId="Pa6">
    <w:name w:val="Pa6"/>
    <w:basedOn w:val="Normal"/>
    <w:next w:val="Normal"/>
    <w:uiPriority w:val="99"/>
    <w:rsid w:val="00B10644"/>
    <w:pPr>
      <w:autoSpaceDE w:val="0"/>
      <w:autoSpaceDN w:val="0"/>
      <w:adjustRightInd w:val="0"/>
      <w:spacing w:after="0" w:line="241" w:lineRule="atLeast"/>
      <w:jc w:val="left"/>
    </w:pPr>
    <w:rPr>
      <w:rFonts w:ascii="Calibri" w:eastAsiaTheme="minorHAnsi" w:hAnsi="Calibri" w:cstheme="minorBidi"/>
      <w:szCs w:val="24"/>
    </w:rPr>
  </w:style>
  <w:style w:type="character" w:customStyle="1" w:styleId="A10">
    <w:name w:val="A10"/>
    <w:uiPriority w:val="99"/>
    <w:rsid w:val="00B10644"/>
    <w:rPr>
      <w:rFonts w:cs="Calibri"/>
      <w:color w:val="000000"/>
      <w:sz w:val="14"/>
      <w:szCs w:val="14"/>
    </w:rPr>
  </w:style>
  <w:style w:type="character" w:styleId="CommentReference">
    <w:name w:val="annotation reference"/>
    <w:basedOn w:val="DefaultParagraphFont"/>
    <w:uiPriority w:val="99"/>
    <w:semiHidden/>
    <w:unhideWhenUsed/>
    <w:rsid w:val="00AA3A7D"/>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1695800">
      <w:bodyDiv w:val="1"/>
      <w:marLeft w:val="0"/>
      <w:marRight w:val="0"/>
      <w:marTop w:val="0"/>
      <w:marBottom w:val="0"/>
      <w:divBdr>
        <w:top w:val="none" w:sz="0" w:space="0" w:color="auto"/>
        <w:left w:val="none" w:sz="0" w:space="0" w:color="auto"/>
        <w:bottom w:val="none" w:sz="0" w:space="0" w:color="auto"/>
        <w:right w:val="none" w:sz="0" w:space="0" w:color="auto"/>
      </w:divBdr>
      <w:divsChild>
        <w:div w:id="931277468">
          <w:marLeft w:val="0"/>
          <w:marRight w:val="0"/>
          <w:marTop w:val="15"/>
          <w:marBottom w:val="0"/>
          <w:divBdr>
            <w:top w:val="none" w:sz="0" w:space="0" w:color="auto"/>
            <w:left w:val="none" w:sz="0" w:space="0" w:color="auto"/>
            <w:bottom w:val="none" w:sz="0" w:space="0" w:color="auto"/>
            <w:right w:val="none" w:sz="0" w:space="0" w:color="auto"/>
          </w:divBdr>
          <w:divsChild>
            <w:div w:id="856969083">
              <w:marLeft w:val="0"/>
              <w:marRight w:val="0"/>
              <w:marTop w:val="0"/>
              <w:marBottom w:val="0"/>
              <w:divBdr>
                <w:top w:val="none" w:sz="0" w:space="0" w:color="auto"/>
                <w:left w:val="none" w:sz="0" w:space="0" w:color="auto"/>
                <w:bottom w:val="none" w:sz="0" w:space="0" w:color="auto"/>
                <w:right w:val="none" w:sz="0" w:space="0" w:color="auto"/>
              </w:divBdr>
              <w:divsChild>
                <w:div w:id="63339561">
                  <w:marLeft w:val="0"/>
                  <w:marRight w:val="0"/>
                  <w:marTop w:val="0"/>
                  <w:marBottom w:val="0"/>
                  <w:divBdr>
                    <w:top w:val="none" w:sz="0" w:space="0" w:color="auto"/>
                    <w:left w:val="none" w:sz="0" w:space="0" w:color="auto"/>
                    <w:bottom w:val="none" w:sz="0" w:space="0" w:color="auto"/>
                    <w:right w:val="none" w:sz="0" w:space="0" w:color="auto"/>
                  </w:divBdr>
                </w:div>
                <w:div w:id="384185516">
                  <w:marLeft w:val="0"/>
                  <w:marRight w:val="0"/>
                  <w:marTop w:val="0"/>
                  <w:marBottom w:val="0"/>
                  <w:divBdr>
                    <w:top w:val="none" w:sz="0" w:space="0" w:color="auto"/>
                    <w:left w:val="none" w:sz="0" w:space="0" w:color="auto"/>
                    <w:bottom w:val="none" w:sz="0" w:space="0" w:color="auto"/>
                    <w:right w:val="none" w:sz="0" w:space="0" w:color="auto"/>
                  </w:divBdr>
                </w:div>
                <w:div w:id="384566382">
                  <w:marLeft w:val="0"/>
                  <w:marRight w:val="0"/>
                  <w:marTop w:val="0"/>
                  <w:marBottom w:val="0"/>
                  <w:divBdr>
                    <w:top w:val="none" w:sz="0" w:space="0" w:color="auto"/>
                    <w:left w:val="none" w:sz="0" w:space="0" w:color="auto"/>
                    <w:bottom w:val="none" w:sz="0" w:space="0" w:color="auto"/>
                    <w:right w:val="none" w:sz="0" w:space="0" w:color="auto"/>
                  </w:divBdr>
                </w:div>
                <w:div w:id="1091900548">
                  <w:marLeft w:val="0"/>
                  <w:marRight w:val="0"/>
                  <w:marTop w:val="0"/>
                  <w:marBottom w:val="0"/>
                  <w:divBdr>
                    <w:top w:val="none" w:sz="0" w:space="0" w:color="auto"/>
                    <w:left w:val="none" w:sz="0" w:space="0" w:color="auto"/>
                    <w:bottom w:val="none" w:sz="0" w:space="0" w:color="auto"/>
                    <w:right w:val="none" w:sz="0" w:space="0" w:color="auto"/>
                  </w:divBdr>
                </w:div>
                <w:div w:id="1488475873">
                  <w:marLeft w:val="0"/>
                  <w:marRight w:val="0"/>
                  <w:marTop w:val="0"/>
                  <w:marBottom w:val="0"/>
                  <w:divBdr>
                    <w:top w:val="none" w:sz="0" w:space="0" w:color="auto"/>
                    <w:left w:val="none" w:sz="0" w:space="0" w:color="auto"/>
                    <w:bottom w:val="none" w:sz="0" w:space="0" w:color="auto"/>
                    <w:right w:val="none" w:sz="0" w:space="0" w:color="auto"/>
                  </w:divBdr>
                </w:div>
                <w:div w:id="1852838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4298918">
          <w:marLeft w:val="0"/>
          <w:marRight w:val="0"/>
          <w:marTop w:val="15"/>
          <w:marBottom w:val="0"/>
          <w:divBdr>
            <w:top w:val="none" w:sz="0" w:space="0" w:color="auto"/>
            <w:left w:val="none" w:sz="0" w:space="0" w:color="auto"/>
            <w:bottom w:val="none" w:sz="0" w:space="0" w:color="auto"/>
            <w:right w:val="none" w:sz="0" w:space="0" w:color="auto"/>
          </w:divBdr>
          <w:divsChild>
            <w:div w:id="217327055">
              <w:marLeft w:val="0"/>
              <w:marRight w:val="0"/>
              <w:marTop w:val="0"/>
              <w:marBottom w:val="0"/>
              <w:divBdr>
                <w:top w:val="none" w:sz="0" w:space="0" w:color="auto"/>
                <w:left w:val="none" w:sz="0" w:space="0" w:color="auto"/>
                <w:bottom w:val="none" w:sz="0" w:space="0" w:color="auto"/>
                <w:right w:val="none" w:sz="0" w:space="0" w:color="auto"/>
              </w:divBdr>
              <w:divsChild>
                <w:div w:id="149643559">
                  <w:marLeft w:val="0"/>
                  <w:marRight w:val="0"/>
                  <w:marTop w:val="0"/>
                  <w:marBottom w:val="0"/>
                  <w:divBdr>
                    <w:top w:val="none" w:sz="0" w:space="0" w:color="auto"/>
                    <w:left w:val="none" w:sz="0" w:space="0" w:color="auto"/>
                    <w:bottom w:val="none" w:sz="0" w:space="0" w:color="auto"/>
                    <w:right w:val="none" w:sz="0" w:space="0" w:color="auto"/>
                  </w:divBdr>
                </w:div>
                <w:div w:id="595939657">
                  <w:marLeft w:val="0"/>
                  <w:marRight w:val="0"/>
                  <w:marTop w:val="0"/>
                  <w:marBottom w:val="0"/>
                  <w:divBdr>
                    <w:top w:val="none" w:sz="0" w:space="0" w:color="auto"/>
                    <w:left w:val="none" w:sz="0" w:space="0" w:color="auto"/>
                    <w:bottom w:val="none" w:sz="0" w:space="0" w:color="auto"/>
                    <w:right w:val="none" w:sz="0" w:space="0" w:color="auto"/>
                  </w:divBdr>
                </w:div>
                <w:div w:id="616176447">
                  <w:marLeft w:val="0"/>
                  <w:marRight w:val="0"/>
                  <w:marTop w:val="0"/>
                  <w:marBottom w:val="0"/>
                  <w:divBdr>
                    <w:top w:val="none" w:sz="0" w:space="0" w:color="auto"/>
                    <w:left w:val="none" w:sz="0" w:space="0" w:color="auto"/>
                    <w:bottom w:val="none" w:sz="0" w:space="0" w:color="auto"/>
                    <w:right w:val="none" w:sz="0" w:space="0" w:color="auto"/>
                  </w:divBdr>
                </w:div>
                <w:div w:id="781263453">
                  <w:marLeft w:val="0"/>
                  <w:marRight w:val="0"/>
                  <w:marTop w:val="0"/>
                  <w:marBottom w:val="0"/>
                  <w:divBdr>
                    <w:top w:val="none" w:sz="0" w:space="0" w:color="auto"/>
                    <w:left w:val="none" w:sz="0" w:space="0" w:color="auto"/>
                    <w:bottom w:val="none" w:sz="0" w:space="0" w:color="auto"/>
                    <w:right w:val="none" w:sz="0" w:space="0" w:color="auto"/>
                  </w:divBdr>
                </w:div>
                <w:div w:id="1072123238">
                  <w:marLeft w:val="0"/>
                  <w:marRight w:val="0"/>
                  <w:marTop w:val="0"/>
                  <w:marBottom w:val="0"/>
                  <w:divBdr>
                    <w:top w:val="none" w:sz="0" w:space="0" w:color="auto"/>
                    <w:left w:val="none" w:sz="0" w:space="0" w:color="auto"/>
                    <w:bottom w:val="none" w:sz="0" w:space="0" w:color="auto"/>
                    <w:right w:val="none" w:sz="0" w:space="0" w:color="auto"/>
                  </w:divBdr>
                </w:div>
                <w:div w:id="1193572763">
                  <w:marLeft w:val="0"/>
                  <w:marRight w:val="0"/>
                  <w:marTop w:val="0"/>
                  <w:marBottom w:val="0"/>
                  <w:divBdr>
                    <w:top w:val="none" w:sz="0" w:space="0" w:color="auto"/>
                    <w:left w:val="none" w:sz="0" w:space="0" w:color="auto"/>
                    <w:bottom w:val="none" w:sz="0" w:space="0" w:color="auto"/>
                    <w:right w:val="none" w:sz="0" w:space="0" w:color="auto"/>
                  </w:divBdr>
                </w:div>
                <w:div w:id="1322200006">
                  <w:marLeft w:val="0"/>
                  <w:marRight w:val="0"/>
                  <w:marTop w:val="0"/>
                  <w:marBottom w:val="0"/>
                  <w:divBdr>
                    <w:top w:val="none" w:sz="0" w:space="0" w:color="auto"/>
                    <w:left w:val="none" w:sz="0" w:space="0" w:color="auto"/>
                    <w:bottom w:val="none" w:sz="0" w:space="0" w:color="auto"/>
                    <w:right w:val="none" w:sz="0" w:space="0" w:color="auto"/>
                  </w:divBdr>
                </w:div>
                <w:div w:id="1379742973">
                  <w:marLeft w:val="0"/>
                  <w:marRight w:val="0"/>
                  <w:marTop w:val="0"/>
                  <w:marBottom w:val="0"/>
                  <w:divBdr>
                    <w:top w:val="none" w:sz="0" w:space="0" w:color="auto"/>
                    <w:left w:val="none" w:sz="0" w:space="0" w:color="auto"/>
                    <w:bottom w:val="none" w:sz="0" w:space="0" w:color="auto"/>
                    <w:right w:val="none" w:sz="0" w:space="0" w:color="auto"/>
                  </w:divBdr>
                </w:div>
                <w:div w:id="1663511118">
                  <w:marLeft w:val="0"/>
                  <w:marRight w:val="0"/>
                  <w:marTop w:val="0"/>
                  <w:marBottom w:val="0"/>
                  <w:divBdr>
                    <w:top w:val="none" w:sz="0" w:space="0" w:color="auto"/>
                    <w:left w:val="none" w:sz="0" w:space="0" w:color="auto"/>
                    <w:bottom w:val="none" w:sz="0" w:space="0" w:color="auto"/>
                    <w:right w:val="none" w:sz="0" w:space="0" w:color="auto"/>
                  </w:divBdr>
                </w:div>
                <w:div w:id="1734280932">
                  <w:marLeft w:val="0"/>
                  <w:marRight w:val="0"/>
                  <w:marTop w:val="0"/>
                  <w:marBottom w:val="0"/>
                  <w:divBdr>
                    <w:top w:val="none" w:sz="0" w:space="0" w:color="auto"/>
                    <w:left w:val="none" w:sz="0" w:space="0" w:color="auto"/>
                    <w:bottom w:val="none" w:sz="0" w:space="0" w:color="auto"/>
                    <w:right w:val="none" w:sz="0" w:space="0" w:color="auto"/>
                  </w:divBdr>
                </w:div>
                <w:div w:id="1867056109">
                  <w:marLeft w:val="0"/>
                  <w:marRight w:val="0"/>
                  <w:marTop w:val="0"/>
                  <w:marBottom w:val="0"/>
                  <w:divBdr>
                    <w:top w:val="none" w:sz="0" w:space="0" w:color="auto"/>
                    <w:left w:val="none" w:sz="0" w:space="0" w:color="auto"/>
                    <w:bottom w:val="none" w:sz="0" w:space="0" w:color="auto"/>
                    <w:right w:val="none" w:sz="0" w:space="0" w:color="auto"/>
                  </w:divBdr>
                </w:div>
                <w:div w:id="1901667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453527">
      <w:bodyDiv w:val="1"/>
      <w:marLeft w:val="0"/>
      <w:marRight w:val="0"/>
      <w:marTop w:val="0"/>
      <w:marBottom w:val="0"/>
      <w:divBdr>
        <w:top w:val="none" w:sz="0" w:space="0" w:color="auto"/>
        <w:left w:val="none" w:sz="0" w:space="0" w:color="auto"/>
        <w:bottom w:val="none" w:sz="0" w:space="0" w:color="auto"/>
        <w:right w:val="none" w:sz="0" w:space="0" w:color="auto"/>
      </w:divBdr>
      <w:divsChild>
        <w:div w:id="201720464">
          <w:marLeft w:val="0"/>
          <w:marRight w:val="0"/>
          <w:marTop w:val="0"/>
          <w:marBottom w:val="0"/>
          <w:divBdr>
            <w:top w:val="none" w:sz="0" w:space="0" w:color="auto"/>
            <w:left w:val="none" w:sz="0" w:space="0" w:color="auto"/>
            <w:bottom w:val="none" w:sz="0" w:space="0" w:color="auto"/>
            <w:right w:val="none" w:sz="0" w:space="0" w:color="auto"/>
          </w:divBdr>
        </w:div>
        <w:div w:id="621034627">
          <w:marLeft w:val="0"/>
          <w:marRight w:val="0"/>
          <w:marTop w:val="0"/>
          <w:marBottom w:val="0"/>
          <w:divBdr>
            <w:top w:val="none" w:sz="0" w:space="0" w:color="auto"/>
            <w:left w:val="none" w:sz="0" w:space="0" w:color="auto"/>
            <w:bottom w:val="none" w:sz="0" w:space="0" w:color="auto"/>
            <w:right w:val="none" w:sz="0" w:space="0" w:color="auto"/>
          </w:divBdr>
        </w:div>
        <w:div w:id="1749157952">
          <w:marLeft w:val="0"/>
          <w:marRight w:val="0"/>
          <w:marTop w:val="0"/>
          <w:marBottom w:val="0"/>
          <w:divBdr>
            <w:top w:val="none" w:sz="0" w:space="0" w:color="auto"/>
            <w:left w:val="none" w:sz="0" w:space="0" w:color="auto"/>
            <w:bottom w:val="none" w:sz="0" w:space="0" w:color="auto"/>
            <w:right w:val="none" w:sz="0" w:space="0" w:color="auto"/>
          </w:divBdr>
        </w:div>
      </w:divsChild>
    </w:div>
    <w:div w:id="253979944">
      <w:bodyDiv w:val="1"/>
      <w:marLeft w:val="0"/>
      <w:marRight w:val="0"/>
      <w:marTop w:val="0"/>
      <w:marBottom w:val="0"/>
      <w:divBdr>
        <w:top w:val="none" w:sz="0" w:space="0" w:color="auto"/>
        <w:left w:val="none" w:sz="0" w:space="0" w:color="auto"/>
        <w:bottom w:val="none" w:sz="0" w:space="0" w:color="auto"/>
        <w:right w:val="none" w:sz="0" w:space="0" w:color="auto"/>
      </w:divBdr>
      <w:divsChild>
        <w:div w:id="52388441">
          <w:marLeft w:val="0"/>
          <w:marRight w:val="0"/>
          <w:marTop w:val="0"/>
          <w:marBottom w:val="0"/>
          <w:divBdr>
            <w:top w:val="none" w:sz="0" w:space="0" w:color="auto"/>
            <w:left w:val="none" w:sz="0" w:space="0" w:color="auto"/>
            <w:bottom w:val="none" w:sz="0" w:space="0" w:color="auto"/>
            <w:right w:val="none" w:sz="0" w:space="0" w:color="auto"/>
          </w:divBdr>
        </w:div>
        <w:div w:id="127208522">
          <w:marLeft w:val="0"/>
          <w:marRight w:val="0"/>
          <w:marTop w:val="0"/>
          <w:marBottom w:val="0"/>
          <w:divBdr>
            <w:top w:val="none" w:sz="0" w:space="0" w:color="auto"/>
            <w:left w:val="none" w:sz="0" w:space="0" w:color="auto"/>
            <w:bottom w:val="none" w:sz="0" w:space="0" w:color="auto"/>
            <w:right w:val="none" w:sz="0" w:space="0" w:color="auto"/>
          </w:divBdr>
        </w:div>
        <w:div w:id="628631161">
          <w:marLeft w:val="0"/>
          <w:marRight w:val="0"/>
          <w:marTop w:val="0"/>
          <w:marBottom w:val="0"/>
          <w:divBdr>
            <w:top w:val="none" w:sz="0" w:space="0" w:color="auto"/>
            <w:left w:val="none" w:sz="0" w:space="0" w:color="auto"/>
            <w:bottom w:val="none" w:sz="0" w:space="0" w:color="auto"/>
            <w:right w:val="none" w:sz="0" w:space="0" w:color="auto"/>
          </w:divBdr>
        </w:div>
      </w:divsChild>
    </w:div>
    <w:div w:id="284965828">
      <w:bodyDiv w:val="1"/>
      <w:marLeft w:val="0"/>
      <w:marRight w:val="0"/>
      <w:marTop w:val="0"/>
      <w:marBottom w:val="0"/>
      <w:divBdr>
        <w:top w:val="none" w:sz="0" w:space="0" w:color="auto"/>
        <w:left w:val="none" w:sz="0" w:space="0" w:color="auto"/>
        <w:bottom w:val="none" w:sz="0" w:space="0" w:color="auto"/>
        <w:right w:val="none" w:sz="0" w:space="0" w:color="auto"/>
      </w:divBdr>
      <w:divsChild>
        <w:div w:id="1032002207">
          <w:marLeft w:val="0"/>
          <w:marRight w:val="0"/>
          <w:marTop w:val="0"/>
          <w:marBottom w:val="0"/>
          <w:divBdr>
            <w:top w:val="none" w:sz="0" w:space="0" w:color="auto"/>
            <w:left w:val="none" w:sz="0" w:space="0" w:color="auto"/>
            <w:bottom w:val="none" w:sz="0" w:space="0" w:color="auto"/>
            <w:right w:val="none" w:sz="0" w:space="0" w:color="auto"/>
          </w:divBdr>
        </w:div>
        <w:div w:id="1280260435">
          <w:marLeft w:val="0"/>
          <w:marRight w:val="0"/>
          <w:marTop w:val="0"/>
          <w:marBottom w:val="0"/>
          <w:divBdr>
            <w:top w:val="none" w:sz="0" w:space="0" w:color="auto"/>
            <w:left w:val="none" w:sz="0" w:space="0" w:color="auto"/>
            <w:bottom w:val="none" w:sz="0" w:space="0" w:color="auto"/>
            <w:right w:val="none" w:sz="0" w:space="0" w:color="auto"/>
          </w:divBdr>
        </w:div>
        <w:div w:id="1424689702">
          <w:marLeft w:val="0"/>
          <w:marRight w:val="0"/>
          <w:marTop w:val="0"/>
          <w:marBottom w:val="0"/>
          <w:divBdr>
            <w:top w:val="none" w:sz="0" w:space="0" w:color="auto"/>
            <w:left w:val="none" w:sz="0" w:space="0" w:color="auto"/>
            <w:bottom w:val="none" w:sz="0" w:space="0" w:color="auto"/>
            <w:right w:val="none" w:sz="0" w:space="0" w:color="auto"/>
          </w:divBdr>
        </w:div>
        <w:div w:id="1822043279">
          <w:marLeft w:val="0"/>
          <w:marRight w:val="0"/>
          <w:marTop w:val="0"/>
          <w:marBottom w:val="0"/>
          <w:divBdr>
            <w:top w:val="none" w:sz="0" w:space="0" w:color="auto"/>
            <w:left w:val="none" w:sz="0" w:space="0" w:color="auto"/>
            <w:bottom w:val="none" w:sz="0" w:space="0" w:color="auto"/>
            <w:right w:val="none" w:sz="0" w:space="0" w:color="auto"/>
          </w:divBdr>
        </w:div>
      </w:divsChild>
    </w:div>
    <w:div w:id="336885541">
      <w:bodyDiv w:val="1"/>
      <w:marLeft w:val="0"/>
      <w:marRight w:val="0"/>
      <w:marTop w:val="0"/>
      <w:marBottom w:val="0"/>
      <w:divBdr>
        <w:top w:val="none" w:sz="0" w:space="0" w:color="auto"/>
        <w:left w:val="none" w:sz="0" w:space="0" w:color="auto"/>
        <w:bottom w:val="none" w:sz="0" w:space="0" w:color="auto"/>
        <w:right w:val="none" w:sz="0" w:space="0" w:color="auto"/>
      </w:divBdr>
      <w:divsChild>
        <w:div w:id="113795770">
          <w:marLeft w:val="0"/>
          <w:marRight w:val="0"/>
          <w:marTop w:val="0"/>
          <w:marBottom w:val="0"/>
          <w:divBdr>
            <w:top w:val="none" w:sz="0" w:space="0" w:color="auto"/>
            <w:left w:val="none" w:sz="0" w:space="0" w:color="auto"/>
            <w:bottom w:val="none" w:sz="0" w:space="0" w:color="auto"/>
            <w:right w:val="none" w:sz="0" w:space="0" w:color="auto"/>
          </w:divBdr>
        </w:div>
        <w:div w:id="214971927">
          <w:marLeft w:val="0"/>
          <w:marRight w:val="0"/>
          <w:marTop w:val="0"/>
          <w:marBottom w:val="0"/>
          <w:divBdr>
            <w:top w:val="none" w:sz="0" w:space="0" w:color="auto"/>
            <w:left w:val="none" w:sz="0" w:space="0" w:color="auto"/>
            <w:bottom w:val="none" w:sz="0" w:space="0" w:color="auto"/>
            <w:right w:val="none" w:sz="0" w:space="0" w:color="auto"/>
          </w:divBdr>
        </w:div>
        <w:div w:id="310599421">
          <w:marLeft w:val="0"/>
          <w:marRight w:val="0"/>
          <w:marTop w:val="0"/>
          <w:marBottom w:val="0"/>
          <w:divBdr>
            <w:top w:val="none" w:sz="0" w:space="0" w:color="auto"/>
            <w:left w:val="none" w:sz="0" w:space="0" w:color="auto"/>
            <w:bottom w:val="none" w:sz="0" w:space="0" w:color="auto"/>
            <w:right w:val="none" w:sz="0" w:space="0" w:color="auto"/>
          </w:divBdr>
        </w:div>
        <w:div w:id="320894164">
          <w:marLeft w:val="0"/>
          <w:marRight w:val="0"/>
          <w:marTop w:val="0"/>
          <w:marBottom w:val="0"/>
          <w:divBdr>
            <w:top w:val="none" w:sz="0" w:space="0" w:color="auto"/>
            <w:left w:val="none" w:sz="0" w:space="0" w:color="auto"/>
            <w:bottom w:val="none" w:sz="0" w:space="0" w:color="auto"/>
            <w:right w:val="none" w:sz="0" w:space="0" w:color="auto"/>
          </w:divBdr>
        </w:div>
        <w:div w:id="429591262">
          <w:marLeft w:val="0"/>
          <w:marRight w:val="0"/>
          <w:marTop w:val="0"/>
          <w:marBottom w:val="0"/>
          <w:divBdr>
            <w:top w:val="none" w:sz="0" w:space="0" w:color="auto"/>
            <w:left w:val="none" w:sz="0" w:space="0" w:color="auto"/>
            <w:bottom w:val="none" w:sz="0" w:space="0" w:color="auto"/>
            <w:right w:val="none" w:sz="0" w:space="0" w:color="auto"/>
          </w:divBdr>
        </w:div>
        <w:div w:id="440878392">
          <w:marLeft w:val="0"/>
          <w:marRight w:val="0"/>
          <w:marTop w:val="0"/>
          <w:marBottom w:val="0"/>
          <w:divBdr>
            <w:top w:val="none" w:sz="0" w:space="0" w:color="auto"/>
            <w:left w:val="none" w:sz="0" w:space="0" w:color="auto"/>
            <w:bottom w:val="none" w:sz="0" w:space="0" w:color="auto"/>
            <w:right w:val="none" w:sz="0" w:space="0" w:color="auto"/>
          </w:divBdr>
        </w:div>
        <w:div w:id="454713860">
          <w:marLeft w:val="0"/>
          <w:marRight w:val="0"/>
          <w:marTop w:val="0"/>
          <w:marBottom w:val="0"/>
          <w:divBdr>
            <w:top w:val="none" w:sz="0" w:space="0" w:color="auto"/>
            <w:left w:val="none" w:sz="0" w:space="0" w:color="auto"/>
            <w:bottom w:val="none" w:sz="0" w:space="0" w:color="auto"/>
            <w:right w:val="none" w:sz="0" w:space="0" w:color="auto"/>
          </w:divBdr>
        </w:div>
        <w:div w:id="539365029">
          <w:marLeft w:val="0"/>
          <w:marRight w:val="0"/>
          <w:marTop w:val="0"/>
          <w:marBottom w:val="0"/>
          <w:divBdr>
            <w:top w:val="none" w:sz="0" w:space="0" w:color="auto"/>
            <w:left w:val="none" w:sz="0" w:space="0" w:color="auto"/>
            <w:bottom w:val="none" w:sz="0" w:space="0" w:color="auto"/>
            <w:right w:val="none" w:sz="0" w:space="0" w:color="auto"/>
          </w:divBdr>
        </w:div>
        <w:div w:id="540441367">
          <w:marLeft w:val="0"/>
          <w:marRight w:val="0"/>
          <w:marTop w:val="0"/>
          <w:marBottom w:val="0"/>
          <w:divBdr>
            <w:top w:val="none" w:sz="0" w:space="0" w:color="auto"/>
            <w:left w:val="none" w:sz="0" w:space="0" w:color="auto"/>
            <w:bottom w:val="none" w:sz="0" w:space="0" w:color="auto"/>
            <w:right w:val="none" w:sz="0" w:space="0" w:color="auto"/>
          </w:divBdr>
        </w:div>
        <w:div w:id="560678887">
          <w:marLeft w:val="0"/>
          <w:marRight w:val="0"/>
          <w:marTop w:val="0"/>
          <w:marBottom w:val="0"/>
          <w:divBdr>
            <w:top w:val="none" w:sz="0" w:space="0" w:color="auto"/>
            <w:left w:val="none" w:sz="0" w:space="0" w:color="auto"/>
            <w:bottom w:val="none" w:sz="0" w:space="0" w:color="auto"/>
            <w:right w:val="none" w:sz="0" w:space="0" w:color="auto"/>
          </w:divBdr>
        </w:div>
        <w:div w:id="598367203">
          <w:marLeft w:val="0"/>
          <w:marRight w:val="0"/>
          <w:marTop w:val="0"/>
          <w:marBottom w:val="0"/>
          <w:divBdr>
            <w:top w:val="none" w:sz="0" w:space="0" w:color="auto"/>
            <w:left w:val="none" w:sz="0" w:space="0" w:color="auto"/>
            <w:bottom w:val="none" w:sz="0" w:space="0" w:color="auto"/>
            <w:right w:val="none" w:sz="0" w:space="0" w:color="auto"/>
          </w:divBdr>
        </w:div>
        <w:div w:id="682979644">
          <w:marLeft w:val="0"/>
          <w:marRight w:val="0"/>
          <w:marTop w:val="0"/>
          <w:marBottom w:val="0"/>
          <w:divBdr>
            <w:top w:val="none" w:sz="0" w:space="0" w:color="auto"/>
            <w:left w:val="none" w:sz="0" w:space="0" w:color="auto"/>
            <w:bottom w:val="none" w:sz="0" w:space="0" w:color="auto"/>
            <w:right w:val="none" w:sz="0" w:space="0" w:color="auto"/>
          </w:divBdr>
        </w:div>
        <w:div w:id="746458198">
          <w:marLeft w:val="0"/>
          <w:marRight w:val="0"/>
          <w:marTop w:val="0"/>
          <w:marBottom w:val="0"/>
          <w:divBdr>
            <w:top w:val="none" w:sz="0" w:space="0" w:color="auto"/>
            <w:left w:val="none" w:sz="0" w:space="0" w:color="auto"/>
            <w:bottom w:val="none" w:sz="0" w:space="0" w:color="auto"/>
            <w:right w:val="none" w:sz="0" w:space="0" w:color="auto"/>
          </w:divBdr>
        </w:div>
        <w:div w:id="791484856">
          <w:marLeft w:val="0"/>
          <w:marRight w:val="0"/>
          <w:marTop w:val="0"/>
          <w:marBottom w:val="0"/>
          <w:divBdr>
            <w:top w:val="none" w:sz="0" w:space="0" w:color="auto"/>
            <w:left w:val="none" w:sz="0" w:space="0" w:color="auto"/>
            <w:bottom w:val="none" w:sz="0" w:space="0" w:color="auto"/>
            <w:right w:val="none" w:sz="0" w:space="0" w:color="auto"/>
          </w:divBdr>
        </w:div>
        <w:div w:id="915169642">
          <w:marLeft w:val="0"/>
          <w:marRight w:val="0"/>
          <w:marTop w:val="0"/>
          <w:marBottom w:val="0"/>
          <w:divBdr>
            <w:top w:val="none" w:sz="0" w:space="0" w:color="auto"/>
            <w:left w:val="none" w:sz="0" w:space="0" w:color="auto"/>
            <w:bottom w:val="none" w:sz="0" w:space="0" w:color="auto"/>
            <w:right w:val="none" w:sz="0" w:space="0" w:color="auto"/>
          </w:divBdr>
        </w:div>
        <w:div w:id="917792348">
          <w:marLeft w:val="0"/>
          <w:marRight w:val="0"/>
          <w:marTop w:val="0"/>
          <w:marBottom w:val="0"/>
          <w:divBdr>
            <w:top w:val="none" w:sz="0" w:space="0" w:color="auto"/>
            <w:left w:val="none" w:sz="0" w:space="0" w:color="auto"/>
            <w:bottom w:val="none" w:sz="0" w:space="0" w:color="auto"/>
            <w:right w:val="none" w:sz="0" w:space="0" w:color="auto"/>
          </w:divBdr>
        </w:div>
        <w:div w:id="951937577">
          <w:marLeft w:val="0"/>
          <w:marRight w:val="0"/>
          <w:marTop w:val="0"/>
          <w:marBottom w:val="0"/>
          <w:divBdr>
            <w:top w:val="none" w:sz="0" w:space="0" w:color="auto"/>
            <w:left w:val="none" w:sz="0" w:space="0" w:color="auto"/>
            <w:bottom w:val="none" w:sz="0" w:space="0" w:color="auto"/>
            <w:right w:val="none" w:sz="0" w:space="0" w:color="auto"/>
          </w:divBdr>
        </w:div>
        <w:div w:id="1075476456">
          <w:marLeft w:val="0"/>
          <w:marRight w:val="0"/>
          <w:marTop w:val="0"/>
          <w:marBottom w:val="0"/>
          <w:divBdr>
            <w:top w:val="none" w:sz="0" w:space="0" w:color="auto"/>
            <w:left w:val="none" w:sz="0" w:space="0" w:color="auto"/>
            <w:bottom w:val="none" w:sz="0" w:space="0" w:color="auto"/>
            <w:right w:val="none" w:sz="0" w:space="0" w:color="auto"/>
          </w:divBdr>
        </w:div>
        <w:div w:id="1146627916">
          <w:marLeft w:val="0"/>
          <w:marRight w:val="0"/>
          <w:marTop w:val="0"/>
          <w:marBottom w:val="0"/>
          <w:divBdr>
            <w:top w:val="none" w:sz="0" w:space="0" w:color="auto"/>
            <w:left w:val="none" w:sz="0" w:space="0" w:color="auto"/>
            <w:bottom w:val="none" w:sz="0" w:space="0" w:color="auto"/>
            <w:right w:val="none" w:sz="0" w:space="0" w:color="auto"/>
          </w:divBdr>
        </w:div>
        <w:div w:id="1198860254">
          <w:marLeft w:val="0"/>
          <w:marRight w:val="0"/>
          <w:marTop w:val="0"/>
          <w:marBottom w:val="0"/>
          <w:divBdr>
            <w:top w:val="none" w:sz="0" w:space="0" w:color="auto"/>
            <w:left w:val="none" w:sz="0" w:space="0" w:color="auto"/>
            <w:bottom w:val="none" w:sz="0" w:space="0" w:color="auto"/>
            <w:right w:val="none" w:sz="0" w:space="0" w:color="auto"/>
          </w:divBdr>
        </w:div>
        <w:div w:id="1217669659">
          <w:marLeft w:val="0"/>
          <w:marRight w:val="0"/>
          <w:marTop w:val="0"/>
          <w:marBottom w:val="0"/>
          <w:divBdr>
            <w:top w:val="none" w:sz="0" w:space="0" w:color="auto"/>
            <w:left w:val="none" w:sz="0" w:space="0" w:color="auto"/>
            <w:bottom w:val="none" w:sz="0" w:space="0" w:color="auto"/>
            <w:right w:val="none" w:sz="0" w:space="0" w:color="auto"/>
          </w:divBdr>
        </w:div>
        <w:div w:id="1235240695">
          <w:marLeft w:val="0"/>
          <w:marRight w:val="0"/>
          <w:marTop w:val="0"/>
          <w:marBottom w:val="0"/>
          <w:divBdr>
            <w:top w:val="none" w:sz="0" w:space="0" w:color="auto"/>
            <w:left w:val="none" w:sz="0" w:space="0" w:color="auto"/>
            <w:bottom w:val="none" w:sz="0" w:space="0" w:color="auto"/>
            <w:right w:val="none" w:sz="0" w:space="0" w:color="auto"/>
          </w:divBdr>
        </w:div>
        <w:div w:id="1282802145">
          <w:marLeft w:val="0"/>
          <w:marRight w:val="0"/>
          <w:marTop w:val="0"/>
          <w:marBottom w:val="0"/>
          <w:divBdr>
            <w:top w:val="none" w:sz="0" w:space="0" w:color="auto"/>
            <w:left w:val="none" w:sz="0" w:space="0" w:color="auto"/>
            <w:bottom w:val="none" w:sz="0" w:space="0" w:color="auto"/>
            <w:right w:val="none" w:sz="0" w:space="0" w:color="auto"/>
          </w:divBdr>
        </w:div>
        <w:div w:id="1428501023">
          <w:marLeft w:val="0"/>
          <w:marRight w:val="0"/>
          <w:marTop w:val="0"/>
          <w:marBottom w:val="0"/>
          <w:divBdr>
            <w:top w:val="none" w:sz="0" w:space="0" w:color="auto"/>
            <w:left w:val="none" w:sz="0" w:space="0" w:color="auto"/>
            <w:bottom w:val="none" w:sz="0" w:space="0" w:color="auto"/>
            <w:right w:val="none" w:sz="0" w:space="0" w:color="auto"/>
          </w:divBdr>
        </w:div>
        <w:div w:id="1527328183">
          <w:marLeft w:val="0"/>
          <w:marRight w:val="0"/>
          <w:marTop w:val="0"/>
          <w:marBottom w:val="0"/>
          <w:divBdr>
            <w:top w:val="none" w:sz="0" w:space="0" w:color="auto"/>
            <w:left w:val="none" w:sz="0" w:space="0" w:color="auto"/>
            <w:bottom w:val="none" w:sz="0" w:space="0" w:color="auto"/>
            <w:right w:val="none" w:sz="0" w:space="0" w:color="auto"/>
          </w:divBdr>
        </w:div>
        <w:div w:id="1574463800">
          <w:marLeft w:val="0"/>
          <w:marRight w:val="0"/>
          <w:marTop w:val="0"/>
          <w:marBottom w:val="0"/>
          <w:divBdr>
            <w:top w:val="none" w:sz="0" w:space="0" w:color="auto"/>
            <w:left w:val="none" w:sz="0" w:space="0" w:color="auto"/>
            <w:bottom w:val="none" w:sz="0" w:space="0" w:color="auto"/>
            <w:right w:val="none" w:sz="0" w:space="0" w:color="auto"/>
          </w:divBdr>
        </w:div>
        <w:div w:id="1581987716">
          <w:marLeft w:val="0"/>
          <w:marRight w:val="0"/>
          <w:marTop w:val="0"/>
          <w:marBottom w:val="0"/>
          <w:divBdr>
            <w:top w:val="none" w:sz="0" w:space="0" w:color="auto"/>
            <w:left w:val="none" w:sz="0" w:space="0" w:color="auto"/>
            <w:bottom w:val="none" w:sz="0" w:space="0" w:color="auto"/>
            <w:right w:val="none" w:sz="0" w:space="0" w:color="auto"/>
          </w:divBdr>
        </w:div>
        <w:div w:id="1612663602">
          <w:marLeft w:val="0"/>
          <w:marRight w:val="0"/>
          <w:marTop w:val="0"/>
          <w:marBottom w:val="0"/>
          <w:divBdr>
            <w:top w:val="none" w:sz="0" w:space="0" w:color="auto"/>
            <w:left w:val="none" w:sz="0" w:space="0" w:color="auto"/>
            <w:bottom w:val="none" w:sz="0" w:space="0" w:color="auto"/>
            <w:right w:val="none" w:sz="0" w:space="0" w:color="auto"/>
          </w:divBdr>
        </w:div>
        <w:div w:id="1690443876">
          <w:marLeft w:val="0"/>
          <w:marRight w:val="0"/>
          <w:marTop w:val="0"/>
          <w:marBottom w:val="0"/>
          <w:divBdr>
            <w:top w:val="none" w:sz="0" w:space="0" w:color="auto"/>
            <w:left w:val="none" w:sz="0" w:space="0" w:color="auto"/>
            <w:bottom w:val="none" w:sz="0" w:space="0" w:color="auto"/>
            <w:right w:val="none" w:sz="0" w:space="0" w:color="auto"/>
          </w:divBdr>
        </w:div>
        <w:div w:id="1804033330">
          <w:marLeft w:val="0"/>
          <w:marRight w:val="0"/>
          <w:marTop w:val="0"/>
          <w:marBottom w:val="0"/>
          <w:divBdr>
            <w:top w:val="none" w:sz="0" w:space="0" w:color="auto"/>
            <w:left w:val="none" w:sz="0" w:space="0" w:color="auto"/>
            <w:bottom w:val="none" w:sz="0" w:space="0" w:color="auto"/>
            <w:right w:val="none" w:sz="0" w:space="0" w:color="auto"/>
          </w:divBdr>
        </w:div>
        <w:div w:id="1836650904">
          <w:marLeft w:val="0"/>
          <w:marRight w:val="0"/>
          <w:marTop w:val="0"/>
          <w:marBottom w:val="0"/>
          <w:divBdr>
            <w:top w:val="none" w:sz="0" w:space="0" w:color="auto"/>
            <w:left w:val="none" w:sz="0" w:space="0" w:color="auto"/>
            <w:bottom w:val="none" w:sz="0" w:space="0" w:color="auto"/>
            <w:right w:val="none" w:sz="0" w:space="0" w:color="auto"/>
          </w:divBdr>
        </w:div>
        <w:div w:id="1963490527">
          <w:marLeft w:val="0"/>
          <w:marRight w:val="0"/>
          <w:marTop w:val="0"/>
          <w:marBottom w:val="0"/>
          <w:divBdr>
            <w:top w:val="none" w:sz="0" w:space="0" w:color="auto"/>
            <w:left w:val="none" w:sz="0" w:space="0" w:color="auto"/>
            <w:bottom w:val="none" w:sz="0" w:space="0" w:color="auto"/>
            <w:right w:val="none" w:sz="0" w:space="0" w:color="auto"/>
          </w:divBdr>
        </w:div>
        <w:div w:id="2020230986">
          <w:marLeft w:val="0"/>
          <w:marRight w:val="0"/>
          <w:marTop w:val="0"/>
          <w:marBottom w:val="0"/>
          <w:divBdr>
            <w:top w:val="none" w:sz="0" w:space="0" w:color="auto"/>
            <w:left w:val="none" w:sz="0" w:space="0" w:color="auto"/>
            <w:bottom w:val="none" w:sz="0" w:space="0" w:color="auto"/>
            <w:right w:val="none" w:sz="0" w:space="0" w:color="auto"/>
          </w:divBdr>
        </w:div>
        <w:div w:id="2024672863">
          <w:marLeft w:val="0"/>
          <w:marRight w:val="0"/>
          <w:marTop w:val="0"/>
          <w:marBottom w:val="0"/>
          <w:divBdr>
            <w:top w:val="none" w:sz="0" w:space="0" w:color="auto"/>
            <w:left w:val="none" w:sz="0" w:space="0" w:color="auto"/>
            <w:bottom w:val="none" w:sz="0" w:space="0" w:color="auto"/>
            <w:right w:val="none" w:sz="0" w:space="0" w:color="auto"/>
          </w:divBdr>
        </w:div>
        <w:div w:id="2089762719">
          <w:marLeft w:val="0"/>
          <w:marRight w:val="0"/>
          <w:marTop w:val="0"/>
          <w:marBottom w:val="0"/>
          <w:divBdr>
            <w:top w:val="none" w:sz="0" w:space="0" w:color="auto"/>
            <w:left w:val="none" w:sz="0" w:space="0" w:color="auto"/>
            <w:bottom w:val="none" w:sz="0" w:space="0" w:color="auto"/>
            <w:right w:val="none" w:sz="0" w:space="0" w:color="auto"/>
          </w:divBdr>
        </w:div>
        <w:div w:id="2102215295">
          <w:marLeft w:val="0"/>
          <w:marRight w:val="0"/>
          <w:marTop w:val="0"/>
          <w:marBottom w:val="0"/>
          <w:divBdr>
            <w:top w:val="none" w:sz="0" w:space="0" w:color="auto"/>
            <w:left w:val="none" w:sz="0" w:space="0" w:color="auto"/>
            <w:bottom w:val="none" w:sz="0" w:space="0" w:color="auto"/>
            <w:right w:val="none" w:sz="0" w:space="0" w:color="auto"/>
          </w:divBdr>
        </w:div>
      </w:divsChild>
    </w:div>
    <w:div w:id="405035111">
      <w:bodyDiv w:val="1"/>
      <w:marLeft w:val="0"/>
      <w:marRight w:val="0"/>
      <w:marTop w:val="0"/>
      <w:marBottom w:val="0"/>
      <w:divBdr>
        <w:top w:val="none" w:sz="0" w:space="0" w:color="auto"/>
        <w:left w:val="none" w:sz="0" w:space="0" w:color="auto"/>
        <w:bottom w:val="none" w:sz="0" w:space="0" w:color="auto"/>
        <w:right w:val="none" w:sz="0" w:space="0" w:color="auto"/>
      </w:divBdr>
      <w:divsChild>
        <w:div w:id="182861462">
          <w:marLeft w:val="0"/>
          <w:marRight w:val="0"/>
          <w:marTop w:val="0"/>
          <w:marBottom w:val="0"/>
          <w:divBdr>
            <w:top w:val="none" w:sz="0" w:space="0" w:color="auto"/>
            <w:left w:val="none" w:sz="0" w:space="0" w:color="auto"/>
            <w:bottom w:val="none" w:sz="0" w:space="0" w:color="auto"/>
            <w:right w:val="none" w:sz="0" w:space="0" w:color="auto"/>
          </w:divBdr>
        </w:div>
        <w:div w:id="457069738">
          <w:marLeft w:val="0"/>
          <w:marRight w:val="0"/>
          <w:marTop w:val="0"/>
          <w:marBottom w:val="0"/>
          <w:divBdr>
            <w:top w:val="none" w:sz="0" w:space="0" w:color="auto"/>
            <w:left w:val="none" w:sz="0" w:space="0" w:color="auto"/>
            <w:bottom w:val="none" w:sz="0" w:space="0" w:color="auto"/>
            <w:right w:val="none" w:sz="0" w:space="0" w:color="auto"/>
          </w:divBdr>
        </w:div>
        <w:div w:id="620039483">
          <w:marLeft w:val="0"/>
          <w:marRight w:val="0"/>
          <w:marTop w:val="0"/>
          <w:marBottom w:val="0"/>
          <w:divBdr>
            <w:top w:val="none" w:sz="0" w:space="0" w:color="auto"/>
            <w:left w:val="none" w:sz="0" w:space="0" w:color="auto"/>
            <w:bottom w:val="none" w:sz="0" w:space="0" w:color="auto"/>
            <w:right w:val="none" w:sz="0" w:space="0" w:color="auto"/>
          </w:divBdr>
        </w:div>
        <w:div w:id="1401714933">
          <w:marLeft w:val="0"/>
          <w:marRight w:val="0"/>
          <w:marTop w:val="0"/>
          <w:marBottom w:val="0"/>
          <w:divBdr>
            <w:top w:val="none" w:sz="0" w:space="0" w:color="auto"/>
            <w:left w:val="none" w:sz="0" w:space="0" w:color="auto"/>
            <w:bottom w:val="none" w:sz="0" w:space="0" w:color="auto"/>
            <w:right w:val="none" w:sz="0" w:space="0" w:color="auto"/>
          </w:divBdr>
        </w:div>
      </w:divsChild>
    </w:div>
    <w:div w:id="410857496">
      <w:bodyDiv w:val="1"/>
      <w:marLeft w:val="0"/>
      <w:marRight w:val="0"/>
      <w:marTop w:val="0"/>
      <w:marBottom w:val="0"/>
      <w:divBdr>
        <w:top w:val="none" w:sz="0" w:space="0" w:color="auto"/>
        <w:left w:val="none" w:sz="0" w:space="0" w:color="auto"/>
        <w:bottom w:val="none" w:sz="0" w:space="0" w:color="auto"/>
        <w:right w:val="none" w:sz="0" w:space="0" w:color="auto"/>
      </w:divBdr>
      <w:divsChild>
        <w:div w:id="2049599289">
          <w:marLeft w:val="0"/>
          <w:marRight w:val="0"/>
          <w:marTop w:val="15"/>
          <w:marBottom w:val="0"/>
          <w:divBdr>
            <w:top w:val="none" w:sz="0" w:space="0" w:color="auto"/>
            <w:left w:val="none" w:sz="0" w:space="0" w:color="auto"/>
            <w:bottom w:val="none" w:sz="0" w:space="0" w:color="auto"/>
            <w:right w:val="none" w:sz="0" w:space="0" w:color="auto"/>
          </w:divBdr>
          <w:divsChild>
            <w:div w:id="87505477">
              <w:marLeft w:val="0"/>
              <w:marRight w:val="0"/>
              <w:marTop w:val="0"/>
              <w:marBottom w:val="0"/>
              <w:divBdr>
                <w:top w:val="none" w:sz="0" w:space="0" w:color="auto"/>
                <w:left w:val="none" w:sz="0" w:space="0" w:color="auto"/>
                <w:bottom w:val="none" w:sz="0" w:space="0" w:color="auto"/>
                <w:right w:val="none" w:sz="0" w:space="0" w:color="auto"/>
              </w:divBdr>
              <w:divsChild>
                <w:div w:id="537202028">
                  <w:marLeft w:val="0"/>
                  <w:marRight w:val="0"/>
                  <w:marTop w:val="0"/>
                  <w:marBottom w:val="0"/>
                  <w:divBdr>
                    <w:top w:val="none" w:sz="0" w:space="0" w:color="auto"/>
                    <w:left w:val="none" w:sz="0" w:space="0" w:color="auto"/>
                    <w:bottom w:val="none" w:sz="0" w:space="0" w:color="auto"/>
                    <w:right w:val="none" w:sz="0" w:space="0" w:color="auto"/>
                  </w:divBdr>
                </w:div>
                <w:div w:id="608244288">
                  <w:marLeft w:val="0"/>
                  <w:marRight w:val="0"/>
                  <w:marTop w:val="0"/>
                  <w:marBottom w:val="0"/>
                  <w:divBdr>
                    <w:top w:val="none" w:sz="0" w:space="0" w:color="auto"/>
                    <w:left w:val="none" w:sz="0" w:space="0" w:color="auto"/>
                    <w:bottom w:val="none" w:sz="0" w:space="0" w:color="auto"/>
                    <w:right w:val="none" w:sz="0" w:space="0" w:color="auto"/>
                  </w:divBdr>
                </w:div>
                <w:div w:id="829710389">
                  <w:marLeft w:val="0"/>
                  <w:marRight w:val="0"/>
                  <w:marTop w:val="0"/>
                  <w:marBottom w:val="0"/>
                  <w:divBdr>
                    <w:top w:val="none" w:sz="0" w:space="0" w:color="auto"/>
                    <w:left w:val="none" w:sz="0" w:space="0" w:color="auto"/>
                    <w:bottom w:val="none" w:sz="0" w:space="0" w:color="auto"/>
                    <w:right w:val="none" w:sz="0" w:space="0" w:color="auto"/>
                  </w:divBdr>
                </w:div>
                <w:div w:id="1008295269">
                  <w:marLeft w:val="0"/>
                  <w:marRight w:val="0"/>
                  <w:marTop w:val="0"/>
                  <w:marBottom w:val="0"/>
                  <w:divBdr>
                    <w:top w:val="none" w:sz="0" w:space="0" w:color="auto"/>
                    <w:left w:val="none" w:sz="0" w:space="0" w:color="auto"/>
                    <w:bottom w:val="none" w:sz="0" w:space="0" w:color="auto"/>
                    <w:right w:val="none" w:sz="0" w:space="0" w:color="auto"/>
                  </w:divBdr>
                </w:div>
                <w:div w:id="1229925880">
                  <w:marLeft w:val="0"/>
                  <w:marRight w:val="0"/>
                  <w:marTop w:val="0"/>
                  <w:marBottom w:val="0"/>
                  <w:divBdr>
                    <w:top w:val="none" w:sz="0" w:space="0" w:color="auto"/>
                    <w:left w:val="none" w:sz="0" w:space="0" w:color="auto"/>
                    <w:bottom w:val="none" w:sz="0" w:space="0" w:color="auto"/>
                    <w:right w:val="none" w:sz="0" w:space="0" w:color="auto"/>
                  </w:divBdr>
                </w:div>
                <w:div w:id="1246262586">
                  <w:marLeft w:val="0"/>
                  <w:marRight w:val="0"/>
                  <w:marTop w:val="0"/>
                  <w:marBottom w:val="0"/>
                  <w:divBdr>
                    <w:top w:val="none" w:sz="0" w:space="0" w:color="auto"/>
                    <w:left w:val="none" w:sz="0" w:space="0" w:color="auto"/>
                    <w:bottom w:val="none" w:sz="0" w:space="0" w:color="auto"/>
                    <w:right w:val="none" w:sz="0" w:space="0" w:color="auto"/>
                  </w:divBdr>
                </w:div>
                <w:div w:id="1534348079">
                  <w:marLeft w:val="0"/>
                  <w:marRight w:val="0"/>
                  <w:marTop w:val="0"/>
                  <w:marBottom w:val="0"/>
                  <w:divBdr>
                    <w:top w:val="none" w:sz="0" w:space="0" w:color="auto"/>
                    <w:left w:val="none" w:sz="0" w:space="0" w:color="auto"/>
                    <w:bottom w:val="none" w:sz="0" w:space="0" w:color="auto"/>
                    <w:right w:val="none" w:sz="0" w:space="0" w:color="auto"/>
                  </w:divBdr>
                </w:div>
                <w:div w:id="1557088324">
                  <w:marLeft w:val="0"/>
                  <w:marRight w:val="0"/>
                  <w:marTop w:val="0"/>
                  <w:marBottom w:val="0"/>
                  <w:divBdr>
                    <w:top w:val="none" w:sz="0" w:space="0" w:color="auto"/>
                    <w:left w:val="none" w:sz="0" w:space="0" w:color="auto"/>
                    <w:bottom w:val="none" w:sz="0" w:space="0" w:color="auto"/>
                    <w:right w:val="none" w:sz="0" w:space="0" w:color="auto"/>
                  </w:divBdr>
                </w:div>
                <w:div w:id="1560945122">
                  <w:marLeft w:val="0"/>
                  <w:marRight w:val="0"/>
                  <w:marTop w:val="0"/>
                  <w:marBottom w:val="0"/>
                  <w:divBdr>
                    <w:top w:val="none" w:sz="0" w:space="0" w:color="auto"/>
                    <w:left w:val="none" w:sz="0" w:space="0" w:color="auto"/>
                    <w:bottom w:val="none" w:sz="0" w:space="0" w:color="auto"/>
                    <w:right w:val="none" w:sz="0" w:space="0" w:color="auto"/>
                  </w:divBdr>
                </w:div>
                <w:div w:id="1601454611">
                  <w:marLeft w:val="0"/>
                  <w:marRight w:val="0"/>
                  <w:marTop w:val="0"/>
                  <w:marBottom w:val="0"/>
                  <w:divBdr>
                    <w:top w:val="none" w:sz="0" w:space="0" w:color="auto"/>
                    <w:left w:val="none" w:sz="0" w:space="0" w:color="auto"/>
                    <w:bottom w:val="none" w:sz="0" w:space="0" w:color="auto"/>
                    <w:right w:val="none" w:sz="0" w:space="0" w:color="auto"/>
                  </w:divBdr>
                </w:div>
                <w:div w:id="1631595176">
                  <w:marLeft w:val="0"/>
                  <w:marRight w:val="0"/>
                  <w:marTop w:val="0"/>
                  <w:marBottom w:val="0"/>
                  <w:divBdr>
                    <w:top w:val="none" w:sz="0" w:space="0" w:color="auto"/>
                    <w:left w:val="none" w:sz="0" w:space="0" w:color="auto"/>
                    <w:bottom w:val="none" w:sz="0" w:space="0" w:color="auto"/>
                    <w:right w:val="none" w:sz="0" w:space="0" w:color="auto"/>
                  </w:divBdr>
                </w:div>
                <w:div w:id="1917207906">
                  <w:marLeft w:val="0"/>
                  <w:marRight w:val="0"/>
                  <w:marTop w:val="0"/>
                  <w:marBottom w:val="0"/>
                  <w:divBdr>
                    <w:top w:val="none" w:sz="0" w:space="0" w:color="auto"/>
                    <w:left w:val="none" w:sz="0" w:space="0" w:color="auto"/>
                    <w:bottom w:val="none" w:sz="0" w:space="0" w:color="auto"/>
                    <w:right w:val="none" w:sz="0" w:space="0" w:color="auto"/>
                  </w:divBdr>
                </w:div>
                <w:div w:id="1953659747">
                  <w:marLeft w:val="0"/>
                  <w:marRight w:val="0"/>
                  <w:marTop w:val="0"/>
                  <w:marBottom w:val="0"/>
                  <w:divBdr>
                    <w:top w:val="none" w:sz="0" w:space="0" w:color="auto"/>
                    <w:left w:val="none" w:sz="0" w:space="0" w:color="auto"/>
                    <w:bottom w:val="none" w:sz="0" w:space="0" w:color="auto"/>
                    <w:right w:val="none" w:sz="0" w:space="0" w:color="auto"/>
                  </w:divBdr>
                </w:div>
                <w:div w:id="1997494136">
                  <w:marLeft w:val="0"/>
                  <w:marRight w:val="0"/>
                  <w:marTop w:val="0"/>
                  <w:marBottom w:val="0"/>
                  <w:divBdr>
                    <w:top w:val="none" w:sz="0" w:space="0" w:color="auto"/>
                    <w:left w:val="none" w:sz="0" w:space="0" w:color="auto"/>
                    <w:bottom w:val="none" w:sz="0" w:space="0" w:color="auto"/>
                    <w:right w:val="none" w:sz="0" w:space="0" w:color="auto"/>
                  </w:divBdr>
                </w:div>
                <w:div w:id="2001495620">
                  <w:marLeft w:val="0"/>
                  <w:marRight w:val="0"/>
                  <w:marTop w:val="0"/>
                  <w:marBottom w:val="0"/>
                  <w:divBdr>
                    <w:top w:val="none" w:sz="0" w:space="0" w:color="auto"/>
                    <w:left w:val="none" w:sz="0" w:space="0" w:color="auto"/>
                    <w:bottom w:val="none" w:sz="0" w:space="0" w:color="auto"/>
                    <w:right w:val="none" w:sz="0" w:space="0" w:color="auto"/>
                  </w:divBdr>
                </w:div>
                <w:div w:id="2019771532">
                  <w:marLeft w:val="0"/>
                  <w:marRight w:val="0"/>
                  <w:marTop w:val="0"/>
                  <w:marBottom w:val="0"/>
                  <w:divBdr>
                    <w:top w:val="none" w:sz="0" w:space="0" w:color="auto"/>
                    <w:left w:val="none" w:sz="0" w:space="0" w:color="auto"/>
                    <w:bottom w:val="none" w:sz="0" w:space="0" w:color="auto"/>
                    <w:right w:val="none" w:sz="0" w:space="0" w:color="auto"/>
                  </w:divBdr>
                </w:div>
                <w:div w:id="2029868892">
                  <w:marLeft w:val="0"/>
                  <w:marRight w:val="0"/>
                  <w:marTop w:val="0"/>
                  <w:marBottom w:val="0"/>
                  <w:divBdr>
                    <w:top w:val="none" w:sz="0" w:space="0" w:color="auto"/>
                    <w:left w:val="none" w:sz="0" w:space="0" w:color="auto"/>
                    <w:bottom w:val="none" w:sz="0" w:space="0" w:color="auto"/>
                    <w:right w:val="none" w:sz="0" w:space="0" w:color="auto"/>
                  </w:divBdr>
                </w:div>
                <w:div w:id="2033452057">
                  <w:marLeft w:val="0"/>
                  <w:marRight w:val="0"/>
                  <w:marTop w:val="0"/>
                  <w:marBottom w:val="0"/>
                  <w:divBdr>
                    <w:top w:val="none" w:sz="0" w:space="0" w:color="auto"/>
                    <w:left w:val="none" w:sz="0" w:space="0" w:color="auto"/>
                    <w:bottom w:val="none" w:sz="0" w:space="0" w:color="auto"/>
                    <w:right w:val="none" w:sz="0" w:space="0" w:color="auto"/>
                  </w:divBdr>
                </w:div>
                <w:div w:id="2097092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2789339">
      <w:bodyDiv w:val="1"/>
      <w:marLeft w:val="0"/>
      <w:marRight w:val="0"/>
      <w:marTop w:val="0"/>
      <w:marBottom w:val="0"/>
      <w:divBdr>
        <w:top w:val="none" w:sz="0" w:space="0" w:color="auto"/>
        <w:left w:val="none" w:sz="0" w:space="0" w:color="auto"/>
        <w:bottom w:val="none" w:sz="0" w:space="0" w:color="auto"/>
        <w:right w:val="none" w:sz="0" w:space="0" w:color="auto"/>
      </w:divBdr>
      <w:divsChild>
        <w:div w:id="779034745">
          <w:marLeft w:val="0"/>
          <w:marRight w:val="0"/>
          <w:marTop w:val="0"/>
          <w:marBottom w:val="0"/>
          <w:divBdr>
            <w:top w:val="none" w:sz="0" w:space="0" w:color="auto"/>
            <w:left w:val="none" w:sz="0" w:space="0" w:color="auto"/>
            <w:bottom w:val="none" w:sz="0" w:space="0" w:color="auto"/>
            <w:right w:val="none" w:sz="0" w:space="0" w:color="auto"/>
          </w:divBdr>
        </w:div>
        <w:div w:id="1570266850">
          <w:marLeft w:val="0"/>
          <w:marRight w:val="0"/>
          <w:marTop w:val="0"/>
          <w:marBottom w:val="0"/>
          <w:divBdr>
            <w:top w:val="none" w:sz="0" w:space="0" w:color="auto"/>
            <w:left w:val="none" w:sz="0" w:space="0" w:color="auto"/>
            <w:bottom w:val="none" w:sz="0" w:space="0" w:color="auto"/>
            <w:right w:val="none" w:sz="0" w:space="0" w:color="auto"/>
          </w:divBdr>
        </w:div>
      </w:divsChild>
    </w:div>
    <w:div w:id="459689267">
      <w:bodyDiv w:val="1"/>
      <w:marLeft w:val="0"/>
      <w:marRight w:val="0"/>
      <w:marTop w:val="0"/>
      <w:marBottom w:val="0"/>
      <w:divBdr>
        <w:top w:val="none" w:sz="0" w:space="0" w:color="auto"/>
        <w:left w:val="none" w:sz="0" w:space="0" w:color="auto"/>
        <w:bottom w:val="none" w:sz="0" w:space="0" w:color="auto"/>
        <w:right w:val="none" w:sz="0" w:space="0" w:color="auto"/>
      </w:divBdr>
      <w:divsChild>
        <w:div w:id="35206450">
          <w:marLeft w:val="0"/>
          <w:marRight w:val="0"/>
          <w:marTop w:val="0"/>
          <w:marBottom w:val="0"/>
          <w:divBdr>
            <w:top w:val="none" w:sz="0" w:space="0" w:color="auto"/>
            <w:left w:val="none" w:sz="0" w:space="0" w:color="auto"/>
            <w:bottom w:val="none" w:sz="0" w:space="0" w:color="auto"/>
            <w:right w:val="none" w:sz="0" w:space="0" w:color="auto"/>
          </w:divBdr>
        </w:div>
        <w:div w:id="53967194">
          <w:marLeft w:val="0"/>
          <w:marRight w:val="0"/>
          <w:marTop w:val="0"/>
          <w:marBottom w:val="0"/>
          <w:divBdr>
            <w:top w:val="none" w:sz="0" w:space="0" w:color="auto"/>
            <w:left w:val="none" w:sz="0" w:space="0" w:color="auto"/>
            <w:bottom w:val="none" w:sz="0" w:space="0" w:color="auto"/>
            <w:right w:val="none" w:sz="0" w:space="0" w:color="auto"/>
          </w:divBdr>
        </w:div>
        <w:div w:id="239870175">
          <w:marLeft w:val="0"/>
          <w:marRight w:val="0"/>
          <w:marTop w:val="0"/>
          <w:marBottom w:val="0"/>
          <w:divBdr>
            <w:top w:val="none" w:sz="0" w:space="0" w:color="auto"/>
            <w:left w:val="none" w:sz="0" w:space="0" w:color="auto"/>
            <w:bottom w:val="none" w:sz="0" w:space="0" w:color="auto"/>
            <w:right w:val="none" w:sz="0" w:space="0" w:color="auto"/>
          </w:divBdr>
        </w:div>
        <w:div w:id="281619878">
          <w:marLeft w:val="0"/>
          <w:marRight w:val="0"/>
          <w:marTop w:val="0"/>
          <w:marBottom w:val="0"/>
          <w:divBdr>
            <w:top w:val="none" w:sz="0" w:space="0" w:color="auto"/>
            <w:left w:val="none" w:sz="0" w:space="0" w:color="auto"/>
            <w:bottom w:val="none" w:sz="0" w:space="0" w:color="auto"/>
            <w:right w:val="none" w:sz="0" w:space="0" w:color="auto"/>
          </w:divBdr>
        </w:div>
        <w:div w:id="313067587">
          <w:marLeft w:val="0"/>
          <w:marRight w:val="0"/>
          <w:marTop w:val="0"/>
          <w:marBottom w:val="0"/>
          <w:divBdr>
            <w:top w:val="none" w:sz="0" w:space="0" w:color="auto"/>
            <w:left w:val="none" w:sz="0" w:space="0" w:color="auto"/>
            <w:bottom w:val="none" w:sz="0" w:space="0" w:color="auto"/>
            <w:right w:val="none" w:sz="0" w:space="0" w:color="auto"/>
          </w:divBdr>
        </w:div>
        <w:div w:id="334962398">
          <w:marLeft w:val="0"/>
          <w:marRight w:val="0"/>
          <w:marTop w:val="0"/>
          <w:marBottom w:val="0"/>
          <w:divBdr>
            <w:top w:val="none" w:sz="0" w:space="0" w:color="auto"/>
            <w:left w:val="none" w:sz="0" w:space="0" w:color="auto"/>
            <w:bottom w:val="none" w:sz="0" w:space="0" w:color="auto"/>
            <w:right w:val="none" w:sz="0" w:space="0" w:color="auto"/>
          </w:divBdr>
        </w:div>
        <w:div w:id="354432078">
          <w:marLeft w:val="0"/>
          <w:marRight w:val="0"/>
          <w:marTop w:val="0"/>
          <w:marBottom w:val="0"/>
          <w:divBdr>
            <w:top w:val="none" w:sz="0" w:space="0" w:color="auto"/>
            <w:left w:val="none" w:sz="0" w:space="0" w:color="auto"/>
            <w:bottom w:val="none" w:sz="0" w:space="0" w:color="auto"/>
            <w:right w:val="none" w:sz="0" w:space="0" w:color="auto"/>
          </w:divBdr>
        </w:div>
        <w:div w:id="358942750">
          <w:marLeft w:val="0"/>
          <w:marRight w:val="0"/>
          <w:marTop w:val="0"/>
          <w:marBottom w:val="0"/>
          <w:divBdr>
            <w:top w:val="none" w:sz="0" w:space="0" w:color="auto"/>
            <w:left w:val="none" w:sz="0" w:space="0" w:color="auto"/>
            <w:bottom w:val="none" w:sz="0" w:space="0" w:color="auto"/>
            <w:right w:val="none" w:sz="0" w:space="0" w:color="auto"/>
          </w:divBdr>
        </w:div>
        <w:div w:id="520584999">
          <w:marLeft w:val="0"/>
          <w:marRight w:val="0"/>
          <w:marTop w:val="0"/>
          <w:marBottom w:val="0"/>
          <w:divBdr>
            <w:top w:val="none" w:sz="0" w:space="0" w:color="auto"/>
            <w:left w:val="none" w:sz="0" w:space="0" w:color="auto"/>
            <w:bottom w:val="none" w:sz="0" w:space="0" w:color="auto"/>
            <w:right w:val="none" w:sz="0" w:space="0" w:color="auto"/>
          </w:divBdr>
        </w:div>
        <w:div w:id="559243401">
          <w:marLeft w:val="0"/>
          <w:marRight w:val="0"/>
          <w:marTop w:val="0"/>
          <w:marBottom w:val="0"/>
          <w:divBdr>
            <w:top w:val="none" w:sz="0" w:space="0" w:color="auto"/>
            <w:left w:val="none" w:sz="0" w:space="0" w:color="auto"/>
            <w:bottom w:val="none" w:sz="0" w:space="0" w:color="auto"/>
            <w:right w:val="none" w:sz="0" w:space="0" w:color="auto"/>
          </w:divBdr>
        </w:div>
        <w:div w:id="789083218">
          <w:marLeft w:val="0"/>
          <w:marRight w:val="0"/>
          <w:marTop w:val="0"/>
          <w:marBottom w:val="0"/>
          <w:divBdr>
            <w:top w:val="none" w:sz="0" w:space="0" w:color="auto"/>
            <w:left w:val="none" w:sz="0" w:space="0" w:color="auto"/>
            <w:bottom w:val="none" w:sz="0" w:space="0" w:color="auto"/>
            <w:right w:val="none" w:sz="0" w:space="0" w:color="auto"/>
          </w:divBdr>
        </w:div>
        <w:div w:id="808013318">
          <w:marLeft w:val="0"/>
          <w:marRight w:val="0"/>
          <w:marTop w:val="0"/>
          <w:marBottom w:val="0"/>
          <w:divBdr>
            <w:top w:val="none" w:sz="0" w:space="0" w:color="auto"/>
            <w:left w:val="none" w:sz="0" w:space="0" w:color="auto"/>
            <w:bottom w:val="none" w:sz="0" w:space="0" w:color="auto"/>
            <w:right w:val="none" w:sz="0" w:space="0" w:color="auto"/>
          </w:divBdr>
        </w:div>
        <w:div w:id="898707508">
          <w:marLeft w:val="0"/>
          <w:marRight w:val="0"/>
          <w:marTop w:val="0"/>
          <w:marBottom w:val="0"/>
          <w:divBdr>
            <w:top w:val="none" w:sz="0" w:space="0" w:color="auto"/>
            <w:left w:val="none" w:sz="0" w:space="0" w:color="auto"/>
            <w:bottom w:val="none" w:sz="0" w:space="0" w:color="auto"/>
            <w:right w:val="none" w:sz="0" w:space="0" w:color="auto"/>
          </w:divBdr>
        </w:div>
        <w:div w:id="1049576959">
          <w:marLeft w:val="0"/>
          <w:marRight w:val="0"/>
          <w:marTop w:val="0"/>
          <w:marBottom w:val="0"/>
          <w:divBdr>
            <w:top w:val="none" w:sz="0" w:space="0" w:color="auto"/>
            <w:left w:val="none" w:sz="0" w:space="0" w:color="auto"/>
            <w:bottom w:val="none" w:sz="0" w:space="0" w:color="auto"/>
            <w:right w:val="none" w:sz="0" w:space="0" w:color="auto"/>
          </w:divBdr>
        </w:div>
        <w:div w:id="1049959106">
          <w:marLeft w:val="0"/>
          <w:marRight w:val="0"/>
          <w:marTop w:val="0"/>
          <w:marBottom w:val="0"/>
          <w:divBdr>
            <w:top w:val="none" w:sz="0" w:space="0" w:color="auto"/>
            <w:left w:val="none" w:sz="0" w:space="0" w:color="auto"/>
            <w:bottom w:val="none" w:sz="0" w:space="0" w:color="auto"/>
            <w:right w:val="none" w:sz="0" w:space="0" w:color="auto"/>
          </w:divBdr>
        </w:div>
        <w:div w:id="1087579260">
          <w:marLeft w:val="0"/>
          <w:marRight w:val="0"/>
          <w:marTop w:val="0"/>
          <w:marBottom w:val="0"/>
          <w:divBdr>
            <w:top w:val="none" w:sz="0" w:space="0" w:color="auto"/>
            <w:left w:val="none" w:sz="0" w:space="0" w:color="auto"/>
            <w:bottom w:val="none" w:sz="0" w:space="0" w:color="auto"/>
            <w:right w:val="none" w:sz="0" w:space="0" w:color="auto"/>
          </w:divBdr>
        </w:div>
        <w:div w:id="1144271085">
          <w:marLeft w:val="0"/>
          <w:marRight w:val="0"/>
          <w:marTop w:val="0"/>
          <w:marBottom w:val="0"/>
          <w:divBdr>
            <w:top w:val="none" w:sz="0" w:space="0" w:color="auto"/>
            <w:left w:val="none" w:sz="0" w:space="0" w:color="auto"/>
            <w:bottom w:val="none" w:sz="0" w:space="0" w:color="auto"/>
            <w:right w:val="none" w:sz="0" w:space="0" w:color="auto"/>
          </w:divBdr>
        </w:div>
        <w:div w:id="1237282388">
          <w:marLeft w:val="0"/>
          <w:marRight w:val="0"/>
          <w:marTop w:val="0"/>
          <w:marBottom w:val="0"/>
          <w:divBdr>
            <w:top w:val="none" w:sz="0" w:space="0" w:color="auto"/>
            <w:left w:val="none" w:sz="0" w:space="0" w:color="auto"/>
            <w:bottom w:val="none" w:sz="0" w:space="0" w:color="auto"/>
            <w:right w:val="none" w:sz="0" w:space="0" w:color="auto"/>
          </w:divBdr>
        </w:div>
        <w:div w:id="1333294304">
          <w:marLeft w:val="0"/>
          <w:marRight w:val="0"/>
          <w:marTop w:val="0"/>
          <w:marBottom w:val="0"/>
          <w:divBdr>
            <w:top w:val="none" w:sz="0" w:space="0" w:color="auto"/>
            <w:left w:val="none" w:sz="0" w:space="0" w:color="auto"/>
            <w:bottom w:val="none" w:sz="0" w:space="0" w:color="auto"/>
            <w:right w:val="none" w:sz="0" w:space="0" w:color="auto"/>
          </w:divBdr>
        </w:div>
        <w:div w:id="1348212700">
          <w:marLeft w:val="0"/>
          <w:marRight w:val="0"/>
          <w:marTop w:val="0"/>
          <w:marBottom w:val="0"/>
          <w:divBdr>
            <w:top w:val="none" w:sz="0" w:space="0" w:color="auto"/>
            <w:left w:val="none" w:sz="0" w:space="0" w:color="auto"/>
            <w:bottom w:val="none" w:sz="0" w:space="0" w:color="auto"/>
            <w:right w:val="none" w:sz="0" w:space="0" w:color="auto"/>
          </w:divBdr>
        </w:div>
        <w:div w:id="1394621268">
          <w:marLeft w:val="0"/>
          <w:marRight w:val="0"/>
          <w:marTop w:val="0"/>
          <w:marBottom w:val="0"/>
          <w:divBdr>
            <w:top w:val="none" w:sz="0" w:space="0" w:color="auto"/>
            <w:left w:val="none" w:sz="0" w:space="0" w:color="auto"/>
            <w:bottom w:val="none" w:sz="0" w:space="0" w:color="auto"/>
            <w:right w:val="none" w:sz="0" w:space="0" w:color="auto"/>
          </w:divBdr>
        </w:div>
        <w:div w:id="1508788232">
          <w:marLeft w:val="0"/>
          <w:marRight w:val="0"/>
          <w:marTop w:val="0"/>
          <w:marBottom w:val="0"/>
          <w:divBdr>
            <w:top w:val="none" w:sz="0" w:space="0" w:color="auto"/>
            <w:left w:val="none" w:sz="0" w:space="0" w:color="auto"/>
            <w:bottom w:val="none" w:sz="0" w:space="0" w:color="auto"/>
            <w:right w:val="none" w:sz="0" w:space="0" w:color="auto"/>
          </w:divBdr>
        </w:div>
        <w:div w:id="1522283813">
          <w:marLeft w:val="0"/>
          <w:marRight w:val="0"/>
          <w:marTop w:val="0"/>
          <w:marBottom w:val="0"/>
          <w:divBdr>
            <w:top w:val="none" w:sz="0" w:space="0" w:color="auto"/>
            <w:left w:val="none" w:sz="0" w:space="0" w:color="auto"/>
            <w:bottom w:val="none" w:sz="0" w:space="0" w:color="auto"/>
            <w:right w:val="none" w:sz="0" w:space="0" w:color="auto"/>
          </w:divBdr>
        </w:div>
        <w:div w:id="1525241123">
          <w:marLeft w:val="0"/>
          <w:marRight w:val="0"/>
          <w:marTop w:val="0"/>
          <w:marBottom w:val="0"/>
          <w:divBdr>
            <w:top w:val="none" w:sz="0" w:space="0" w:color="auto"/>
            <w:left w:val="none" w:sz="0" w:space="0" w:color="auto"/>
            <w:bottom w:val="none" w:sz="0" w:space="0" w:color="auto"/>
            <w:right w:val="none" w:sz="0" w:space="0" w:color="auto"/>
          </w:divBdr>
        </w:div>
        <w:div w:id="1536043559">
          <w:marLeft w:val="0"/>
          <w:marRight w:val="0"/>
          <w:marTop w:val="0"/>
          <w:marBottom w:val="0"/>
          <w:divBdr>
            <w:top w:val="none" w:sz="0" w:space="0" w:color="auto"/>
            <w:left w:val="none" w:sz="0" w:space="0" w:color="auto"/>
            <w:bottom w:val="none" w:sz="0" w:space="0" w:color="auto"/>
            <w:right w:val="none" w:sz="0" w:space="0" w:color="auto"/>
          </w:divBdr>
        </w:div>
        <w:div w:id="1617712843">
          <w:marLeft w:val="0"/>
          <w:marRight w:val="0"/>
          <w:marTop w:val="0"/>
          <w:marBottom w:val="0"/>
          <w:divBdr>
            <w:top w:val="none" w:sz="0" w:space="0" w:color="auto"/>
            <w:left w:val="none" w:sz="0" w:space="0" w:color="auto"/>
            <w:bottom w:val="none" w:sz="0" w:space="0" w:color="auto"/>
            <w:right w:val="none" w:sz="0" w:space="0" w:color="auto"/>
          </w:divBdr>
        </w:div>
        <w:div w:id="1654213636">
          <w:marLeft w:val="0"/>
          <w:marRight w:val="0"/>
          <w:marTop w:val="0"/>
          <w:marBottom w:val="0"/>
          <w:divBdr>
            <w:top w:val="none" w:sz="0" w:space="0" w:color="auto"/>
            <w:left w:val="none" w:sz="0" w:space="0" w:color="auto"/>
            <w:bottom w:val="none" w:sz="0" w:space="0" w:color="auto"/>
            <w:right w:val="none" w:sz="0" w:space="0" w:color="auto"/>
          </w:divBdr>
        </w:div>
        <w:div w:id="1770344184">
          <w:marLeft w:val="0"/>
          <w:marRight w:val="0"/>
          <w:marTop w:val="0"/>
          <w:marBottom w:val="0"/>
          <w:divBdr>
            <w:top w:val="none" w:sz="0" w:space="0" w:color="auto"/>
            <w:left w:val="none" w:sz="0" w:space="0" w:color="auto"/>
            <w:bottom w:val="none" w:sz="0" w:space="0" w:color="auto"/>
            <w:right w:val="none" w:sz="0" w:space="0" w:color="auto"/>
          </w:divBdr>
        </w:div>
        <w:div w:id="1904872525">
          <w:marLeft w:val="0"/>
          <w:marRight w:val="0"/>
          <w:marTop w:val="0"/>
          <w:marBottom w:val="0"/>
          <w:divBdr>
            <w:top w:val="none" w:sz="0" w:space="0" w:color="auto"/>
            <w:left w:val="none" w:sz="0" w:space="0" w:color="auto"/>
            <w:bottom w:val="none" w:sz="0" w:space="0" w:color="auto"/>
            <w:right w:val="none" w:sz="0" w:space="0" w:color="auto"/>
          </w:divBdr>
        </w:div>
        <w:div w:id="1969628136">
          <w:marLeft w:val="0"/>
          <w:marRight w:val="0"/>
          <w:marTop w:val="0"/>
          <w:marBottom w:val="0"/>
          <w:divBdr>
            <w:top w:val="none" w:sz="0" w:space="0" w:color="auto"/>
            <w:left w:val="none" w:sz="0" w:space="0" w:color="auto"/>
            <w:bottom w:val="none" w:sz="0" w:space="0" w:color="auto"/>
            <w:right w:val="none" w:sz="0" w:space="0" w:color="auto"/>
          </w:divBdr>
        </w:div>
        <w:div w:id="1984001608">
          <w:marLeft w:val="0"/>
          <w:marRight w:val="0"/>
          <w:marTop w:val="0"/>
          <w:marBottom w:val="0"/>
          <w:divBdr>
            <w:top w:val="none" w:sz="0" w:space="0" w:color="auto"/>
            <w:left w:val="none" w:sz="0" w:space="0" w:color="auto"/>
            <w:bottom w:val="none" w:sz="0" w:space="0" w:color="auto"/>
            <w:right w:val="none" w:sz="0" w:space="0" w:color="auto"/>
          </w:divBdr>
        </w:div>
        <w:div w:id="2012951606">
          <w:marLeft w:val="0"/>
          <w:marRight w:val="0"/>
          <w:marTop w:val="0"/>
          <w:marBottom w:val="0"/>
          <w:divBdr>
            <w:top w:val="none" w:sz="0" w:space="0" w:color="auto"/>
            <w:left w:val="none" w:sz="0" w:space="0" w:color="auto"/>
            <w:bottom w:val="none" w:sz="0" w:space="0" w:color="auto"/>
            <w:right w:val="none" w:sz="0" w:space="0" w:color="auto"/>
          </w:divBdr>
        </w:div>
      </w:divsChild>
    </w:div>
    <w:div w:id="529227630">
      <w:bodyDiv w:val="1"/>
      <w:marLeft w:val="0"/>
      <w:marRight w:val="0"/>
      <w:marTop w:val="0"/>
      <w:marBottom w:val="0"/>
      <w:divBdr>
        <w:top w:val="none" w:sz="0" w:space="0" w:color="auto"/>
        <w:left w:val="none" w:sz="0" w:space="0" w:color="auto"/>
        <w:bottom w:val="none" w:sz="0" w:space="0" w:color="auto"/>
        <w:right w:val="none" w:sz="0" w:space="0" w:color="auto"/>
      </w:divBdr>
      <w:divsChild>
        <w:div w:id="961611432">
          <w:marLeft w:val="0"/>
          <w:marRight w:val="0"/>
          <w:marTop w:val="0"/>
          <w:marBottom w:val="0"/>
          <w:divBdr>
            <w:top w:val="none" w:sz="0" w:space="0" w:color="auto"/>
            <w:left w:val="none" w:sz="0" w:space="0" w:color="auto"/>
            <w:bottom w:val="none" w:sz="0" w:space="0" w:color="auto"/>
            <w:right w:val="none" w:sz="0" w:space="0" w:color="auto"/>
          </w:divBdr>
        </w:div>
        <w:div w:id="1439136760">
          <w:marLeft w:val="0"/>
          <w:marRight w:val="0"/>
          <w:marTop w:val="0"/>
          <w:marBottom w:val="0"/>
          <w:divBdr>
            <w:top w:val="none" w:sz="0" w:space="0" w:color="auto"/>
            <w:left w:val="none" w:sz="0" w:space="0" w:color="auto"/>
            <w:bottom w:val="none" w:sz="0" w:space="0" w:color="auto"/>
            <w:right w:val="none" w:sz="0" w:space="0" w:color="auto"/>
          </w:divBdr>
        </w:div>
        <w:div w:id="1841391397">
          <w:marLeft w:val="0"/>
          <w:marRight w:val="0"/>
          <w:marTop w:val="0"/>
          <w:marBottom w:val="0"/>
          <w:divBdr>
            <w:top w:val="none" w:sz="0" w:space="0" w:color="auto"/>
            <w:left w:val="none" w:sz="0" w:space="0" w:color="auto"/>
            <w:bottom w:val="none" w:sz="0" w:space="0" w:color="auto"/>
            <w:right w:val="none" w:sz="0" w:space="0" w:color="auto"/>
          </w:divBdr>
        </w:div>
        <w:div w:id="2109500425">
          <w:marLeft w:val="0"/>
          <w:marRight w:val="0"/>
          <w:marTop w:val="0"/>
          <w:marBottom w:val="0"/>
          <w:divBdr>
            <w:top w:val="none" w:sz="0" w:space="0" w:color="auto"/>
            <w:left w:val="none" w:sz="0" w:space="0" w:color="auto"/>
            <w:bottom w:val="none" w:sz="0" w:space="0" w:color="auto"/>
            <w:right w:val="none" w:sz="0" w:space="0" w:color="auto"/>
          </w:divBdr>
        </w:div>
      </w:divsChild>
    </w:div>
    <w:div w:id="547911341">
      <w:bodyDiv w:val="1"/>
      <w:marLeft w:val="0"/>
      <w:marRight w:val="0"/>
      <w:marTop w:val="0"/>
      <w:marBottom w:val="0"/>
      <w:divBdr>
        <w:top w:val="none" w:sz="0" w:space="0" w:color="auto"/>
        <w:left w:val="none" w:sz="0" w:space="0" w:color="auto"/>
        <w:bottom w:val="none" w:sz="0" w:space="0" w:color="auto"/>
        <w:right w:val="none" w:sz="0" w:space="0" w:color="auto"/>
      </w:divBdr>
      <w:divsChild>
        <w:div w:id="1304581677">
          <w:marLeft w:val="0"/>
          <w:marRight w:val="0"/>
          <w:marTop w:val="0"/>
          <w:marBottom w:val="0"/>
          <w:divBdr>
            <w:top w:val="none" w:sz="0" w:space="0" w:color="auto"/>
            <w:left w:val="none" w:sz="0" w:space="0" w:color="auto"/>
            <w:bottom w:val="none" w:sz="0" w:space="0" w:color="auto"/>
            <w:right w:val="none" w:sz="0" w:space="0" w:color="auto"/>
          </w:divBdr>
        </w:div>
        <w:div w:id="1881018808">
          <w:marLeft w:val="0"/>
          <w:marRight w:val="0"/>
          <w:marTop w:val="0"/>
          <w:marBottom w:val="0"/>
          <w:divBdr>
            <w:top w:val="none" w:sz="0" w:space="0" w:color="auto"/>
            <w:left w:val="none" w:sz="0" w:space="0" w:color="auto"/>
            <w:bottom w:val="none" w:sz="0" w:space="0" w:color="auto"/>
            <w:right w:val="none" w:sz="0" w:space="0" w:color="auto"/>
          </w:divBdr>
        </w:div>
      </w:divsChild>
    </w:div>
    <w:div w:id="590889459">
      <w:bodyDiv w:val="1"/>
      <w:marLeft w:val="0"/>
      <w:marRight w:val="0"/>
      <w:marTop w:val="0"/>
      <w:marBottom w:val="0"/>
      <w:divBdr>
        <w:top w:val="none" w:sz="0" w:space="0" w:color="auto"/>
        <w:left w:val="none" w:sz="0" w:space="0" w:color="auto"/>
        <w:bottom w:val="none" w:sz="0" w:space="0" w:color="auto"/>
        <w:right w:val="none" w:sz="0" w:space="0" w:color="auto"/>
      </w:divBdr>
      <w:divsChild>
        <w:div w:id="1021129388">
          <w:marLeft w:val="0"/>
          <w:marRight w:val="0"/>
          <w:marTop w:val="15"/>
          <w:marBottom w:val="0"/>
          <w:divBdr>
            <w:top w:val="none" w:sz="0" w:space="0" w:color="auto"/>
            <w:left w:val="none" w:sz="0" w:space="0" w:color="auto"/>
            <w:bottom w:val="none" w:sz="0" w:space="0" w:color="auto"/>
            <w:right w:val="none" w:sz="0" w:space="0" w:color="auto"/>
          </w:divBdr>
          <w:divsChild>
            <w:div w:id="1864779362">
              <w:marLeft w:val="0"/>
              <w:marRight w:val="0"/>
              <w:marTop w:val="0"/>
              <w:marBottom w:val="0"/>
              <w:divBdr>
                <w:top w:val="none" w:sz="0" w:space="0" w:color="auto"/>
                <w:left w:val="none" w:sz="0" w:space="0" w:color="auto"/>
                <w:bottom w:val="none" w:sz="0" w:space="0" w:color="auto"/>
                <w:right w:val="none" w:sz="0" w:space="0" w:color="auto"/>
              </w:divBdr>
              <w:divsChild>
                <w:div w:id="77026337">
                  <w:marLeft w:val="0"/>
                  <w:marRight w:val="0"/>
                  <w:marTop w:val="0"/>
                  <w:marBottom w:val="0"/>
                  <w:divBdr>
                    <w:top w:val="none" w:sz="0" w:space="0" w:color="auto"/>
                    <w:left w:val="none" w:sz="0" w:space="0" w:color="auto"/>
                    <w:bottom w:val="none" w:sz="0" w:space="0" w:color="auto"/>
                    <w:right w:val="none" w:sz="0" w:space="0" w:color="auto"/>
                  </w:divBdr>
                </w:div>
                <w:div w:id="123037631">
                  <w:marLeft w:val="0"/>
                  <w:marRight w:val="0"/>
                  <w:marTop w:val="0"/>
                  <w:marBottom w:val="0"/>
                  <w:divBdr>
                    <w:top w:val="none" w:sz="0" w:space="0" w:color="auto"/>
                    <w:left w:val="none" w:sz="0" w:space="0" w:color="auto"/>
                    <w:bottom w:val="none" w:sz="0" w:space="0" w:color="auto"/>
                    <w:right w:val="none" w:sz="0" w:space="0" w:color="auto"/>
                  </w:divBdr>
                </w:div>
                <w:div w:id="279604418">
                  <w:marLeft w:val="0"/>
                  <w:marRight w:val="0"/>
                  <w:marTop w:val="0"/>
                  <w:marBottom w:val="0"/>
                  <w:divBdr>
                    <w:top w:val="none" w:sz="0" w:space="0" w:color="auto"/>
                    <w:left w:val="none" w:sz="0" w:space="0" w:color="auto"/>
                    <w:bottom w:val="none" w:sz="0" w:space="0" w:color="auto"/>
                    <w:right w:val="none" w:sz="0" w:space="0" w:color="auto"/>
                  </w:divBdr>
                </w:div>
                <w:div w:id="303896839">
                  <w:marLeft w:val="0"/>
                  <w:marRight w:val="0"/>
                  <w:marTop w:val="0"/>
                  <w:marBottom w:val="0"/>
                  <w:divBdr>
                    <w:top w:val="none" w:sz="0" w:space="0" w:color="auto"/>
                    <w:left w:val="none" w:sz="0" w:space="0" w:color="auto"/>
                    <w:bottom w:val="none" w:sz="0" w:space="0" w:color="auto"/>
                    <w:right w:val="none" w:sz="0" w:space="0" w:color="auto"/>
                  </w:divBdr>
                </w:div>
                <w:div w:id="374276373">
                  <w:marLeft w:val="0"/>
                  <w:marRight w:val="0"/>
                  <w:marTop w:val="0"/>
                  <w:marBottom w:val="0"/>
                  <w:divBdr>
                    <w:top w:val="none" w:sz="0" w:space="0" w:color="auto"/>
                    <w:left w:val="none" w:sz="0" w:space="0" w:color="auto"/>
                    <w:bottom w:val="none" w:sz="0" w:space="0" w:color="auto"/>
                    <w:right w:val="none" w:sz="0" w:space="0" w:color="auto"/>
                  </w:divBdr>
                </w:div>
                <w:div w:id="517277637">
                  <w:marLeft w:val="0"/>
                  <w:marRight w:val="0"/>
                  <w:marTop w:val="0"/>
                  <w:marBottom w:val="0"/>
                  <w:divBdr>
                    <w:top w:val="none" w:sz="0" w:space="0" w:color="auto"/>
                    <w:left w:val="none" w:sz="0" w:space="0" w:color="auto"/>
                    <w:bottom w:val="none" w:sz="0" w:space="0" w:color="auto"/>
                    <w:right w:val="none" w:sz="0" w:space="0" w:color="auto"/>
                  </w:divBdr>
                </w:div>
                <w:div w:id="663095303">
                  <w:marLeft w:val="0"/>
                  <w:marRight w:val="0"/>
                  <w:marTop w:val="0"/>
                  <w:marBottom w:val="0"/>
                  <w:divBdr>
                    <w:top w:val="none" w:sz="0" w:space="0" w:color="auto"/>
                    <w:left w:val="none" w:sz="0" w:space="0" w:color="auto"/>
                    <w:bottom w:val="none" w:sz="0" w:space="0" w:color="auto"/>
                    <w:right w:val="none" w:sz="0" w:space="0" w:color="auto"/>
                  </w:divBdr>
                </w:div>
                <w:div w:id="693964819">
                  <w:marLeft w:val="0"/>
                  <w:marRight w:val="0"/>
                  <w:marTop w:val="0"/>
                  <w:marBottom w:val="0"/>
                  <w:divBdr>
                    <w:top w:val="none" w:sz="0" w:space="0" w:color="auto"/>
                    <w:left w:val="none" w:sz="0" w:space="0" w:color="auto"/>
                    <w:bottom w:val="none" w:sz="0" w:space="0" w:color="auto"/>
                    <w:right w:val="none" w:sz="0" w:space="0" w:color="auto"/>
                  </w:divBdr>
                </w:div>
                <w:div w:id="713507573">
                  <w:marLeft w:val="0"/>
                  <w:marRight w:val="0"/>
                  <w:marTop w:val="0"/>
                  <w:marBottom w:val="0"/>
                  <w:divBdr>
                    <w:top w:val="none" w:sz="0" w:space="0" w:color="auto"/>
                    <w:left w:val="none" w:sz="0" w:space="0" w:color="auto"/>
                    <w:bottom w:val="none" w:sz="0" w:space="0" w:color="auto"/>
                    <w:right w:val="none" w:sz="0" w:space="0" w:color="auto"/>
                  </w:divBdr>
                </w:div>
                <w:div w:id="880172850">
                  <w:marLeft w:val="0"/>
                  <w:marRight w:val="0"/>
                  <w:marTop w:val="0"/>
                  <w:marBottom w:val="0"/>
                  <w:divBdr>
                    <w:top w:val="none" w:sz="0" w:space="0" w:color="auto"/>
                    <w:left w:val="none" w:sz="0" w:space="0" w:color="auto"/>
                    <w:bottom w:val="none" w:sz="0" w:space="0" w:color="auto"/>
                    <w:right w:val="none" w:sz="0" w:space="0" w:color="auto"/>
                  </w:divBdr>
                </w:div>
                <w:div w:id="981542636">
                  <w:marLeft w:val="0"/>
                  <w:marRight w:val="0"/>
                  <w:marTop w:val="0"/>
                  <w:marBottom w:val="0"/>
                  <w:divBdr>
                    <w:top w:val="none" w:sz="0" w:space="0" w:color="auto"/>
                    <w:left w:val="none" w:sz="0" w:space="0" w:color="auto"/>
                    <w:bottom w:val="none" w:sz="0" w:space="0" w:color="auto"/>
                    <w:right w:val="none" w:sz="0" w:space="0" w:color="auto"/>
                  </w:divBdr>
                </w:div>
                <w:div w:id="1008752756">
                  <w:marLeft w:val="0"/>
                  <w:marRight w:val="0"/>
                  <w:marTop w:val="0"/>
                  <w:marBottom w:val="0"/>
                  <w:divBdr>
                    <w:top w:val="none" w:sz="0" w:space="0" w:color="auto"/>
                    <w:left w:val="none" w:sz="0" w:space="0" w:color="auto"/>
                    <w:bottom w:val="none" w:sz="0" w:space="0" w:color="auto"/>
                    <w:right w:val="none" w:sz="0" w:space="0" w:color="auto"/>
                  </w:divBdr>
                </w:div>
                <w:div w:id="1094473901">
                  <w:marLeft w:val="0"/>
                  <w:marRight w:val="0"/>
                  <w:marTop w:val="0"/>
                  <w:marBottom w:val="0"/>
                  <w:divBdr>
                    <w:top w:val="none" w:sz="0" w:space="0" w:color="auto"/>
                    <w:left w:val="none" w:sz="0" w:space="0" w:color="auto"/>
                    <w:bottom w:val="none" w:sz="0" w:space="0" w:color="auto"/>
                    <w:right w:val="none" w:sz="0" w:space="0" w:color="auto"/>
                  </w:divBdr>
                </w:div>
                <w:div w:id="1155535820">
                  <w:marLeft w:val="0"/>
                  <w:marRight w:val="0"/>
                  <w:marTop w:val="0"/>
                  <w:marBottom w:val="0"/>
                  <w:divBdr>
                    <w:top w:val="none" w:sz="0" w:space="0" w:color="auto"/>
                    <w:left w:val="none" w:sz="0" w:space="0" w:color="auto"/>
                    <w:bottom w:val="none" w:sz="0" w:space="0" w:color="auto"/>
                    <w:right w:val="none" w:sz="0" w:space="0" w:color="auto"/>
                  </w:divBdr>
                </w:div>
                <w:div w:id="1201085639">
                  <w:marLeft w:val="0"/>
                  <w:marRight w:val="0"/>
                  <w:marTop w:val="0"/>
                  <w:marBottom w:val="0"/>
                  <w:divBdr>
                    <w:top w:val="none" w:sz="0" w:space="0" w:color="auto"/>
                    <w:left w:val="none" w:sz="0" w:space="0" w:color="auto"/>
                    <w:bottom w:val="none" w:sz="0" w:space="0" w:color="auto"/>
                    <w:right w:val="none" w:sz="0" w:space="0" w:color="auto"/>
                  </w:divBdr>
                </w:div>
                <w:div w:id="1713535151">
                  <w:marLeft w:val="0"/>
                  <w:marRight w:val="0"/>
                  <w:marTop w:val="0"/>
                  <w:marBottom w:val="0"/>
                  <w:divBdr>
                    <w:top w:val="none" w:sz="0" w:space="0" w:color="auto"/>
                    <w:left w:val="none" w:sz="0" w:space="0" w:color="auto"/>
                    <w:bottom w:val="none" w:sz="0" w:space="0" w:color="auto"/>
                    <w:right w:val="none" w:sz="0" w:space="0" w:color="auto"/>
                  </w:divBdr>
                </w:div>
                <w:div w:id="1873616706">
                  <w:marLeft w:val="0"/>
                  <w:marRight w:val="0"/>
                  <w:marTop w:val="0"/>
                  <w:marBottom w:val="0"/>
                  <w:divBdr>
                    <w:top w:val="none" w:sz="0" w:space="0" w:color="auto"/>
                    <w:left w:val="none" w:sz="0" w:space="0" w:color="auto"/>
                    <w:bottom w:val="none" w:sz="0" w:space="0" w:color="auto"/>
                    <w:right w:val="none" w:sz="0" w:space="0" w:color="auto"/>
                  </w:divBdr>
                </w:div>
                <w:div w:id="2104065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5846286">
      <w:bodyDiv w:val="1"/>
      <w:marLeft w:val="0"/>
      <w:marRight w:val="0"/>
      <w:marTop w:val="0"/>
      <w:marBottom w:val="0"/>
      <w:divBdr>
        <w:top w:val="none" w:sz="0" w:space="0" w:color="auto"/>
        <w:left w:val="none" w:sz="0" w:space="0" w:color="auto"/>
        <w:bottom w:val="none" w:sz="0" w:space="0" w:color="auto"/>
        <w:right w:val="none" w:sz="0" w:space="0" w:color="auto"/>
      </w:divBdr>
      <w:divsChild>
        <w:div w:id="93981943">
          <w:marLeft w:val="0"/>
          <w:marRight w:val="0"/>
          <w:marTop w:val="0"/>
          <w:marBottom w:val="0"/>
          <w:divBdr>
            <w:top w:val="none" w:sz="0" w:space="0" w:color="auto"/>
            <w:left w:val="none" w:sz="0" w:space="0" w:color="auto"/>
            <w:bottom w:val="none" w:sz="0" w:space="0" w:color="auto"/>
            <w:right w:val="none" w:sz="0" w:space="0" w:color="auto"/>
          </w:divBdr>
        </w:div>
        <w:div w:id="97873472">
          <w:marLeft w:val="0"/>
          <w:marRight w:val="0"/>
          <w:marTop w:val="0"/>
          <w:marBottom w:val="0"/>
          <w:divBdr>
            <w:top w:val="none" w:sz="0" w:space="0" w:color="auto"/>
            <w:left w:val="none" w:sz="0" w:space="0" w:color="auto"/>
            <w:bottom w:val="none" w:sz="0" w:space="0" w:color="auto"/>
            <w:right w:val="none" w:sz="0" w:space="0" w:color="auto"/>
          </w:divBdr>
        </w:div>
        <w:div w:id="387266331">
          <w:marLeft w:val="0"/>
          <w:marRight w:val="0"/>
          <w:marTop w:val="0"/>
          <w:marBottom w:val="0"/>
          <w:divBdr>
            <w:top w:val="none" w:sz="0" w:space="0" w:color="auto"/>
            <w:left w:val="none" w:sz="0" w:space="0" w:color="auto"/>
            <w:bottom w:val="none" w:sz="0" w:space="0" w:color="auto"/>
            <w:right w:val="none" w:sz="0" w:space="0" w:color="auto"/>
          </w:divBdr>
        </w:div>
        <w:div w:id="424034445">
          <w:marLeft w:val="0"/>
          <w:marRight w:val="0"/>
          <w:marTop w:val="0"/>
          <w:marBottom w:val="0"/>
          <w:divBdr>
            <w:top w:val="none" w:sz="0" w:space="0" w:color="auto"/>
            <w:left w:val="none" w:sz="0" w:space="0" w:color="auto"/>
            <w:bottom w:val="none" w:sz="0" w:space="0" w:color="auto"/>
            <w:right w:val="none" w:sz="0" w:space="0" w:color="auto"/>
          </w:divBdr>
        </w:div>
        <w:div w:id="441582684">
          <w:marLeft w:val="0"/>
          <w:marRight w:val="0"/>
          <w:marTop w:val="0"/>
          <w:marBottom w:val="0"/>
          <w:divBdr>
            <w:top w:val="none" w:sz="0" w:space="0" w:color="auto"/>
            <w:left w:val="none" w:sz="0" w:space="0" w:color="auto"/>
            <w:bottom w:val="none" w:sz="0" w:space="0" w:color="auto"/>
            <w:right w:val="none" w:sz="0" w:space="0" w:color="auto"/>
          </w:divBdr>
        </w:div>
        <w:div w:id="837580004">
          <w:marLeft w:val="0"/>
          <w:marRight w:val="0"/>
          <w:marTop w:val="0"/>
          <w:marBottom w:val="0"/>
          <w:divBdr>
            <w:top w:val="none" w:sz="0" w:space="0" w:color="auto"/>
            <w:left w:val="none" w:sz="0" w:space="0" w:color="auto"/>
            <w:bottom w:val="none" w:sz="0" w:space="0" w:color="auto"/>
            <w:right w:val="none" w:sz="0" w:space="0" w:color="auto"/>
          </w:divBdr>
        </w:div>
        <w:div w:id="996884199">
          <w:marLeft w:val="0"/>
          <w:marRight w:val="0"/>
          <w:marTop w:val="0"/>
          <w:marBottom w:val="0"/>
          <w:divBdr>
            <w:top w:val="none" w:sz="0" w:space="0" w:color="auto"/>
            <w:left w:val="none" w:sz="0" w:space="0" w:color="auto"/>
            <w:bottom w:val="none" w:sz="0" w:space="0" w:color="auto"/>
            <w:right w:val="none" w:sz="0" w:space="0" w:color="auto"/>
          </w:divBdr>
        </w:div>
        <w:div w:id="1063675337">
          <w:marLeft w:val="0"/>
          <w:marRight w:val="0"/>
          <w:marTop w:val="0"/>
          <w:marBottom w:val="0"/>
          <w:divBdr>
            <w:top w:val="none" w:sz="0" w:space="0" w:color="auto"/>
            <w:left w:val="none" w:sz="0" w:space="0" w:color="auto"/>
            <w:bottom w:val="none" w:sz="0" w:space="0" w:color="auto"/>
            <w:right w:val="none" w:sz="0" w:space="0" w:color="auto"/>
          </w:divBdr>
        </w:div>
        <w:div w:id="1068579079">
          <w:marLeft w:val="0"/>
          <w:marRight w:val="0"/>
          <w:marTop w:val="0"/>
          <w:marBottom w:val="0"/>
          <w:divBdr>
            <w:top w:val="none" w:sz="0" w:space="0" w:color="auto"/>
            <w:left w:val="none" w:sz="0" w:space="0" w:color="auto"/>
            <w:bottom w:val="none" w:sz="0" w:space="0" w:color="auto"/>
            <w:right w:val="none" w:sz="0" w:space="0" w:color="auto"/>
          </w:divBdr>
        </w:div>
        <w:div w:id="1187476080">
          <w:marLeft w:val="0"/>
          <w:marRight w:val="0"/>
          <w:marTop w:val="0"/>
          <w:marBottom w:val="0"/>
          <w:divBdr>
            <w:top w:val="none" w:sz="0" w:space="0" w:color="auto"/>
            <w:left w:val="none" w:sz="0" w:space="0" w:color="auto"/>
            <w:bottom w:val="none" w:sz="0" w:space="0" w:color="auto"/>
            <w:right w:val="none" w:sz="0" w:space="0" w:color="auto"/>
          </w:divBdr>
        </w:div>
        <w:div w:id="1313757220">
          <w:marLeft w:val="0"/>
          <w:marRight w:val="0"/>
          <w:marTop w:val="0"/>
          <w:marBottom w:val="0"/>
          <w:divBdr>
            <w:top w:val="none" w:sz="0" w:space="0" w:color="auto"/>
            <w:left w:val="none" w:sz="0" w:space="0" w:color="auto"/>
            <w:bottom w:val="none" w:sz="0" w:space="0" w:color="auto"/>
            <w:right w:val="none" w:sz="0" w:space="0" w:color="auto"/>
          </w:divBdr>
        </w:div>
        <w:div w:id="1353915921">
          <w:marLeft w:val="0"/>
          <w:marRight w:val="0"/>
          <w:marTop w:val="0"/>
          <w:marBottom w:val="0"/>
          <w:divBdr>
            <w:top w:val="none" w:sz="0" w:space="0" w:color="auto"/>
            <w:left w:val="none" w:sz="0" w:space="0" w:color="auto"/>
            <w:bottom w:val="none" w:sz="0" w:space="0" w:color="auto"/>
            <w:right w:val="none" w:sz="0" w:space="0" w:color="auto"/>
          </w:divBdr>
        </w:div>
        <w:div w:id="1374118657">
          <w:marLeft w:val="0"/>
          <w:marRight w:val="0"/>
          <w:marTop w:val="0"/>
          <w:marBottom w:val="0"/>
          <w:divBdr>
            <w:top w:val="none" w:sz="0" w:space="0" w:color="auto"/>
            <w:left w:val="none" w:sz="0" w:space="0" w:color="auto"/>
            <w:bottom w:val="none" w:sz="0" w:space="0" w:color="auto"/>
            <w:right w:val="none" w:sz="0" w:space="0" w:color="auto"/>
          </w:divBdr>
        </w:div>
        <w:div w:id="1401518196">
          <w:marLeft w:val="0"/>
          <w:marRight w:val="0"/>
          <w:marTop w:val="0"/>
          <w:marBottom w:val="0"/>
          <w:divBdr>
            <w:top w:val="none" w:sz="0" w:space="0" w:color="auto"/>
            <w:left w:val="none" w:sz="0" w:space="0" w:color="auto"/>
            <w:bottom w:val="none" w:sz="0" w:space="0" w:color="auto"/>
            <w:right w:val="none" w:sz="0" w:space="0" w:color="auto"/>
          </w:divBdr>
        </w:div>
        <w:div w:id="1458177533">
          <w:marLeft w:val="0"/>
          <w:marRight w:val="0"/>
          <w:marTop w:val="0"/>
          <w:marBottom w:val="0"/>
          <w:divBdr>
            <w:top w:val="none" w:sz="0" w:space="0" w:color="auto"/>
            <w:left w:val="none" w:sz="0" w:space="0" w:color="auto"/>
            <w:bottom w:val="none" w:sz="0" w:space="0" w:color="auto"/>
            <w:right w:val="none" w:sz="0" w:space="0" w:color="auto"/>
          </w:divBdr>
        </w:div>
        <w:div w:id="1484080842">
          <w:marLeft w:val="0"/>
          <w:marRight w:val="0"/>
          <w:marTop w:val="0"/>
          <w:marBottom w:val="0"/>
          <w:divBdr>
            <w:top w:val="none" w:sz="0" w:space="0" w:color="auto"/>
            <w:left w:val="none" w:sz="0" w:space="0" w:color="auto"/>
            <w:bottom w:val="none" w:sz="0" w:space="0" w:color="auto"/>
            <w:right w:val="none" w:sz="0" w:space="0" w:color="auto"/>
          </w:divBdr>
        </w:div>
        <w:div w:id="1689715535">
          <w:marLeft w:val="0"/>
          <w:marRight w:val="0"/>
          <w:marTop w:val="0"/>
          <w:marBottom w:val="0"/>
          <w:divBdr>
            <w:top w:val="none" w:sz="0" w:space="0" w:color="auto"/>
            <w:left w:val="none" w:sz="0" w:space="0" w:color="auto"/>
            <w:bottom w:val="none" w:sz="0" w:space="0" w:color="auto"/>
            <w:right w:val="none" w:sz="0" w:space="0" w:color="auto"/>
          </w:divBdr>
        </w:div>
        <w:div w:id="1750299740">
          <w:marLeft w:val="0"/>
          <w:marRight w:val="0"/>
          <w:marTop w:val="0"/>
          <w:marBottom w:val="0"/>
          <w:divBdr>
            <w:top w:val="none" w:sz="0" w:space="0" w:color="auto"/>
            <w:left w:val="none" w:sz="0" w:space="0" w:color="auto"/>
            <w:bottom w:val="none" w:sz="0" w:space="0" w:color="auto"/>
            <w:right w:val="none" w:sz="0" w:space="0" w:color="auto"/>
          </w:divBdr>
        </w:div>
        <w:div w:id="1901745772">
          <w:marLeft w:val="0"/>
          <w:marRight w:val="0"/>
          <w:marTop w:val="0"/>
          <w:marBottom w:val="0"/>
          <w:divBdr>
            <w:top w:val="none" w:sz="0" w:space="0" w:color="auto"/>
            <w:left w:val="none" w:sz="0" w:space="0" w:color="auto"/>
            <w:bottom w:val="none" w:sz="0" w:space="0" w:color="auto"/>
            <w:right w:val="none" w:sz="0" w:space="0" w:color="auto"/>
          </w:divBdr>
        </w:div>
        <w:div w:id="1919974234">
          <w:marLeft w:val="0"/>
          <w:marRight w:val="0"/>
          <w:marTop w:val="0"/>
          <w:marBottom w:val="0"/>
          <w:divBdr>
            <w:top w:val="none" w:sz="0" w:space="0" w:color="auto"/>
            <w:left w:val="none" w:sz="0" w:space="0" w:color="auto"/>
            <w:bottom w:val="none" w:sz="0" w:space="0" w:color="auto"/>
            <w:right w:val="none" w:sz="0" w:space="0" w:color="auto"/>
          </w:divBdr>
        </w:div>
        <w:div w:id="2021277652">
          <w:marLeft w:val="0"/>
          <w:marRight w:val="0"/>
          <w:marTop w:val="0"/>
          <w:marBottom w:val="0"/>
          <w:divBdr>
            <w:top w:val="none" w:sz="0" w:space="0" w:color="auto"/>
            <w:left w:val="none" w:sz="0" w:space="0" w:color="auto"/>
            <w:bottom w:val="none" w:sz="0" w:space="0" w:color="auto"/>
            <w:right w:val="none" w:sz="0" w:space="0" w:color="auto"/>
          </w:divBdr>
        </w:div>
        <w:div w:id="2051412575">
          <w:marLeft w:val="0"/>
          <w:marRight w:val="0"/>
          <w:marTop w:val="0"/>
          <w:marBottom w:val="0"/>
          <w:divBdr>
            <w:top w:val="none" w:sz="0" w:space="0" w:color="auto"/>
            <w:left w:val="none" w:sz="0" w:space="0" w:color="auto"/>
            <w:bottom w:val="none" w:sz="0" w:space="0" w:color="auto"/>
            <w:right w:val="none" w:sz="0" w:space="0" w:color="auto"/>
          </w:divBdr>
        </w:div>
        <w:div w:id="2069918020">
          <w:marLeft w:val="0"/>
          <w:marRight w:val="0"/>
          <w:marTop w:val="0"/>
          <w:marBottom w:val="0"/>
          <w:divBdr>
            <w:top w:val="none" w:sz="0" w:space="0" w:color="auto"/>
            <w:left w:val="none" w:sz="0" w:space="0" w:color="auto"/>
            <w:bottom w:val="none" w:sz="0" w:space="0" w:color="auto"/>
            <w:right w:val="none" w:sz="0" w:space="0" w:color="auto"/>
          </w:divBdr>
        </w:div>
      </w:divsChild>
    </w:div>
    <w:div w:id="709888896">
      <w:bodyDiv w:val="1"/>
      <w:marLeft w:val="0"/>
      <w:marRight w:val="0"/>
      <w:marTop w:val="0"/>
      <w:marBottom w:val="0"/>
      <w:divBdr>
        <w:top w:val="none" w:sz="0" w:space="0" w:color="auto"/>
        <w:left w:val="none" w:sz="0" w:space="0" w:color="auto"/>
        <w:bottom w:val="none" w:sz="0" w:space="0" w:color="auto"/>
        <w:right w:val="none" w:sz="0" w:space="0" w:color="auto"/>
      </w:divBdr>
      <w:divsChild>
        <w:div w:id="276837598">
          <w:marLeft w:val="0"/>
          <w:marRight w:val="0"/>
          <w:marTop w:val="0"/>
          <w:marBottom w:val="0"/>
          <w:divBdr>
            <w:top w:val="none" w:sz="0" w:space="0" w:color="auto"/>
            <w:left w:val="none" w:sz="0" w:space="0" w:color="auto"/>
            <w:bottom w:val="none" w:sz="0" w:space="0" w:color="auto"/>
            <w:right w:val="none" w:sz="0" w:space="0" w:color="auto"/>
          </w:divBdr>
        </w:div>
        <w:div w:id="292752270">
          <w:marLeft w:val="0"/>
          <w:marRight w:val="0"/>
          <w:marTop w:val="0"/>
          <w:marBottom w:val="0"/>
          <w:divBdr>
            <w:top w:val="none" w:sz="0" w:space="0" w:color="auto"/>
            <w:left w:val="none" w:sz="0" w:space="0" w:color="auto"/>
            <w:bottom w:val="none" w:sz="0" w:space="0" w:color="auto"/>
            <w:right w:val="none" w:sz="0" w:space="0" w:color="auto"/>
          </w:divBdr>
        </w:div>
        <w:div w:id="384990021">
          <w:marLeft w:val="0"/>
          <w:marRight w:val="0"/>
          <w:marTop w:val="0"/>
          <w:marBottom w:val="0"/>
          <w:divBdr>
            <w:top w:val="none" w:sz="0" w:space="0" w:color="auto"/>
            <w:left w:val="none" w:sz="0" w:space="0" w:color="auto"/>
            <w:bottom w:val="none" w:sz="0" w:space="0" w:color="auto"/>
            <w:right w:val="none" w:sz="0" w:space="0" w:color="auto"/>
          </w:divBdr>
        </w:div>
        <w:div w:id="396365394">
          <w:marLeft w:val="0"/>
          <w:marRight w:val="0"/>
          <w:marTop w:val="0"/>
          <w:marBottom w:val="0"/>
          <w:divBdr>
            <w:top w:val="none" w:sz="0" w:space="0" w:color="auto"/>
            <w:left w:val="none" w:sz="0" w:space="0" w:color="auto"/>
            <w:bottom w:val="none" w:sz="0" w:space="0" w:color="auto"/>
            <w:right w:val="none" w:sz="0" w:space="0" w:color="auto"/>
          </w:divBdr>
        </w:div>
        <w:div w:id="457719897">
          <w:marLeft w:val="0"/>
          <w:marRight w:val="0"/>
          <w:marTop w:val="0"/>
          <w:marBottom w:val="0"/>
          <w:divBdr>
            <w:top w:val="none" w:sz="0" w:space="0" w:color="auto"/>
            <w:left w:val="none" w:sz="0" w:space="0" w:color="auto"/>
            <w:bottom w:val="none" w:sz="0" w:space="0" w:color="auto"/>
            <w:right w:val="none" w:sz="0" w:space="0" w:color="auto"/>
          </w:divBdr>
        </w:div>
        <w:div w:id="562646245">
          <w:marLeft w:val="0"/>
          <w:marRight w:val="0"/>
          <w:marTop w:val="0"/>
          <w:marBottom w:val="0"/>
          <w:divBdr>
            <w:top w:val="none" w:sz="0" w:space="0" w:color="auto"/>
            <w:left w:val="none" w:sz="0" w:space="0" w:color="auto"/>
            <w:bottom w:val="none" w:sz="0" w:space="0" w:color="auto"/>
            <w:right w:val="none" w:sz="0" w:space="0" w:color="auto"/>
          </w:divBdr>
        </w:div>
        <w:div w:id="991523150">
          <w:marLeft w:val="0"/>
          <w:marRight w:val="0"/>
          <w:marTop w:val="0"/>
          <w:marBottom w:val="0"/>
          <w:divBdr>
            <w:top w:val="none" w:sz="0" w:space="0" w:color="auto"/>
            <w:left w:val="none" w:sz="0" w:space="0" w:color="auto"/>
            <w:bottom w:val="none" w:sz="0" w:space="0" w:color="auto"/>
            <w:right w:val="none" w:sz="0" w:space="0" w:color="auto"/>
          </w:divBdr>
        </w:div>
        <w:div w:id="1036387057">
          <w:marLeft w:val="0"/>
          <w:marRight w:val="0"/>
          <w:marTop w:val="0"/>
          <w:marBottom w:val="0"/>
          <w:divBdr>
            <w:top w:val="none" w:sz="0" w:space="0" w:color="auto"/>
            <w:left w:val="none" w:sz="0" w:space="0" w:color="auto"/>
            <w:bottom w:val="none" w:sz="0" w:space="0" w:color="auto"/>
            <w:right w:val="none" w:sz="0" w:space="0" w:color="auto"/>
          </w:divBdr>
        </w:div>
        <w:div w:id="1420521033">
          <w:marLeft w:val="0"/>
          <w:marRight w:val="0"/>
          <w:marTop w:val="0"/>
          <w:marBottom w:val="0"/>
          <w:divBdr>
            <w:top w:val="none" w:sz="0" w:space="0" w:color="auto"/>
            <w:left w:val="none" w:sz="0" w:space="0" w:color="auto"/>
            <w:bottom w:val="none" w:sz="0" w:space="0" w:color="auto"/>
            <w:right w:val="none" w:sz="0" w:space="0" w:color="auto"/>
          </w:divBdr>
        </w:div>
        <w:div w:id="1460370818">
          <w:marLeft w:val="0"/>
          <w:marRight w:val="0"/>
          <w:marTop w:val="0"/>
          <w:marBottom w:val="0"/>
          <w:divBdr>
            <w:top w:val="none" w:sz="0" w:space="0" w:color="auto"/>
            <w:left w:val="none" w:sz="0" w:space="0" w:color="auto"/>
            <w:bottom w:val="none" w:sz="0" w:space="0" w:color="auto"/>
            <w:right w:val="none" w:sz="0" w:space="0" w:color="auto"/>
          </w:divBdr>
        </w:div>
        <w:div w:id="1548373078">
          <w:marLeft w:val="0"/>
          <w:marRight w:val="0"/>
          <w:marTop w:val="0"/>
          <w:marBottom w:val="0"/>
          <w:divBdr>
            <w:top w:val="none" w:sz="0" w:space="0" w:color="auto"/>
            <w:left w:val="none" w:sz="0" w:space="0" w:color="auto"/>
            <w:bottom w:val="none" w:sz="0" w:space="0" w:color="auto"/>
            <w:right w:val="none" w:sz="0" w:space="0" w:color="auto"/>
          </w:divBdr>
        </w:div>
        <w:div w:id="1618565859">
          <w:marLeft w:val="0"/>
          <w:marRight w:val="0"/>
          <w:marTop w:val="0"/>
          <w:marBottom w:val="0"/>
          <w:divBdr>
            <w:top w:val="none" w:sz="0" w:space="0" w:color="auto"/>
            <w:left w:val="none" w:sz="0" w:space="0" w:color="auto"/>
            <w:bottom w:val="none" w:sz="0" w:space="0" w:color="auto"/>
            <w:right w:val="none" w:sz="0" w:space="0" w:color="auto"/>
          </w:divBdr>
        </w:div>
        <w:div w:id="1762919331">
          <w:marLeft w:val="0"/>
          <w:marRight w:val="0"/>
          <w:marTop w:val="0"/>
          <w:marBottom w:val="0"/>
          <w:divBdr>
            <w:top w:val="none" w:sz="0" w:space="0" w:color="auto"/>
            <w:left w:val="none" w:sz="0" w:space="0" w:color="auto"/>
            <w:bottom w:val="none" w:sz="0" w:space="0" w:color="auto"/>
            <w:right w:val="none" w:sz="0" w:space="0" w:color="auto"/>
          </w:divBdr>
        </w:div>
        <w:div w:id="1824350709">
          <w:marLeft w:val="0"/>
          <w:marRight w:val="0"/>
          <w:marTop w:val="0"/>
          <w:marBottom w:val="0"/>
          <w:divBdr>
            <w:top w:val="none" w:sz="0" w:space="0" w:color="auto"/>
            <w:left w:val="none" w:sz="0" w:space="0" w:color="auto"/>
            <w:bottom w:val="none" w:sz="0" w:space="0" w:color="auto"/>
            <w:right w:val="none" w:sz="0" w:space="0" w:color="auto"/>
          </w:divBdr>
        </w:div>
      </w:divsChild>
    </w:div>
    <w:div w:id="777338063">
      <w:bodyDiv w:val="1"/>
      <w:marLeft w:val="0"/>
      <w:marRight w:val="0"/>
      <w:marTop w:val="0"/>
      <w:marBottom w:val="0"/>
      <w:divBdr>
        <w:top w:val="none" w:sz="0" w:space="0" w:color="auto"/>
        <w:left w:val="none" w:sz="0" w:space="0" w:color="auto"/>
        <w:bottom w:val="none" w:sz="0" w:space="0" w:color="auto"/>
        <w:right w:val="none" w:sz="0" w:space="0" w:color="auto"/>
      </w:divBdr>
      <w:divsChild>
        <w:div w:id="163588394">
          <w:marLeft w:val="0"/>
          <w:marRight w:val="0"/>
          <w:marTop w:val="0"/>
          <w:marBottom w:val="0"/>
          <w:divBdr>
            <w:top w:val="none" w:sz="0" w:space="0" w:color="auto"/>
            <w:left w:val="none" w:sz="0" w:space="0" w:color="auto"/>
            <w:bottom w:val="none" w:sz="0" w:space="0" w:color="auto"/>
            <w:right w:val="none" w:sz="0" w:space="0" w:color="auto"/>
          </w:divBdr>
        </w:div>
        <w:div w:id="1397433013">
          <w:marLeft w:val="0"/>
          <w:marRight w:val="0"/>
          <w:marTop w:val="0"/>
          <w:marBottom w:val="0"/>
          <w:divBdr>
            <w:top w:val="none" w:sz="0" w:space="0" w:color="auto"/>
            <w:left w:val="none" w:sz="0" w:space="0" w:color="auto"/>
            <w:bottom w:val="none" w:sz="0" w:space="0" w:color="auto"/>
            <w:right w:val="none" w:sz="0" w:space="0" w:color="auto"/>
          </w:divBdr>
        </w:div>
        <w:div w:id="1442528447">
          <w:marLeft w:val="0"/>
          <w:marRight w:val="0"/>
          <w:marTop w:val="0"/>
          <w:marBottom w:val="0"/>
          <w:divBdr>
            <w:top w:val="none" w:sz="0" w:space="0" w:color="auto"/>
            <w:left w:val="none" w:sz="0" w:space="0" w:color="auto"/>
            <w:bottom w:val="none" w:sz="0" w:space="0" w:color="auto"/>
            <w:right w:val="none" w:sz="0" w:space="0" w:color="auto"/>
          </w:divBdr>
        </w:div>
        <w:div w:id="1995379511">
          <w:marLeft w:val="0"/>
          <w:marRight w:val="0"/>
          <w:marTop w:val="0"/>
          <w:marBottom w:val="0"/>
          <w:divBdr>
            <w:top w:val="none" w:sz="0" w:space="0" w:color="auto"/>
            <w:left w:val="none" w:sz="0" w:space="0" w:color="auto"/>
            <w:bottom w:val="none" w:sz="0" w:space="0" w:color="auto"/>
            <w:right w:val="none" w:sz="0" w:space="0" w:color="auto"/>
          </w:divBdr>
        </w:div>
      </w:divsChild>
    </w:div>
    <w:div w:id="777531191">
      <w:bodyDiv w:val="1"/>
      <w:marLeft w:val="0"/>
      <w:marRight w:val="0"/>
      <w:marTop w:val="0"/>
      <w:marBottom w:val="0"/>
      <w:divBdr>
        <w:top w:val="none" w:sz="0" w:space="0" w:color="auto"/>
        <w:left w:val="none" w:sz="0" w:space="0" w:color="auto"/>
        <w:bottom w:val="none" w:sz="0" w:space="0" w:color="auto"/>
        <w:right w:val="none" w:sz="0" w:space="0" w:color="auto"/>
      </w:divBdr>
      <w:divsChild>
        <w:div w:id="14816576">
          <w:marLeft w:val="0"/>
          <w:marRight w:val="0"/>
          <w:marTop w:val="0"/>
          <w:marBottom w:val="0"/>
          <w:divBdr>
            <w:top w:val="none" w:sz="0" w:space="0" w:color="auto"/>
            <w:left w:val="none" w:sz="0" w:space="0" w:color="auto"/>
            <w:bottom w:val="none" w:sz="0" w:space="0" w:color="auto"/>
            <w:right w:val="none" w:sz="0" w:space="0" w:color="auto"/>
          </w:divBdr>
        </w:div>
        <w:div w:id="22948565">
          <w:marLeft w:val="0"/>
          <w:marRight w:val="0"/>
          <w:marTop w:val="0"/>
          <w:marBottom w:val="0"/>
          <w:divBdr>
            <w:top w:val="none" w:sz="0" w:space="0" w:color="auto"/>
            <w:left w:val="none" w:sz="0" w:space="0" w:color="auto"/>
            <w:bottom w:val="none" w:sz="0" w:space="0" w:color="auto"/>
            <w:right w:val="none" w:sz="0" w:space="0" w:color="auto"/>
          </w:divBdr>
        </w:div>
        <w:div w:id="196549066">
          <w:marLeft w:val="0"/>
          <w:marRight w:val="0"/>
          <w:marTop w:val="0"/>
          <w:marBottom w:val="0"/>
          <w:divBdr>
            <w:top w:val="none" w:sz="0" w:space="0" w:color="auto"/>
            <w:left w:val="none" w:sz="0" w:space="0" w:color="auto"/>
            <w:bottom w:val="none" w:sz="0" w:space="0" w:color="auto"/>
            <w:right w:val="none" w:sz="0" w:space="0" w:color="auto"/>
          </w:divBdr>
        </w:div>
        <w:div w:id="256063582">
          <w:marLeft w:val="0"/>
          <w:marRight w:val="0"/>
          <w:marTop w:val="0"/>
          <w:marBottom w:val="0"/>
          <w:divBdr>
            <w:top w:val="none" w:sz="0" w:space="0" w:color="auto"/>
            <w:left w:val="none" w:sz="0" w:space="0" w:color="auto"/>
            <w:bottom w:val="none" w:sz="0" w:space="0" w:color="auto"/>
            <w:right w:val="none" w:sz="0" w:space="0" w:color="auto"/>
          </w:divBdr>
        </w:div>
        <w:div w:id="266889068">
          <w:marLeft w:val="0"/>
          <w:marRight w:val="0"/>
          <w:marTop w:val="0"/>
          <w:marBottom w:val="0"/>
          <w:divBdr>
            <w:top w:val="none" w:sz="0" w:space="0" w:color="auto"/>
            <w:left w:val="none" w:sz="0" w:space="0" w:color="auto"/>
            <w:bottom w:val="none" w:sz="0" w:space="0" w:color="auto"/>
            <w:right w:val="none" w:sz="0" w:space="0" w:color="auto"/>
          </w:divBdr>
        </w:div>
        <w:div w:id="354577068">
          <w:marLeft w:val="0"/>
          <w:marRight w:val="0"/>
          <w:marTop w:val="0"/>
          <w:marBottom w:val="0"/>
          <w:divBdr>
            <w:top w:val="none" w:sz="0" w:space="0" w:color="auto"/>
            <w:left w:val="none" w:sz="0" w:space="0" w:color="auto"/>
            <w:bottom w:val="none" w:sz="0" w:space="0" w:color="auto"/>
            <w:right w:val="none" w:sz="0" w:space="0" w:color="auto"/>
          </w:divBdr>
        </w:div>
        <w:div w:id="359091613">
          <w:marLeft w:val="0"/>
          <w:marRight w:val="0"/>
          <w:marTop w:val="0"/>
          <w:marBottom w:val="0"/>
          <w:divBdr>
            <w:top w:val="none" w:sz="0" w:space="0" w:color="auto"/>
            <w:left w:val="none" w:sz="0" w:space="0" w:color="auto"/>
            <w:bottom w:val="none" w:sz="0" w:space="0" w:color="auto"/>
            <w:right w:val="none" w:sz="0" w:space="0" w:color="auto"/>
          </w:divBdr>
        </w:div>
        <w:div w:id="450369307">
          <w:marLeft w:val="0"/>
          <w:marRight w:val="0"/>
          <w:marTop w:val="0"/>
          <w:marBottom w:val="0"/>
          <w:divBdr>
            <w:top w:val="none" w:sz="0" w:space="0" w:color="auto"/>
            <w:left w:val="none" w:sz="0" w:space="0" w:color="auto"/>
            <w:bottom w:val="none" w:sz="0" w:space="0" w:color="auto"/>
            <w:right w:val="none" w:sz="0" w:space="0" w:color="auto"/>
          </w:divBdr>
        </w:div>
        <w:div w:id="686833377">
          <w:marLeft w:val="0"/>
          <w:marRight w:val="0"/>
          <w:marTop w:val="0"/>
          <w:marBottom w:val="0"/>
          <w:divBdr>
            <w:top w:val="none" w:sz="0" w:space="0" w:color="auto"/>
            <w:left w:val="none" w:sz="0" w:space="0" w:color="auto"/>
            <w:bottom w:val="none" w:sz="0" w:space="0" w:color="auto"/>
            <w:right w:val="none" w:sz="0" w:space="0" w:color="auto"/>
          </w:divBdr>
        </w:div>
        <w:div w:id="743843981">
          <w:marLeft w:val="0"/>
          <w:marRight w:val="0"/>
          <w:marTop w:val="0"/>
          <w:marBottom w:val="0"/>
          <w:divBdr>
            <w:top w:val="none" w:sz="0" w:space="0" w:color="auto"/>
            <w:left w:val="none" w:sz="0" w:space="0" w:color="auto"/>
            <w:bottom w:val="none" w:sz="0" w:space="0" w:color="auto"/>
            <w:right w:val="none" w:sz="0" w:space="0" w:color="auto"/>
          </w:divBdr>
        </w:div>
        <w:div w:id="752776126">
          <w:marLeft w:val="0"/>
          <w:marRight w:val="0"/>
          <w:marTop w:val="0"/>
          <w:marBottom w:val="0"/>
          <w:divBdr>
            <w:top w:val="none" w:sz="0" w:space="0" w:color="auto"/>
            <w:left w:val="none" w:sz="0" w:space="0" w:color="auto"/>
            <w:bottom w:val="none" w:sz="0" w:space="0" w:color="auto"/>
            <w:right w:val="none" w:sz="0" w:space="0" w:color="auto"/>
          </w:divBdr>
        </w:div>
        <w:div w:id="776872192">
          <w:marLeft w:val="0"/>
          <w:marRight w:val="0"/>
          <w:marTop w:val="0"/>
          <w:marBottom w:val="0"/>
          <w:divBdr>
            <w:top w:val="none" w:sz="0" w:space="0" w:color="auto"/>
            <w:left w:val="none" w:sz="0" w:space="0" w:color="auto"/>
            <w:bottom w:val="none" w:sz="0" w:space="0" w:color="auto"/>
            <w:right w:val="none" w:sz="0" w:space="0" w:color="auto"/>
          </w:divBdr>
        </w:div>
        <w:div w:id="800654524">
          <w:marLeft w:val="0"/>
          <w:marRight w:val="0"/>
          <w:marTop w:val="0"/>
          <w:marBottom w:val="0"/>
          <w:divBdr>
            <w:top w:val="none" w:sz="0" w:space="0" w:color="auto"/>
            <w:left w:val="none" w:sz="0" w:space="0" w:color="auto"/>
            <w:bottom w:val="none" w:sz="0" w:space="0" w:color="auto"/>
            <w:right w:val="none" w:sz="0" w:space="0" w:color="auto"/>
          </w:divBdr>
        </w:div>
        <w:div w:id="807279669">
          <w:marLeft w:val="0"/>
          <w:marRight w:val="0"/>
          <w:marTop w:val="0"/>
          <w:marBottom w:val="0"/>
          <w:divBdr>
            <w:top w:val="none" w:sz="0" w:space="0" w:color="auto"/>
            <w:left w:val="none" w:sz="0" w:space="0" w:color="auto"/>
            <w:bottom w:val="none" w:sz="0" w:space="0" w:color="auto"/>
            <w:right w:val="none" w:sz="0" w:space="0" w:color="auto"/>
          </w:divBdr>
        </w:div>
        <w:div w:id="827986930">
          <w:marLeft w:val="0"/>
          <w:marRight w:val="0"/>
          <w:marTop w:val="0"/>
          <w:marBottom w:val="0"/>
          <w:divBdr>
            <w:top w:val="none" w:sz="0" w:space="0" w:color="auto"/>
            <w:left w:val="none" w:sz="0" w:space="0" w:color="auto"/>
            <w:bottom w:val="none" w:sz="0" w:space="0" w:color="auto"/>
            <w:right w:val="none" w:sz="0" w:space="0" w:color="auto"/>
          </w:divBdr>
        </w:div>
        <w:div w:id="850606317">
          <w:marLeft w:val="0"/>
          <w:marRight w:val="0"/>
          <w:marTop w:val="0"/>
          <w:marBottom w:val="0"/>
          <w:divBdr>
            <w:top w:val="none" w:sz="0" w:space="0" w:color="auto"/>
            <w:left w:val="none" w:sz="0" w:space="0" w:color="auto"/>
            <w:bottom w:val="none" w:sz="0" w:space="0" w:color="auto"/>
            <w:right w:val="none" w:sz="0" w:space="0" w:color="auto"/>
          </w:divBdr>
        </w:div>
        <w:div w:id="913973121">
          <w:marLeft w:val="0"/>
          <w:marRight w:val="0"/>
          <w:marTop w:val="0"/>
          <w:marBottom w:val="0"/>
          <w:divBdr>
            <w:top w:val="none" w:sz="0" w:space="0" w:color="auto"/>
            <w:left w:val="none" w:sz="0" w:space="0" w:color="auto"/>
            <w:bottom w:val="none" w:sz="0" w:space="0" w:color="auto"/>
            <w:right w:val="none" w:sz="0" w:space="0" w:color="auto"/>
          </w:divBdr>
        </w:div>
        <w:div w:id="914970314">
          <w:marLeft w:val="0"/>
          <w:marRight w:val="0"/>
          <w:marTop w:val="0"/>
          <w:marBottom w:val="0"/>
          <w:divBdr>
            <w:top w:val="none" w:sz="0" w:space="0" w:color="auto"/>
            <w:left w:val="none" w:sz="0" w:space="0" w:color="auto"/>
            <w:bottom w:val="none" w:sz="0" w:space="0" w:color="auto"/>
            <w:right w:val="none" w:sz="0" w:space="0" w:color="auto"/>
          </w:divBdr>
        </w:div>
        <w:div w:id="927077026">
          <w:marLeft w:val="0"/>
          <w:marRight w:val="0"/>
          <w:marTop w:val="0"/>
          <w:marBottom w:val="0"/>
          <w:divBdr>
            <w:top w:val="none" w:sz="0" w:space="0" w:color="auto"/>
            <w:left w:val="none" w:sz="0" w:space="0" w:color="auto"/>
            <w:bottom w:val="none" w:sz="0" w:space="0" w:color="auto"/>
            <w:right w:val="none" w:sz="0" w:space="0" w:color="auto"/>
          </w:divBdr>
        </w:div>
        <w:div w:id="937714610">
          <w:marLeft w:val="0"/>
          <w:marRight w:val="0"/>
          <w:marTop w:val="0"/>
          <w:marBottom w:val="0"/>
          <w:divBdr>
            <w:top w:val="none" w:sz="0" w:space="0" w:color="auto"/>
            <w:left w:val="none" w:sz="0" w:space="0" w:color="auto"/>
            <w:bottom w:val="none" w:sz="0" w:space="0" w:color="auto"/>
            <w:right w:val="none" w:sz="0" w:space="0" w:color="auto"/>
          </w:divBdr>
        </w:div>
        <w:div w:id="980187713">
          <w:marLeft w:val="0"/>
          <w:marRight w:val="0"/>
          <w:marTop w:val="0"/>
          <w:marBottom w:val="0"/>
          <w:divBdr>
            <w:top w:val="none" w:sz="0" w:space="0" w:color="auto"/>
            <w:left w:val="none" w:sz="0" w:space="0" w:color="auto"/>
            <w:bottom w:val="none" w:sz="0" w:space="0" w:color="auto"/>
            <w:right w:val="none" w:sz="0" w:space="0" w:color="auto"/>
          </w:divBdr>
        </w:div>
        <w:div w:id="1053890871">
          <w:marLeft w:val="0"/>
          <w:marRight w:val="0"/>
          <w:marTop w:val="0"/>
          <w:marBottom w:val="0"/>
          <w:divBdr>
            <w:top w:val="none" w:sz="0" w:space="0" w:color="auto"/>
            <w:left w:val="none" w:sz="0" w:space="0" w:color="auto"/>
            <w:bottom w:val="none" w:sz="0" w:space="0" w:color="auto"/>
            <w:right w:val="none" w:sz="0" w:space="0" w:color="auto"/>
          </w:divBdr>
        </w:div>
        <w:div w:id="1146245263">
          <w:marLeft w:val="0"/>
          <w:marRight w:val="0"/>
          <w:marTop w:val="0"/>
          <w:marBottom w:val="0"/>
          <w:divBdr>
            <w:top w:val="none" w:sz="0" w:space="0" w:color="auto"/>
            <w:left w:val="none" w:sz="0" w:space="0" w:color="auto"/>
            <w:bottom w:val="none" w:sz="0" w:space="0" w:color="auto"/>
            <w:right w:val="none" w:sz="0" w:space="0" w:color="auto"/>
          </w:divBdr>
        </w:div>
        <w:div w:id="1151017646">
          <w:marLeft w:val="0"/>
          <w:marRight w:val="0"/>
          <w:marTop w:val="0"/>
          <w:marBottom w:val="0"/>
          <w:divBdr>
            <w:top w:val="none" w:sz="0" w:space="0" w:color="auto"/>
            <w:left w:val="none" w:sz="0" w:space="0" w:color="auto"/>
            <w:bottom w:val="none" w:sz="0" w:space="0" w:color="auto"/>
            <w:right w:val="none" w:sz="0" w:space="0" w:color="auto"/>
          </w:divBdr>
        </w:div>
        <w:div w:id="1174681640">
          <w:marLeft w:val="0"/>
          <w:marRight w:val="0"/>
          <w:marTop w:val="0"/>
          <w:marBottom w:val="0"/>
          <w:divBdr>
            <w:top w:val="none" w:sz="0" w:space="0" w:color="auto"/>
            <w:left w:val="none" w:sz="0" w:space="0" w:color="auto"/>
            <w:bottom w:val="none" w:sz="0" w:space="0" w:color="auto"/>
            <w:right w:val="none" w:sz="0" w:space="0" w:color="auto"/>
          </w:divBdr>
        </w:div>
        <w:div w:id="1259018925">
          <w:marLeft w:val="0"/>
          <w:marRight w:val="0"/>
          <w:marTop w:val="0"/>
          <w:marBottom w:val="0"/>
          <w:divBdr>
            <w:top w:val="none" w:sz="0" w:space="0" w:color="auto"/>
            <w:left w:val="none" w:sz="0" w:space="0" w:color="auto"/>
            <w:bottom w:val="none" w:sz="0" w:space="0" w:color="auto"/>
            <w:right w:val="none" w:sz="0" w:space="0" w:color="auto"/>
          </w:divBdr>
        </w:div>
        <w:div w:id="1293247017">
          <w:marLeft w:val="0"/>
          <w:marRight w:val="0"/>
          <w:marTop w:val="0"/>
          <w:marBottom w:val="0"/>
          <w:divBdr>
            <w:top w:val="none" w:sz="0" w:space="0" w:color="auto"/>
            <w:left w:val="none" w:sz="0" w:space="0" w:color="auto"/>
            <w:bottom w:val="none" w:sz="0" w:space="0" w:color="auto"/>
            <w:right w:val="none" w:sz="0" w:space="0" w:color="auto"/>
          </w:divBdr>
        </w:div>
        <w:div w:id="1343900755">
          <w:marLeft w:val="0"/>
          <w:marRight w:val="0"/>
          <w:marTop w:val="0"/>
          <w:marBottom w:val="0"/>
          <w:divBdr>
            <w:top w:val="none" w:sz="0" w:space="0" w:color="auto"/>
            <w:left w:val="none" w:sz="0" w:space="0" w:color="auto"/>
            <w:bottom w:val="none" w:sz="0" w:space="0" w:color="auto"/>
            <w:right w:val="none" w:sz="0" w:space="0" w:color="auto"/>
          </w:divBdr>
        </w:div>
        <w:div w:id="1373648706">
          <w:marLeft w:val="0"/>
          <w:marRight w:val="0"/>
          <w:marTop w:val="0"/>
          <w:marBottom w:val="0"/>
          <w:divBdr>
            <w:top w:val="none" w:sz="0" w:space="0" w:color="auto"/>
            <w:left w:val="none" w:sz="0" w:space="0" w:color="auto"/>
            <w:bottom w:val="none" w:sz="0" w:space="0" w:color="auto"/>
            <w:right w:val="none" w:sz="0" w:space="0" w:color="auto"/>
          </w:divBdr>
        </w:div>
        <w:div w:id="1382023219">
          <w:marLeft w:val="0"/>
          <w:marRight w:val="0"/>
          <w:marTop w:val="0"/>
          <w:marBottom w:val="0"/>
          <w:divBdr>
            <w:top w:val="none" w:sz="0" w:space="0" w:color="auto"/>
            <w:left w:val="none" w:sz="0" w:space="0" w:color="auto"/>
            <w:bottom w:val="none" w:sz="0" w:space="0" w:color="auto"/>
            <w:right w:val="none" w:sz="0" w:space="0" w:color="auto"/>
          </w:divBdr>
        </w:div>
        <w:div w:id="1411124300">
          <w:marLeft w:val="0"/>
          <w:marRight w:val="0"/>
          <w:marTop w:val="0"/>
          <w:marBottom w:val="0"/>
          <w:divBdr>
            <w:top w:val="none" w:sz="0" w:space="0" w:color="auto"/>
            <w:left w:val="none" w:sz="0" w:space="0" w:color="auto"/>
            <w:bottom w:val="none" w:sz="0" w:space="0" w:color="auto"/>
            <w:right w:val="none" w:sz="0" w:space="0" w:color="auto"/>
          </w:divBdr>
        </w:div>
        <w:div w:id="1422339853">
          <w:marLeft w:val="0"/>
          <w:marRight w:val="0"/>
          <w:marTop w:val="0"/>
          <w:marBottom w:val="0"/>
          <w:divBdr>
            <w:top w:val="none" w:sz="0" w:space="0" w:color="auto"/>
            <w:left w:val="none" w:sz="0" w:space="0" w:color="auto"/>
            <w:bottom w:val="none" w:sz="0" w:space="0" w:color="auto"/>
            <w:right w:val="none" w:sz="0" w:space="0" w:color="auto"/>
          </w:divBdr>
        </w:div>
        <w:div w:id="1483429169">
          <w:marLeft w:val="0"/>
          <w:marRight w:val="0"/>
          <w:marTop w:val="0"/>
          <w:marBottom w:val="0"/>
          <w:divBdr>
            <w:top w:val="none" w:sz="0" w:space="0" w:color="auto"/>
            <w:left w:val="none" w:sz="0" w:space="0" w:color="auto"/>
            <w:bottom w:val="none" w:sz="0" w:space="0" w:color="auto"/>
            <w:right w:val="none" w:sz="0" w:space="0" w:color="auto"/>
          </w:divBdr>
        </w:div>
        <w:div w:id="1488010187">
          <w:marLeft w:val="0"/>
          <w:marRight w:val="0"/>
          <w:marTop w:val="0"/>
          <w:marBottom w:val="0"/>
          <w:divBdr>
            <w:top w:val="none" w:sz="0" w:space="0" w:color="auto"/>
            <w:left w:val="none" w:sz="0" w:space="0" w:color="auto"/>
            <w:bottom w:val="none" w:sz="0" w:space="0" w:color="auto"/>
            <w:right w:val="none" w:sz="0" w:space="0" w:color="auto"/>
          </w:divBdr>
        </w:div>
        <w:div w:id="1523350962">
          <w:marLeft w:val="0"/>
          <w:marRight w:val="0"/>
          <w:marTop w:val="0"/>
          <w:marBottom w:val="0"/>
          <w:divBdr>
            <w:top w:val="none" w:sz="0" w:space="0" w:color="auto"/>
            <w:left w:val="none" w:sz="0" w:space="0" w:color="auto"/>
            <w:bottom w:val="none" w:sz="0" w:space="0" w:color="auto"/>
            <w:right w:val="none" w:sz="0" w:space="0" w:color="auto"/>
          </w:divBdr>
        </w:div>
        <w:div w:id="1593666078">
          <w:marLeft w:val="0"/>
          <w:marRight w:val="0"/>
          <w:marTop w:val="0"/>
          <w:marBottom w:val="0"/>
          <w:divBdr>
            <w:top w:val="none" w:sz="0" w:space="0" w:color="auto"/>
            <w:left w:val="none" w:sz="0" w:space="0" w:color="auto"/>
            <w:bottom w:val="none" w:sz="0" w:space="0" w:color="auto"/>
            <w:right w:val="none" w:sz="0" w:space="0" w:color="auto"/>
          </w:divBdr>
        </w:div>
        <w:div w:id="1599751248">
          <w:marLeft w:val="0"/>
          <w:marRight w:val="0"/>
          <w:marTop w:val="0"/>
          <w:marBottom w:val="0"/>
          <w:divBdr>
            <w:top w:val="none" w:sz="0" w:space="0" w:color="auto"/>
            <w:left w:val="none" w:sz="0" w:space="0" w:color="auto"/>
            <w:bottom w:val="none" w:sz="0" w:space="0" w:color="auto"/>
            <w:right w:val="none" w:sz="0" w:space="0" w:color="auto"/>
          </w:divBdr>
        </w:div>
        <w:div w:id="1685402174">
          <w:marLeft w:val="0"/>
          <w:marRight w:val="0"/>
          <w:marTop w:val="0"/>
          <w:marBottom w:val="0"/>
          <w:divBdr>
            <w:top w:val="none" w:sz="0" w:space="0" w:color="auto"/>
            <w:left w:val="none" w:sz="0" w:space="0" w:color="auto"/>
            <w:bottom w:val="none" w:sz="0" w:space="0" w:color="auto"/>
            <w:right w:val="none" w:sz="0" w:space="0" w:color="auto"/>
          </w:divBdr>
        </w:div>
        <w:div w:id="1739278095">
          <w:marLeft w:val="0"/>
          <w:marRight w:val="0"/>
          <w:marTop w:val="0"/>
          <w:marBottom w:val="0"/>
          <w:divBdr>
            <w:top w:val="none" w:sz="0" w:space="0" w:color="auto"/>
            <w:left w:val="none" w:sz="0" w:space="0" w:color="auto"/>
            <w:bottom w:val="none" w:sz="0" w:space="0" w:color="auto"/>
            <w:right w:val="none" w:sz="0" w:space="0" w:color="auto"/>
          </w:divBdr>
        </w:div>
        <w:div w:id="1745256056">
          <w:marLeft w:val="0"/>
          <w:marRight w:val="0"/>
          <w:marTop w:val="0"/>
          <w:marBottom w:val="0"/>
          <w:divBdr>
            <w:top w:val="none" w:sz="0" w:space="0" w:color="auto"/>
            <w:left w:val="none" w:sz="0" w:space="0" w:color="auto"/>
            <w:bottom w:val="none" w:sz="0" w:space="0" w:color="auto"/>
            <w:right w:val="none" w:sz="0" w:space="0" w:color="auto"/>
          </w:divBdr>
        </w:div>
        <w:div w:id="1746872271">
          <w:marLeft w:val="0"/>
          <w:marRight w:val="0"/>
          <w:marTop w:val="0"/>
          <w:marBottom w:val="0"/>
          <w:divBdr>
            <w:top w:val="none" w:sz="0" w:space="0" w:color="auto"/>
            <w:left w:val="none" w:sz="0" w:space="0" w:color="auto"/>
            <w:bottom w:val="none" w:sz="0" w:space="0" w:color="auto"/>
            <w:right w:val="none" w:sz="0" w:space="0" w:color="auto"/>
          </w:divBdr>
        </w:div>
        <w:div w:id="1749115854">
          <w:marLeft w:val="0"/>
          <w:marRight w:val="0"/>
          <w:marTop w:val="0"/>
          <w:marBottom w:val="0"/>
          <w:divBdr>
            <w:top w:val="none" w:sz="0" w:space="0" w:color="auto"/>
            <w:left w:val="none" w:sz="0" w:space="0" w:color="auto"/>
            <w:bottom w:val="none" w:sz="0" w:space="0" w:color="auto"/>
            <w:right w:val="none" w:sz="0" w:space="0" w:color="auto"/>
          </w:divBdr>
        </w:div>
        <w:div w:id="1771006177">
          <w:marLeft w:val="0"/>
          <w:marRight w:val="0"/>
          <w:marTop w:val="0"/>
          <w:marBottom w:val="0"/>
          <w:divBdr>
            <w:top w:val="none" w:sz="0" w:space="0" w:color="auto"/>
            <w:left w:val="none" w:sz="0" w:space="0" w:color="auto"/>
            <w:bottom w:val="none" w:sz="0" w:space="0" w:color="auto"/>
            <w:right w:val="none" w:sz="0" w:space="0" w:color="auto"/>
          </w:divBdr>
        </w:div>
        <w:div w:id="1784962727">
          <w:marLeft w:val="0"/>
          <w:marRight w:val="0"/>
          <w:marTop w:val="0"/>
          <w:marBottom w:val="0"/>
          <w:divBdr>
            <w:top w:val="none" w:sz="0" w:space="0" w:color="auto"/>
            <w:left w:val="none" w:sz="0" w:space="0" w:color="auto"/>
            <w:bottom w:val="none" w:sz="0" w:space="0" w:color="auto"/>
            <w:right w:val="none" w:sz="0" w:space="0" w:color="auto"/>
          </w:divBdr>
        </w:div>
        <w:div w:id="1803963630">
          <w:marLeft w:val="0"/>
          <w:marRight w:val="0"/>
          <w:marTop w:val="0"/>
          <w:marBottom w:val="0"/>
          <w:divBdr>
            <w:top w:val="none" w:sz="0" w:space="0" w:color="auto"/>
            <w:left w:val="none" w:sz="0" w:space="0" w:color="auto"/>
            <w:bottom w:val="none" w:sz="0" w:space="0" w:color="auto"/>
            <w:right w:val="none" w:sz="0" w:space="0" w:color="auto"/>
          </w:divBdr>
        </w:div>
        <w:div w:id="1861045923">
          <w:marLeft w:val="0"/>
          <w:marRight w:val="0"/>
          <w:marTop w:val="0"/>
          <w:marBottom w:val="0"/>
          <w:divBdr>
            <w:top w:val="none" w:sz="0" w:space="0" w:color="auto"/>
            <w:left w:val="none" w:sz="0" w:space="0" w:color="auto"/>
            <w:bottom w:val="none" w:sz="0" w:space="0" w:color="auto"/>
            <w:right w:val="none" w:sz="0" w:space="0" w:color="auto"/>
          </w:divBdr>
        </w:div>
        <w:div w:id="1931311868">
          <w:marLeft w:val="0"/>
          <w:marRight w:val="0"/>
          <w:marTop w:val="0"/>
          <w:marBottom w:val="0"/>
          <w:divBdr>
            <w:top w:val="none" w:sz="0" w:space="0" w:color="auto"/>
            <w:left w:val="none" w:sz="0" w:space="0" w:color="auto"/>
            <w:bottom w:val="none" w:sz="0" w:space="0" w:color="auto"/>
            <w:right w:val="none" w:sz="0" w:space="0" w:color="auto"/>
          </w:divBdr>
        </w:div>
        <w:div w:id="1932471038">
          <w:marLeft w:val="0"/>
          <w:marRight w:val="0"/>
          <w:marTop w:val="0"/>
          <w:marBottom w:val="0"/>
          <w:divBdr>
            <w:top w:val="none" w:sz="0" w:space="0" w:color="auto"/>
            <w:left w:val="none" w:sz="0" w:space="0" w:color="auto"/>
            <w:bottom w:val="none" w:sz="0" w:space="0" w:color="auto"/>
            <w:right w:val="none" w:sz="0" w:space="0" w:color="auto"/>
          </w:divBdr>
        </w:div>
        <w:div w:id="1972593706">
          <w:marLeft w:val="0"/>
          <w:marRight w:val="0"/>
          <w:marTop w:val="0"/>
          <w:marBottom w:val="0"/>
          <w:divBdr>
            <w:top w:val="none" w:sz="0" w:space="0" w:color="auto"/>
            <w:left w:val="none" w:sz="0" w:space="0" w:color="auto"/>
            <w:bottom w:val="none" w:sz="0" w:space="0" w:color="auto"/>
            <w:right w:val="none" w:sz="0" w:space="0" w:color="auto"/>
          </w:divBdr>
        </w:div>
        <w:div w:id="2020962551">
          <w:marLeft w:val="0"/>
          <w:marRight w:val="0"/>
          <w:marTop w:val="0"/>
          <w:marBottom w:val="0"/>
          <w:divBdr>
            <w:top w:val="none" w:sz="0" w:space="0" w:color="auto"/>
            <w:left w:val="none" w:sz="0" w:space="0" w:color="auto"/>
            <w:bottom w:val="none" w:sz="0" w:space="0" w:color="auto"/>
            <w:right w:val="none" w:sz="0" w:space="0" w:color="auto"/>
          </w:divBdr>
        </w:div>
        <w:div w:id="2021153887">
          <w:marLeft w:val="0"/>
          <w:marRight w:val="0"/>
          <w:marTop w:val="0"/>
          <w:marBottom w:val="0"/>
          <w:divBdr>
            <w:top w:val="none" w:sz="0" w:space="0" w:color="auto"/>
            <w:left w:val="none" w:sz="0" w:space="0" w:color="auto"/>
            <w:bottom w:val="none" w:sz="0" w:space="0" w:color="auto"/>
            <w:right w:val="none" w:sz="0" w:space="0" w:color="auto"/>
          </w:divBdr>
        </w:div>
        <w:div w:id="2031756857">
          <w:marLeft w:val="0"/>
          <w:marRight w:val="0"/>
          <w:marTop w:val="0"/>
          <w:marBottom w:val="0"/>
          <w:divBdr>
            <w:top w:val="none" w:sz="0" w:space="0" w:color="auto"/>
            <w:left w:val="none" w:sz="0" w:space="0" w:color="auto"/>
            <w:bottom w:val="none" w:sz="0" w:space="0" w:color="auto"/>
            <w:right w:val="none" w:sz="0" w:space="0" w:color="auto"/>
          </w:divBdr>
        </w:div>
        <w:div w:id="2050377238">
          <w:marLeft w:val="0"/>
          <w:marRight w:val="0"/>
          <w:marTop w:val="0"/>
          <w:marBottom w:val="0"/>
          <w:divBdr>
            <w:top w:val="none" w:sz="0" w:space="0" w:color="auto"/>
            <w:left w:val="none" w:sz="0" w:space="0" w:color="auto"/>
            <w:bottom w:val="none" w:sz="0" w:space="0" w:color="auto"/>
            <w:right w:val="none" w:sz="0" w:space="0" w:color="auto"/>
          </w:divBdr>
        </w:div>
        <w:div w:id="2120417375">
          <w:marLeft w:val="0"/>
          <w:marRight w:val="0"/>
          <w:marTop w:val="0"/>
          <w:marBottom w:val="0"/>
          <w:divBdr>
            <w:top w:val="none" w:sz="0" w:space="0" w:color="auto"/>
            <w:left w:val="none" w:sz="0" w:space="0" w:color="auto"/>
            <w:bottom w:val="none" w:sz="0" w:space="0" w:color="auto"/>
            <w:right w:val="none" w:sz="0" w:space="0" w:color="auto"/>
          </w:divBdr>
        </w:div>
      </w:divsChild>
    </w:div>
    <w:div w:id="794175161">
      <w:bodyDiv w:val="1"/>
      <w:marLeft w:val="0"/>
      <w:marRight w:val="0"/>
      <w:marTop w:val="0"/>
      <w:marBottom w:val="0"/>
      <w:divBdr>
        <w:top w:val="none" w:sz="0" w:space="0" w:color="auto"/>
        <w:left w:val="none" w:sz="0" w:space="0" w:color="auto"/>
        <w:bottom w:val="none" w:sz="0" w:space="0" w:color="auto"/>
        <w:right w:val="none" w:sz="0" w:space="0" w:color="auto"/>
      </w:divBdr>
      <w:divsChild>
        <w:div w:id="859465400">
          <w:marLeft w:val="0"/>
          <w:marRight w:val="0"/>
          <w:marTop w:val="0"/>
          <w:marBottom w:val="0"/>
          <w:divBdr>
            <w:top w:val="none" w:sz="0" w:space="0" w:color="auto"/>
            <w:left w:val="none" w:sz="0" w:space="0" w:color="auto"/>
            <w:bottom w:val="none" w:sz="0" w:space="0" w:color="auto"/>
            <w:right w:val="none" w:sz="0" w:space="0" w:color="auto"/>
          </w:divBdr>
        </w:div>
        <w:div w:id="1479299646">
          <w:marLeft w:val="0"/>
          <w:marRight w:val="0"/>
          <w:marTop w:val="0"/>
          <w:marBottom w:val="0"/>
          <w:divBdr>
            <w:top w:val="none" w:sz="0" w:space="0" w:color="auto"/>
            <w:left w:val="none" w:sz="0" w:space="0" w:color="auto"/>
            <w:bottom w:val="none" w:sz="0" w:space="0" w:color="auto"/>
            <w:right w:val="none" w:sz="0" w:space="0" w:color="auto"/>
          </w:divBdr>
        </w:div>
      </w:divsChild>
    </w:div>
    <w:div w:id="827475732">
      <w:bodyDiv w:val="1"/>
      <w:marLeft w:val="0"/>
      <w:marRight w:val="0"/>
      <w:marTop w:val="0"/>
      <w:marBottom w:val="0"/>
      <w:divBdr>
        <w:top w:val="none" w:sz="0" w:space="0" w:color="auto"/>
        <w:left w:val="none" w:sz="0" w:space="0" w:color="auto"/>
        <w:bottom w:val="none" w:sz="0" w:space="0" w:color="auto"/>
        <w:right w:val="none" w:sz="0" w:space="0" w:color="auto"/>
      </w:divBdr>
      <w:divsChild>
        <w:div w:id="1064060712">
          <w:marLeft w:val="0"/>
          <w:marRight w:val="0"/>
          <w:marTop w:val="0"/>
          <w:marBottom w:val="0"/>
          <w:divBdr>
            <w:top w:val="none" w:sz="0" w:space="0" w:color="auto"/>
            <w:left w:val="none" w:sz="0" w:space="0" w:color="auto"/>
            <w:bottom w:val="none" w:sz="0" w:space="0" w:color="auto"/>
            <w:right w:val="none" w:sz="0" w:space="0" w:color="auto"/>
          </w:divBdr>
        </w:div>
        <w:div w:id="1394814094">
          <w:marLeft w:val="0"/>
          <w:marRight w:val="0"/>
          <w:marTop w:val="0"/>
          <w:marBottom w:val="0"/>
          <w:divBdr>
            <w:top w:val="none" w:sz="0" w:space="0" w:color="auto"/>
            <w:left w:val="none" w:sz="0" w:space="0" w:color="auto"/>
            <w:bottom w:val="none" w:sz="0" w:space="0" w:color="auto"/>
            <w:right w:val="none" w:sz="0" w:space="0" w:color="auto"/>
          </w:divBdr>
        </w:div>
        <w:div w:id="1557738722">
          <w:marLeft w:val="0"/>
          <w:marRight w:val="0"/>
          <w:marTop w:val="0"/>
          <w:marBottom w:val="0"/>
          <w:divBdr>
            <w:top w:val="none" w:sz="0" w:space="0" w:color="auto"/>
            <w:left w:val="none" w:sz="0" w:space="0" w:color="auto"/>
            <w:bottom w:val="none" w:sz="0" w:space="0" w:color="auto"/>
            <w:right w:val="none" w:sz="0" w:space="0" w:color="auto"/>
          </w:divBdr>
        </w:div>
        <w:div w:id="1628119520">
          <w:marLeft w:val="0"/>
          <w:marRight w:val="0"/>
          <w:marTop w:val="0"/>
          <w:marBottom w:val="0"/>
          <w:divBdr>
            <w:top w:val="none" w:sz="0" w:space="0" w:color="auto"/>
            <w:left w:val="none" w:sz="0" w:space="0" w:color="auto"/>
            <w:bottom w:val="none" w:sz="0" w:space="0" w:color="auto"/>
            <w:right w:val="none" w:sz="0" w:space="0" w:color="auto"/>
          </w:divBdr>
        </w:div>
        <w:div w:id="1809515673">
          <w:marLeft w:val="0"/>
          <w:marRight w:val="0"/>
          <w:marTop w:val="0"/>
          <w:marBottom w:val="0"/>
          <w:divBdr>
            <w:top w:val="none" w:sz="0" w:space="0" w:color="auto"/>
            <w:left w:val="none" w:sz="0" w:space="0" w:color="auto"/>
            <w:bottom w:val="none" w:sz="0" w:space="0" w:color="auto"/>
            <w:right w:val="none" w:sz="0" w:space="0" w:color="auto"/>
          </w:divBdr>
        </w:div>
        <w:div w:id="1989285457">
          <w:marLeft w:val="0"/>
          <w:marRight w:val="0"/>
          <w:marTop w:val="0"/>
          <w:marBottom w:val="0"/>
          <w:divBdr>
            <w:top w:val="none" w:sz="0" w:space="0" w:color="auto"/>
            <w:left w:val="none" w:sz="0" w:space="0" w:color="auto"/>
            <w:bottom w:val="none" w:sz="0" w:space="0" w:color="auto"/>
            <w:right w:val="none" w:sz="0" w:space="0" w:color="auto"/>
          </w:divBdr>
        </w:div>
      </w:divsChild>
    </w:div>
    <w:div w:id="958487188">
      <w:bodyDiv w:val="1"/>
      <w:marLeft w:val="0"/>
      <w:marRight w:val="0"/>
      <w:marTop w:val="0"/>
      <w:marBottom w:val="0"/>
      <w:divBdr>
        <w:top w:val="none" w:sz="0" w:space="0" w:color="auto"/>
        <w:left w:val="none" w:sz="0" w:space="0" w:color="auto"/>
        <w:bottom w:val="none" w:sz="0" w:space="0" w:color="auto"/>
        <w:right w:val="none" w:sz="0" w:space="0" w:color="auto"/>
      </w:divBdr>
      <w:divsChild>
        <w:div w:id="54089357">
          <w:marLeft w:val="0"/>
          <w:marRight w:val="0"/>
          <w:marTop w:val="0"/>
          <w:marBottom w:val="0"/>
          <w:divBdr>
            <w:top w:val="none" w:sz="0" w:space="0" w:color="auto"/>
            <w:left w:val="none" w:sz="0" w:space="0" w:color="auto"/>
            <w:bottom w:val="none" w:sz="0" w:space="0" w:color="auto"/>
            <w:right w:val="none" w:sz="0" w:space="0" w:color="auto"/>
          </w:divBdr>
        </w:div>
        <w:div w:id="416900447">
          <w:marLeft w:val="0"/>
          <w:marRight w:val="0"/>
          <w:marTop w:val="0"/>
          <w:marBottom w:val="0"/>
          <w:divBdr>
            <w:top w:val="none" w:sz="0" w:space="0" w:color="auto"/>
            <w:left w:val="none" w:sz="0" w:space="0" w:color="auto"/>
            <w:bottom w:val="none" w:sz="0" w:space="0" w:color="auto"/>
            <w:right w:val="none" w:sz="0" w:space="0" w:color="auto"/>
          </w:divBdr>
        </w:div>
        <w:div w:id="560944341">
          <w:marLeft w:val="0"/>
          <w:marRight w:val="0"/>
          <w:marTop w:val="0"/>
          <w:marBottom w:val="0"/>
          <w:divBdr>
            <w:top w:val="none" w:sz="0" w:space="0" w:color="auto"/>
            <w:left w:val="none" w:sz="0" w:space="0" w:color="auto"/>
            <w:bottom w:val="none" w:sz="0" w:space="0" w:color="auto"/>
            <w:right w:val="none" w:sz="0" w:space="0" w:color="auto"/>
          </w:divBdr>
        </w:div>
        <w:div w:id="677392699">
          <w:marLeft w:val="0"/>
          <w:marRight w:val="0"/>
          <w:marTop w:val="0"/>
          <w:marBottom w:val="0"/>
          <w:divBdr>
            <w:top w:val="none" w:sz="0" w:space="0" w:color="auto"/>
            <w:left w:val="none" w:sz="0" w:space="0" w:color="auto"/>
            <w:bottom w:val="none" w:sz="0" w:space="0" w:color="auto"/>
            <w:right w:val="none" w:sz="0" w:space="0" w:color="auto"/>
          </w:divBdr>
        </w:div>
        <w:div w:id="1999455371">
          <w:marLeft w:val="0"/>
          <w:marRight w:val="0"/>
          <w:marTop w:val="0"/>
          <w:marBottom w:val="0"/>
          <w:divBdr>
            <w:top w:val="none" w:sz="0" w:space="0" w:color="auto"/>
            <w:left w:val="none" w:sz="0" w:space="0" w:color="auto"/>
            <w:bottom w:val="none" w:sz="0" w:space="0" w:color="auto"/>
            <w:right w:val="none" w:sz="0" w:space="0" w:color="auto"/>
          </w:divBdr>
        </w:div>
        <w:div w:id="2110469451">
          <w:marLeft w:val="0"/>
          <w:marRight w:val="0"/>
          <w:marTop w:val="0"/>
          <w:marBottom w:val="0"/>
          <w:divBdr>
            <w:top w:val="none" w:sz="0" w:space="0" w:color="auto"/>
            <w:left w:val="none" w:sz="0" w:space="0" w:color="auto"/>
            <w:bottom w:val="none" w:sz="0" w:space="0" w:color="auto"/>
            <w:right w:val="none" w:sz="0" w:space="0" w:color="auto"/>
          </w:divBdr>
        </w:div>
        <w:div w:id="2112815198">
          <w:marLeft w:val="0"/>
          <w:marRight w:val="0"/>
          <w:marTop w:val="0"/>
          <w:marBottom w:val="0"/>
          <w:divBdr>
            <w:top w:val="none" w:sz="0" w:space="0" w:color="auto"/>
            <w:left w:val="none" w:sz="0" w:space="0" w:color="auto"/>
            <w:bottom w:val="none" w:sz="0" w:space="0" w:color="auto"/>
            <w:right w:val="none" w:sz="0" w:space="0" w:color="auto"/>
          </w:divBdr>
        </w:div>
      </w:divsChild>
    </w:div>
    <w:div w:id="982275100">
      <w:bodyDiv w:val="1"/>
      <w:marLeft w:val="0"/>
      <w:marRight w:val="0"/>
      <w:marTop w:val="0"/>
      <w:marBottom w:val="0"/>
      <w:divBdr>
        <w:top w:val="none" w:sz="0" w:space="0" w:color="auto"/>
        <w:left w:val="none" w:sz="0" w:space="0" w:color="auto"/>
        <w:bottom w:val="none" w:sz="0" w:space="0" w:color="auto"/>
        <w:right w:val="none" w:sz="0" w:space="0" w:color="auto"/>
      </w:divBdr>
      <w:divsChild>
        <w:div w:id="353073919">
          <w:marLeft w:val="0"/>
          <w:marRight w:val="0"/>
          <w:marTop w:val="0"/>
          <w:marBottom w:val="0"/>
          <w:divBdr>
            <w:top w:val="none" w:sz="0" w:space="0" w:color="auto"/>
            <w:left w:val="none" w:sz="0" w:space="0" w:color="auto"/>
            <w:bottom w:val="none" w:sz="0" w:space="0" w:color="auto"/>
            <w:right w:val="none" w:sz="0" w:space="0" w:color="auto"/>
          </w:divBdr>
        </w:div>
        <w:div w:id="586500288">
          <w:marLeft w:val="0"/>
          <w:marRight w:val="0"/>
          <w:marTop w:val="0"/>
          <w:marBottom w:val="0"/>
          <w:divBdr>
            <w:top w:val="none" w:sz="0" w:space="0" w:color="auto"/>
            <w:left w:val="none" w:sz="0" w:space="0" w:color="auto"/>
            <w:bottom w:val="none" w:sz="0" w:space="0" w:color="auto"/>
            <w:right w:val="none" w:sz="0" w:space="0" w:color="auto"/>
          </w:divBdr>
        </w:div>
      </w:divsChild>
    </w:div>
    <w:div w:id="1020011060">
      <w:bodyDiv w:val="1"/>
      <w:marLeft w:val="0"/>
      <w:marRight w:val="0"/>
      <w:marTop w:val="0"/>
      <w:marBottom w:val="0"/>
      <w:divBdr>
        <w:top w:val="none" w:sz="0" w:space="0" w:color="auto"/>
        <w:left w:val="none" w:sz="0" w:space="0" w:color="auto"/>
        <w:bottom w:val="none" w:sz="0" w:space="0" w:color="auto"/>
        <w:right w:val="none" w:sz="0" w:space="0" w:color="auto"/>
      </w:divBdr>
      <w:divsChild>
        <w:div w:id="1058938304">
          <w:marLeft w:val="0"/>
          <w:marRight w:val="0"/>
          <w:marTop w:val="0"/>
          <w:marBottom w:val="0"/>
          <w:divBdr>
            <w:top w:val="none" w:sz="0" w:space="0" w:color="auto"/>
            <w:left w:val="none" w:sz="0" w:space="0" w:color="auto"/>
            <w:bottom w:val="none" w:sz="0" w:space="0" w:color="auto"/>
            <w:right w:val="none" w:sz="0" w:space="0" w:color="auto"/>
          </w:divBdr>
        </w:div>
        <w:div w:id="1340235055">
          <w:marLeft w:val="0"/>
          <w:marRight w:val="0"/>
          <w:marTop w:val="0"/>
          <w:marBottom w:val="0"/>
          <w:divBdr>
            <w:top w:val="none" w:sz="0" w:space="0" w:color="auto"/>
            <w:left w:val="none" w:sz="0" w:space="0" w:color="auto"/>
            <w:bottom w:val="none" w:sz="0" w:space="0" w:color="auto"/>
            <w:right w:val="none" w:sz="0" w:space="0" w:color="auto"/>
          </w:divBdr>
        </w:div>
        <w:div w:id="1355154018">
          <w:marLeft w:val="0"/>
          <w:marRight w:val="0"/>
          <w:marTop w:val="0"/>
          <w:marBottom w:val="0"/>
          <w:divBdr>
            <w:top w:val="none" w:sz="0" w:space="0" w:color="auto"/>
            <w:left w:val="none" w:sz="0" w:space="0" w:color="auto"/>
            <w:bottom w:val="none" w:sz="0" w:space="0" w:color="auto"/>
            <w:right w:val="none" w:sz="0" w:space="0" w:color="auto"/>
          </w:divBdr>
        </w:div>
        <w:div w:id="1572545151">
          <w:marLeft w:val="0"/>
          <w:marRight w:val="0"/>
          <w:marTop w:val="0"/>
          <w:marBottom w:val="0"/>
          <w:divBdr>
            <w:top w:val="none" w:sz="0" w:space="0" w:color="auto"/>
            <w:left w:val="none" w:sz="0" w:space="0" w:color="auto"/>
            <w:bottom w:val="none" w:sz="0" w:space="0" w:color="auto"/>
            <w:right w:val="none" w:sz="0" w:space="0" w:color="auto"/>
          </w:divBdr>
        </w:div>
        <w:div w:id="1633822204">
          <w:marLeft w:val="0"/>
          <w:marRight w:val="0"/>
          <w:marTop w:val="0"/>
          <w:marBottom w:val="0"/>
          <w:divBdr>
            <w:top w:val="none" w:sz="0" w:space="0" w:color="auto"/>
            <w:left w:val="none" w:sz="0" w:space="0" w:color="auto"/>
            <w:bottom w:val="none" w:sz="0" w:space="0" w:color="auto"/>
            <w:right w:val="none" w:sz="0" w:space="0" w:color="auto"/>
          </w:divBdr>
        </w:div>
        <w:div w:id="1791901106">
          <w:marLeft w:val="0"/>
          <w:marRight w:val="0"/>
          <w:marTop w:val="0"/>
          <w:marBottom w:val="0"/>
          <w:divBdr>
            <w:top w:val="none" w:sz="0" w:space="0" w:color="auto"/>
            <w:left w:val="none" w:sz="0" w:space="0" w:color="auto"/>
            <w:bottom w:val="none" w:sz="0" w:space="0" w:color="auto"/>
            <w:right w:val="none" w:sz="0" w:space="0" w:color="auto"/>
          </w:divBdr>
        </w:div>
        <w:div w:id="1930237091">
          <w:marLeft w:val="0"/>
          <w:marRight w:val="0"/>
          <w:marTop w:val="0"/>
          <w:marBottom w:val="0"/>
          <w:divBdr>
            <w:top w:val="none" w:sz="0" w:space="0" w:color="auto"/>
            <w:left w:val="none" w:sz="0" w:space="0" w:color="auto"/>
            <w:bottom w:val="none" w:sz="0" w:space="0" w:color="auto"/>
            <w:right w:val="none" w:sz="0" w:space="0" w:color="auto"/>
          </w:divBdr>
        </w:div>
        <w:div w:id="1951352846">
          <w:marLeft w:val="0"/>
          <w:marRight w:val="0"/>
          <w:marTop w:val="0"/>
          <w:marBottom w:val="0"/>
          <w:divBdr>
            <w:top w:val="none" w:sz="0" w:space="0" w:color="auto"/>
            <w:left w:val="none" w:sz="0" w:space="0" w:color="auto"/>
            <w:bottom w:val="none" w:sz="0" w:space="0" w:color="auto"/>
            <w:right w:val="none" w:sz="0" w:space="0" w:color="auto"/>
          </w:divBdr>
        </w:div>
      </w:divsChild>
    </w:div>
    <w:div w:id="1066025428">
      <w:bodyDiv w:val="1"/>
      <w:marLeft w:val="0"/>
      <w:marRight w:val="0"/>
      <w:marTop w:val="0"/>
      <w:marBottom w:val="0"/>
      <w:divBdr>
        <w:top w:val="none" w:sz="0" w:space="0" w:color="auto"/>
        <w:left w:val="none" w:sz="0" w:space="0" w:color="auto"/>
        <w:bottom w:val="none" w:sz="0" w:space="0" w:color="auto"/>
        <w:right w:val="none" w:sz="0" w:space="0" w:color="auto"/>
      </w:divBdr>
      <w:divsChild>
        <w:div w:id="166331311">
          <w:marLeft w:val="0"/>
          <w:marRight w:val="0"/>
          <w:marTop w:val="0"/>
          <w:marBottom w:val="0"/>
          <w:divBdr>
            <w:top w:val="none" w:sz="0" w:space="0" w:color="auto"/>
            <w:left w:val="none" w:sz="0" w:space="0" w:color="auto"/>
            <w:bottom w:val="none" w:sz="0" w:space="0" w:color="auto"/>
            <w:right w:val="none" w:sz="0" w:space="0" w:color="auto"/>
          </w:divBdr>
        </w:div>
        <w:div w:id="360478196">
          <w:marLeft w:val="0"/>
          <w:marRight w:val="0"/>
          <w:marTop w:val="0"/>
          <w:marBottom w:val="0"/>
          <w:divBdr>
            <w:top w:val="none" w:sz="0" w:space="0" w:color="auto"/>
            <w:left w:val="none" w:sz="0" w:space="0" w:color="auto"/>
            <w:bottom w:val="none" w:sz="0" w:space="0" w:color="auto"/>
            <w:right w:val="none" w:sz="0" w:space="0" w:color="auto"/>
          </w:divBdr>
        </w:div>
        <w:div w:id="864558321">
          <w:marLeft w:val="0"/>
          <w:marRight w:val="0"/>
          <w:marTop w:val="0"/>
          <w:marBottom w:val="0"/>
          <w:divBdr>
            <w:top w:val="none" w:sz="0" w:space="0" w:color="auto"/>
            <w:left w:val="none" w:sz="0" w:space="0" w:color="auto"/>
            <w:bottom w:val="none" w:sz="0" w:space="0" w:color="auto"/>
            <w:right w:val="none" w:sz="0" w:space="0" w:color="auto"/>
          </w:divBdr>
        </w:div>
        <w:div w:id="1200165354">
          <w:marLeft w:val="0"/>
          <w:marRight w:val="0"/>
          <w:marTop w:val="0"/>
          <w:marBottom w:val="0"/>
          <w:divBdr>
            <w:top w:val="none" w:sz="0" w:space="0" w:color="auto"/>
            <w:left w:val="none" w:sz="0" w:space="0" w:color="auto"/>
            <w:bottom w:val="none" w:sz="0" w:space="0" w:color="auto"/>
            <w:right w:val="none" w:sz="0" w:space="0" w:color="auto"/>
          </w:divBdr>
        </w:div>
        <w:div w:id="1365248751">
          <w:marLeft w:val="0"/>
          <w:marRight w:val="0"/>
          <w:marTop w:val="0"/>
          <w:marBottom w:val="0"/>
          <w:divBdr>
            <w:top w:val="none" w:sz="0" w:space="0" w:color="auto"/>
            <w:left w:val="none" w:sz="0" w:space="0" w:color="auto"/>
            <w:bottom w:val="none" w:sz="0" w:space="0" w:color="auto"/>
            <w:right w:val="none" w:sz="0" w:space="0" w:color="auto"/>
          </w:divBdr>
        </w:div>
      </w:divsChild>
    </w:div>
    <w:div w:id="1151285705">
      <w:bodyDiv w:val="1"/>
      <w:marLeft w:val="0"/>
      <w:marRight w:val="0"/>
      <w:marTop w:val="0"/>
      <w:marBottom w:val="0"/>
      <w:divBdr>
        <w:top w:val="none" w:sz="0" w:space="0" w:color="auto"/>
        <w:left w:val="none" w:sz="0" w:space="0" w:color="auto"/>
        <w:bottom w:val="none" w:sz="0" w:space="0" w:color="auto"/>
        <w:right w:val="none" w:sz="0" w:space="0" w:color="auto"/>
      </w:divBdr>
      <w:divsChild>
        <w:div w:id="86314147">
          <w:marLeft w:val="0"/>
          <w:marRight w:val="0"/>
          <w:marTop w:val="0"/>
          <w:marBottom w:val="0"/>
          <w:divBdr>
            <w:top w:val="none" w:sz="0" w:space="0" w:color="auto"/>
            <w:left w:val="none" w:sz="0" w:space="0" w:color="auto"/>
            <w:bottom w:val="none" w:sz="0" w:space="0" w:color="auto"/>
            <w:right w:val="none" w:sz="0" w:space="0" w:color="auto"/>
          </w:divBdr>
        </w:div>
        <w:div w:id="1104883285">
          <w:marLeft w:val="0"/>
          <w:marRight w:val="0"/>
          <w:marTop w:val="0"/>
          <w:marBottom w:val="0"/>
          <w:divBdr>
            <w:top w:val="none" w:sz="0" w:space="0" w:color="auto"/>
            <w:left w:val="none" w:sz="0" w:space="0" w:color="auto"/>
            <w:bottom w:val="none" w:sz="0" w:space="0" w:color="auto"/>
            <w:right w:val="none" w:sz="0" w:space="0" w:color="auto"/>
          </w:divBdr>
        </w:div>
        <w:div w:id="1425955624">
          <w:marLeft w:val="0"/>
          <w:marRight w:val="0"/>
          <w:marTop w:val="0"/>
          <w:marBottom w:val="0"/>
          <w:divBdr>
            <w:top w:val="none" w:sz="0" w:space="0" w:color="auto"/>
            <w:left w:val="none" w:sz="0" w:space="0" w:color="auto"/>
            <w:bottom w:val="none" w:sz="0" w:space="0" w:color="auto"/>
            <w:right w:val="none" w:sz="0" w:space="0" w:color="auto"/>
          </w:divBdr>
        </w:div>
        <w:div w:id="1506625430">
          <w:marLeft w:val="0"/>
          <w:marRight w:val="0"/>
          <w:marTop w:val="0"/>
          <w:marBottom w:val="0"/>
          <w:divBdr>
            <w:top w:val="none" w:sz="0" w:space="0" w:color="auto"/>
            <w:left w:val="none" w:sz="0" w:space="0" w:color="auto"/>
            <w:bottom w:val="none" w:sz="0" w:space="0" w:color="auto"/>
            <w:right w:val="none" w:sz="0" w:space="0" w:color="auto"/>
          </w:divBdr>
        </w:div>
        <w:div w:id="1803379948">
          <w:marLeft w:val="0"/>
          <w:marRight w:val="0"/>
          <w:marTop w:val="0"/>
          <w:marBottom w:val="0"/>
          <w:divBdr>
            <w:top w:val="none" w:sz="0" w:space="0" w:color="auto"/>
            <w:left w:val="none" w:sz="0" w:space="0" w:color="auto"/>
            <w:bottom w:val="none" w:sz="0" w:space="0" w:color="auto"/>
            <w:right w:val="none" w:sz="0" w:space="0" w:color="auto"/>
          </w:divBdr>
        </w:div>
      </w:divsChild>
    </w:div>
    <w:div w:id="1393850119">
      <w:bodyDiv w:val="1"/>
      <w:marLeft w:val="0"/>
      <w:marRight w:val="0"/>
      <w:marTop w:val="0"/>
      <w:marBottom w:val="0"/>
      <w:divBdr>
        <w:top w:val="none" w:sz="0" w:space="0" w:color="auto"/>
        <w:left w:val="none" w:sz="0" w:space="0" w:color="auto"/>
        <w:bottom w:val="none" w:sz="0" w:space="0" w:color="auto"/>
        <w:right w:val="none" w:sz="0" w:space="0" w:color="auto"/>
      </w:divBdr>
      <w:divsChild>
        <w:div w:id="25907722">
          <w:marLeft w:val="0"/>
          <w:marRight w:val="0"/>
          <w:marTop w:val="0"/>
          <w:marBottom w:val="0"/>
          <w:divBdr>
            <w:top w:val="none" w:sz="0" w:space="0" w:color="auto"/>
            <w:left w:val="none" w:sz="0" w:space="0" w:color="auto"/>
            <w:bottom w:val="none" w:sz="0" w:space="0" w:color="auto"/>
            <w:right w:val="none" w:sz="0" w:space="0" w:color="auto"/>
          </w:divBdr>
        </w:div>
        <w:div w:id="451558833">
          <w:marLeft w:val="0"/>
          <w:marRight w:val="0"/>
          <w:marTop w:val="0"/>
          <w:marBottom w:val="0"/>
          <w:divBdr>
            <w:top w:val="none" w:sz="0" w:space="0" w:color="auto"/>
            <w:left w:val="none" w:sz="0" w:space="0" w:color="auto"/>
            <w:bottom w:val="none" w:sz="0" w:space="0" w:color="auto"/>
            <w:right w:val="none" w:sz="0" w:space="0" w:color="auto"/>
          </w:divBdr>
        </w:div>
        <w:div w:id="463890401">
          <w:marLeft w:val="0"/>
          <w:marRight w:val="0"/>
          <w:marTop w:val="0"/>
          <w:marBottom w:val="0"/>
          <w:divBdr>
            <w:top w:val="none" w:sz="0" w:space="0" w:color="auto"/>
            <w:left w:val="none" w:sz="0" w:space="0" w:color="auto"/>
            <w:bottom w:val="none" w:sz="0" w:space="0" w:color="auto"/>
            <w:right w:val="none" w:sz="0" w:space="0" w:color="auto"/>
          </w:divBdr>
        </w:div>
        <w:div w:id="517083594">
          <w:marLeft w:val="0"/>
          <w:marRight w:val="0"/>
          <w:marTop w:val="0"/>
          <w:marBottom w:val="0"/>
          <w:divBdr>
            <w:top w:val="none" w:sz="0" w:space="0" w:color="auto"/>
            <w:left w:val="none" w:sz="0" w:space="0" w:color="auto"/>
            <w:bottom w:val="none" w:sz="0" w:space="0" w:color="auto"/>
            <w:right w:val="none" w:sz="0" w:space="0" w:color="auto"/>
          </w:divBdr>
        </w:div>
        <w:div w:id="564486447">
          <w:marLeft w:val="0"/>
          <w:marRight w:val="0"/>
          <w:marTop w:val="0"/>
          <w:marBottom w:val="0"/>
          <w:divBdr>
            <w:top w:val="none" w:sz="0" w:space="0" w:color="auto"/>
            <w:left w:val="none" w:sz="0" w:space="0" w:color="auto"/>
            <w:bottom w:val="none" w:sz="0" w:space="0" w:color="auto"/>
            <w:right w:val="none" w:sz="0" w:space="0" w:color="auto"/>
          </w:divBdr>
        </w:div>
        <w:div w:id="938022249">
          <w:marLeft w:val="0"/>
          <w:marRight w:val="0"/>
          <w:marTop w:val="0"/>
          <w:marBottom w:val="0"/>
          <w:divBdr>
            <w:top w:val="none" w:sz="0" w:space="0" w:color="auto"/>
            <w:left w:val="none" w:sz="0" w:space="0" w:color="auto"/>
            <w:bottom w:val="none" w:sz="0" w:space="0" w:color="auto"/>
            <w:right w:val="none" w:sz="0" w:space="0" w:color="auto"/>
          </w:divBdr>
        </w:div>
        <w:div w:id="1129516780">
          <w:marLeft w:val="0"/>
          <w:marRight w:val="0"/>
          <w:marTop w:val="0"/>
          <w:marBottom w:val="0"/>
          <w:divBdr>
            <w:top w:val="none" w:sz="0" w:space="0" w:color="auto"/>
            <w:left w:val="none" w:sz="0" w:space="0" w:color="auto"/>
            <w:bottom w:val="none" w:sz="0" w:space="0" w:color="auto"/>
            <w:right w:val="none" w:sz="0" w:space="0" w:color="auto"/>
          </w:divBdr>
        </w:div>
        <w:div w:id="1164473760">
          <w:marLeft w:val="0"/>
          <w:marRight w:val="0"/>
          <w:marTop w:val="0"/>
          <w:marBottom w:val="0"/>
          <w:divBdr>
            <w:top w:val="none" w:sz="0" w:space="0" w:color="auto"/>
            <w:left w:val="none" w:sz="0" w:space="0" w:color="auto"/>
            <w:bottom w:val="none" w:sz="0" w:space="0" w:color="auto"/>
            <w:right w:val="none" w:sz="0" w:space="0" w:color="auto"/>
          </w:divBdr>
        </w:div>
        <w:div w:id="1336104424">
          <w:marLeft w:val="0"/>
          <w:marRight w:val="0"/>
          <w:marTop w:val="0"/>
          <w:marBottom w:val="0"/>
          <w:divBdr>
            <w:top w:val="none" w:sz="0" w:space="0" w:color="auto"/>
            <w:left w:val="none" w:sz="0" w:space="0" w:color="auto"/>
            <w:bottom w:val="none" w:sz="0" w:space="0" w:color="auto"/>
            <w:right w:val="none" w:sz="0" w:space="0" w:color="auto"/>
          </w:divBdr>
        </w:div>
        <w:div w:id="1353607179">
          <w:marLeft w:val="0"/>
          <w:marRight w:val="0"/>
          <w:marTop w:val="0"/>
          <w:marBottom w:val="0"/>
          <w:divBdr>
            <w:top w:val="none" w:sz="0" w:space="0" w:color="auto"/>
            <w:left w:val="none" w:sz="0" w:space="0" w:color="auto"/>
            <w:bottom w:val="none" w:sz="0" w:space="0" w:color="auto"/>
            <w:right w:val="none" w:sz="0" w:space="0" w:color="auto"/>
          </w:divBdr>
        </w:div>
        <w:div w:id="1464812070">
          <w:marLeft w:val="0"/>
          <w:marRight w:val="0"/>
          <w:marTop w:val="0"/>
          <w:marBottom w:val="0"/>
          <w:divBdr>
            <w:top w:val="none" w:sz="0" w:space="0" w:color="auto"/>
            <w:left w:val="none" w:sz="0" w:space="0" w:color="auto"/>
            <w:bottom w:val="none" w:sz="0" w:space="0" w:color="auto"/>
            <w:right w:val="none" w:sz="0" w:space="0" w:color="auto"/>
          </w:divBdr>
        </w:div>
        <w:div w:id="1637956531">
          <w:marLeft w:val="0"/>
          <w:marRight w:val="0"/>
          <w:marTop w:val="0"/>
          <w:marBottom w:val="0"/>
          <w:divBdr>
            <w:top w:val="none" w:sz="0" w:space="0" w:color="auto"/>
            <w:left w:val="none" w:sz="0" w:space="0" w:color="auto"/>
            <w:bottom w:val="none" w:sz="0" w:space="0" w:color="auto"/>
            <w:right w:val="none" w:sz="0" w:space="0" w:color="auto"/>
          </w:divBdr>
        </w:div>
        <w:div w:id="1725790939">
          <w:marLeft w:val="0"/>
          <w:marRight w:val="0"/>
          <w:marTop w:val="0"/>
          <w:marBottom w:val="0"/>
          <w:divBdr>
            <w:top w:val="none" w:sz="0" w:space="0" w:color="auto"/>
            <w:left w:val="none" w:sz="0" w:space="0" w:color="auto"/>
            <w:bottom w:val="none" w:sz="0" w:space="0" w:color="auto"/>
            <w:right w:val="none" w:sz="0" w:space="0" w:color="auto"/>
          </w:divBdr>
        </w:div>
        <w:div w:id="1757745573">
          <w:marLeft w:val="0"/>
          <w:marRight w:val="0"/>
          <w:marTop w:val="0"/>
          <w:marBottom w:val="0"/>
          <w:divBdr>
            <w:top w:val="none" w:sz="0" w:space="0" w:color="auto"/>
            <w:left w:val="none" w:sz="0" w:space="0" w:color="auto"/>
            <w:bottom w:val="none" w:sz="0" w:space="0" w:color="auto"/>
            <w:right w:val="none" w:sz="0" w:space="0" w:color="auto"/>
          </w:divBdr>
        </w:div>
        <w:div w:id="1882085029">
          <w:marLeft w:val="0"/>
          <w:marRight w:val="0"/>
          <w:marTop w:val="0"/>
          <w:marBottom w:val="0"/>
          <w:divBdr>
            <w:top w:val="none" w:sz="0" w:space="0" w:color="auto"/>
            <w:left w:val="none" w:sz="0" w:space="0" w:color="auto"/>
            <w:bottom w:val="none" w:sz="0" w:space="0" w:color="auto"/>
            <w:right w:val="none" w:sz="0" w:space="0" w:color="auto"/>
          </w:divBdr>
        </w:div>
        <w:div w:id="1894387792">
          <w:marLeft w:val="0"/>
          <w:marRight w:val="0"/>
          <w:marTop w:val="0"/>
          <w:marBottom w:val="0"/>
          <w:divBdr>
            <w:top w:val="none" w:sz="0" w:space="0" w:color="auto"/>
            <w:left w:val="none" w:sz="0" w:space="0" w:color="auto"/>
            <w:bottom w:val="none" w:sz="0" w:space="0" w:color="auto"/>
            <w:right w:val="none" w:sz="0" w:space="0" w:color="auto"/>
          </w:divBdr>
        </w:div>
        <w:div w:id="1909919084">
          <w:marLeft w:val="0"/>
          <w:marRight w:val="0"/>
          <w:marTop w:val="0"/>
          <w:marBottom w:val="0"/>
          <w:divBdr>
            <w:top w:val="none" w:sz="0" w:space="0" w:color="auto"/>
            <w:left w:val="none" w:sz="0" w:space="0" w:color="auto"/>
            <w:bottom w:val="none" w:sz="0" w:space="0" w:color="auto"/>
            <w:right w:val="none" w:sz="0" w:space="0" w:color="auto"/>
          </w:divBdr>
        </w:div>
        <w:div w:id="1929383648">
          <w:marLeft w:val="0"/>
          <w:marRight w:val="0"/>
          <w:marTop w:val="0"/>
          <w:marBottom w:val="0"/>
          <w:divBdr>
            <w:top w:val="none" w:sz="0" w:space="0" w:color="auto"/>
            <w:left w:val="none" w:sz="0" w:space="0" w:color="auto"/>
            <w:bottom w:val="none" w:sz="0" w:space="0" w:color="auto"/>
            <w:right w:val="none" w:sz="0" w:space="0" w:color="auto"/>
          </w:divBdr>
        </w:div>
        <w:div w:id="2052029324">
          <w:marLeft w:val="0"/>
          <w:marRight w:val="0"/>
          <w:marTop w:val="0"/>
          <w:marBottom w:val="0"/>
          <w:divBdr>
            <w:top w:val="none" w:sz="0" w:space="0" w:color="auto"/>
            <w:left w:val="none" w:sz="0" w:space="0" w:color="auto"/>
            <w:bottom w:val="none" w:sz="0" w:space="0" w:color="auto"/>
            <w:right w:val="none" w:sz="0" w:space="0" w:color="auto"/>
          </w:divBdr>
        </w:div>
      </w:divsChild>
    </w:div>
    <w:div w:id="1405223092">
      <w:bodyDiv w:val="1"/>
      <w:marLeft w:val="0"/>
      <w:marRight w:val="0"/>
      <w:marTop w:val="0"/>
      <w:marBottom w:val="0"/>
      <w:divBdr>
        <w:top w:val="none" w:sz="0" w:space="0" w:color="auto"/>
        <w:left w:val="none" w:sz="0" w:space="0" w:color="auto"/>
        <w:bottom w:val="none" w:sz="0" w:space="0" w:color="auto"/>
        <w:right w:val="none" w:sz="0" w:space="0" w:color="auto"/>
      </w:divBdr>
      <w:divsChild>
        <w:div w:id="479884582">
          <w:marLeft w:val="0"/>
          <w:marRight w:val="0"/>
          <w:marTop w:val="15"/>
          <w:marBottom w:val="0"/>
          <w:divBdr>
            <w:top w:val="none" w:sz="0" w:space="0" w:color="auto"/>
            <w:left w:val="none" w:sz="0" w:space="0" w:color="auto"/>
            <w:bottom w:val="none" w:sz="0" w:space="0" w:color="auto"/>
            <w:right w:val="none" w:sz="0" w:space="0" w:color="auto"/>
          </w:divBdr>
          <w:divsChild>
            <w:div w:id="1622611723">
              <w:marLeft w:val="0"/>
              <w:marRight w:val="0"/>
              <w:marTop w:val="0"/>
              <w:marBottom w:val="0"/>
              <w:divBdr>
                <w:top w:val="none" w:sz="0" w:space="0" w:color="auto"/>
                <w:left w:val="none" w:sz="0" w:space="0" w:color="auto"/>
                <w:bottom w:val="none" w:sz="0" w:space="0" w:color="auto"/>
                <w:right w:val="none" w:sz="0" w:space="0" w:color="auto"/>
              </w:divBdr>
              <w:divsChild>
                <w:div w:id="496001130">
                  <w:marLeft w:val="0"/>
                  <w:marRight w:val="0"/>
                  <w:marTop w:val="0"/>
                  <w:marBottom w:val="0"/>
                  <w:divBdr>
                    <w:top w:val="none" w:sz="0" w:space="0" w:color="auto"/>
                    <w:left w:val="none" w:sz="0" w:space="0" w:color="auto"/>
                    <w:bottom w:val="none" w:sz="0" w:space="0" w:color="auto"/>
                    <w:right w:val="none" w:sz="0" w:space="0" w:color="auto"/>
                  </w:divBdr>
                </w:div>
                <w:div w:id="828327156">
                  <w:marLeft w:val="0"/>
                  <w:marRight w:val="0"/>
                  <w:marTop w:val="0"/>
                  <w:marBottom w:val="0"/>
                  <w:divBdr>
                    <w:top w:val="none" w:sz="0" w:space="0" w:color="auto"/>
                    <w:left w:val="none" w:sz="0" w:space="0" w:color="auto"/>
                    <w:bottom w:val="none" w:sz="0" w:space="0" w:color="auto"/>
                    <w:right w:val="none" w:sz="0" w:space="0" w:color="auto"/>
                  </w:divBdr>
                </w:div>
                <w:div w:id="950937276">
                  <w:marLeft w:val="0"/>
                  <w:marRight w:val="0"/>
                  <w:marTop w:val="0"/>
                  <w:marBottom w:val="0"/>
                  <w:divBdr>
                    <w:top w:val="none" w:sz="0" w:space="0" w:color="auto"/>
                    <w:left w:val="none" w:sz="0" w:space="0" w:color="auto"/>
                    <w:bottom w:val="none" w:sz="0" w:space="0" w:color="auto"/>
                    <w:right w:val="none" w:sz="0" w:space="0" w:color="auto"/>
                  </w:divBdr>
                </w:div>
                <w:div w:id="1360820374">
                  <w:marLeft w:val="0"/>
                  <w:marRight w:val="0"/>
                  <w:marTop w:val="0"/>
                  <w:marBottom w:val="0"/>
                  <w:divBdr>
                    <w:top w:val="none" w:sz="0" w:space="0" w:color="auto"/>
                    <w:left w:val="none" w:sz="0" w:space="0" w:color="auto"/>
                    <w:bottom w:val="none" w:sz="0" w:space="0" w:color="auto"/>
                    <w:right w:val="none" w:sz="0" w:space="0" w:color="auto"/>
                  </w:divBdr>
                </w:div>
                <w:div w:id="1999307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4081377">
      <w:bodyDiv w:val="1"/>
      <w:marLeft w:val="0"/>
      <w:marRight w:val="0"/>
      <w:marTop w:val="0"/>
      <w:marBottom w:val="0"/>
      <w:divBdr>
        <w:top w:val="none" w:sz="0" w:space="0" w:color="auto"/>
        <w:left w:val="none" w:sz="0" w:space="0" w:color="auto"/>
        <w:bottom w:val="none" w:sz="0" w:space="0" w:color="auto"/>
        <w:right w:val="none" w:sz="0" w:space="0" w:color="auto"/>
      </w:divBdr>
      <w:divsChild>
        <w:div w:id="104009651">
          <w:marLeft w:val="0"/>
          <w:marRight w:val="0"/>
          <w:marTop w:val="0"/>
          <w:marBottom w:val="0"/>
          <w:divBdr>
            <w:top w:val="none" w:sz="0" w:space="0" w:color="auto"/>
            <w:left w:val="none" w:sz="0" w:space="0" w:color="auto"/>
            <w:bottom w:val="none" w:sz="0" w:space="0" w:color="auto"/>
            <w:right w:val="none" w:sz="0" w:space="0" w:color="auto"/>
          </w:divBdr>
        </w:div>
        <w:div w:id="959527425">
          <w:marLeft w:val="0"/>
          <w:marRight w:val="0"/>
          <w:marTop w:val="0"/>
          <w:marBottom w:val="0"/>
          <w:divBdr>
            <w:top w:val="none" w:sz="0" w:space="0" w:color="auto"/>
            <w:left w:val="none" w:sz="0" w:space="0" w:color="auto"/>
            <w:bottom w:val="none" w:sz="0" w:space="0" w:color="auto"/>
            <w:right w:val="none" w:sz="0" w:space="0" w:color="auto"/>
          </w:divBdr>
        </w:div>
        <w:div w:id="1642541035">
          <w:marLeft w:val="0"/>
          <w:marRight w:val="0"/>
          <w:marTop w:val="0"/>
          <w:marBottom w:val="0"/>
          <w:divBdr>
            <w:top w:val="none" w:sz="0" w:space="0" w:color="auto"/>
            <w:left w:val="none" w:sz="0" w:space="0" w:color="auto"/>
            <w:bottom w:val="none" w:sz="0" w:space="0" w:color="auto"/>
            <w:right w:val="none" w:sz="0" w:space="0" w:color="auto"/>
          </w:divBdr>
        </w:div>
        <w:div w:id="1807117770">
          <w:marLeft w:val="0"/>
          <w:marRight w:val="0"/>
          <w:marTop w:val="0"/>
          <w:marBottom w:val="0"/>
          <w:divBdr>
            <w:top w:val="none" w:sz="0" w:space="0" w:color="auto"/>
            <w:left w:val="none" w:sz="0" w:space="0" w:color="auto"/>
            <w:bottom w:val="none" w:sz="0" w:space="0" w:color="auto"/>
            <w:right w:val="none" w:sz="0" w:space="0" w:color="auto"/>
          </w:divBdr>
        </w:div>
      </w:divsChild>
    </w:div>
    <w:div w:id="1597668907">
      <w:bodyDiv w:val="1"/>
      <w:marLeft w:val="0"/>
      <w:marRight w:val="0"/>
      <w:marTop w:val="0"/>
      <w:marBottom w:val="0"/>
      <w:divBdr>
        <w:top w:val="none" w:sz="0" w:space="0" w:color="auto"/>
        <w:left w:val="none" w:sz="0" w:space="0" w:color="auto"/>
        <w:bottom w:val="none" w:sz="0" w:space="0" w:color="auto"/>
        <w:right w:val="none" w:sz="0" w:space="0" w:color="auto"/>
      </w:divBdr>
      <w:divsChild>
        <w:div w:id="162088340">
          <w:marLeft w:val="0"/>
          <w:marRight w:val="0"/>
          <w:marTop w:val="0"/>
          <w:marBottom w:val="0"/>
          <w:divBdr>
            <w:top w:val="none" w:sz="0" w:space="0" w:color="auto"/>
            <w:left w:val="none" w:sz="0" w:space="0" w:color="auto"/>
            <w:bottom w:val="none" w:sz="0" w:space="0" w:color="auto"/>
            <w:right w:val="none" w:sz="0" w:space="0" w:color="auto"/>
          </w:divBdr>
        </w:div>
        <w:div w:id="739717842">
          <w:marLeft w:val="0"/>
          <w:marRight w:val="0"/>
          <w:marTop w:val="0"/>
          <w:marBottom w:val="0"/>
          <w:divBdr>
            <w:top w:val="none" w:sz="0" w:space="0" w:color="auto"/>
            <w:left w:val="none" w:sz="0" w:space="0" w:color="auto"/>
            <w:bottom w:val="none" w:sz="0" w:space="0" w:color="auto"/>
            <w:right w:val="none" w:sz="0" w:space="0" w:color="auto"/>
          </w:divBdr>
        </w:div>
        <w:div w:id="878736803">
          <w:marLeft w:val="0"/>
          <w:marRight w:val="0"/>
          <w:marTop w:val="0"/>
          <w:marBottom w:val="0"/>
          <w:divBdr>
            <w:top w:val="none" w:sz="0" w:space="0" w:color="auto"/>
            <w:left w:val="none" w:sz="0" w:space="0" w:color="auto"/>
            <w:bottom w:val="none" w:sz="0" w:space="0" w:color="auto"/>
            <w:right w:val="none" w:sz="0" w:space="0" w:color="auto"/>
          </w:divBdr>
        </w:div>
        <w:div w:id="1729836569">
          <w:marLeft w:val="0"/>
          <w:marRight w:val="0"/>
          <w:marTop w:val="0"/>
          <w:marBottom w:val="0"/>
          <w:divBdr>
            <w:top w:val="none" w:sz="0" w:space="0" w:color="auto"/>
            <w:left w:val="none" w:sz="0" w:space="0" w:color="auto"/>
            <w:bottom w:val="none" w:sz="0" w:space="0" w:color="auto"/>
            <w:right w:val="none" w:sz="0" w:space="0" w:color="auto"/>
          </w:divBdr>
        </w:div>
        <w:div w:id="1868331172">
          <w:marLeft w:val="0"/>
          <w:marRight w:val="0"/>
          <w:marTop w:val="0"/>
          <w:marBottom w:val="0"/>
          <w:divBdr>
            <w:top w:val="none" w:sz="0" w:space="0" w:color="auto"/>
            <w:left w:val="none" w:sz="0" w:space="0" w:color="auto"/>
            <w:bottom w:val="none" w:sz="0" w:space="0" w:color="auto"/>
            <w:right w:val="none" w:sz="0" w:space="0" w:color="auto"/>
          </w:divBdr>
        </w:div>
      </w:divsChild>
    </w:div>
    <w:div w:id="1611935357">
      <w:bodyDiv w:val="1"/>
      <w:marLeft w:val="0"/>
      <w:marRight w:val="0"/>
      <w:marTop w:val="0"/>
      <w:marBottom w:val="0"/>
      <w:divBdr>
        <w:top w:val="none" w:sz="0" w:space="0" w:color="auto"/>
        <w:left w:val="none" w:sz="0" w:space="0" w:color="auto"/>
        <w:bottom w:val="none" w:sz="0" w:space="0" w:color="auto"/>
        <w:right w:val="none" w:sz="0" w:space="0" w:color="auto"/>
      </w:divBdr>
      <w:divsChild>
        <w:div w:id="56320702">
          <w:marLeft w:val="0"/>
          <w:marRight w:val="0"/>
          <w:marTop w:val="0"/>
          <w:marBottom w:val="0"/>
          <w:divBdr>
            <w:top w:val="none" w:sz="0" w:space="0" w:color="auto"/>
            <w:left w:val="none" w:sz="0" w:space="0" w:color="auto"/>
            <w:bottom w:val="none" w:sz="0" w:space="0" w:color="auto"/>
            <w:right w:val="none" w:sz="0" w:space="0" w:color="auto"/>
          </w:divBdr>
        </w:div>
        <w:div w:id="66001142">
          <w:marLeft w:val="0"/>
          <w:marRight w:val="0"/>
          <w:marTop w:val="0"/>
          <w:marBottom w:val="0"/>
          <w:divBdr>
            <w:top w:val="none" w:sz="0" w:space="0" w:color="auto"/>
            <w:left w:val="none" w:sz="0" w:space="0" w:color="auto"/>
            <w:bottom w:val="none" w:sz="0" w:space="0" w:color="auto"/>
            <w:right w:val="none" w:sz="0" w:space="0" w:color="auto"/>
          </w:divBdr>
        </w:div>
        <w:div w:id="144900710">
          <w:marLeft w:val="0"/>
          <w:marRight w:val="0"/>
          <w:marTop w:val="0"/>
          <w:marBottom w:val="0"/>
          <w:divBdr>
            <w:top w:val="none" w:sz="0" w:space="0" w:color="auto"/>
            <w:left w:val="none" w:sz="0" w:space="0" w:color="auto"/>
            <w:bottom w:val="none" w:sz="0" w:space="0" w:color="auto"/>
            <w:right w:val="none" w:sz="0" w:space="0" w:color="auto"/>
          </w:divBdr>
        </w:div>
        <w:div w:id="160584694">
          <w:marLeft w:val="0"/>
          <w:marRight w:val="0"/>
          <w:marTop w:val="0"/>
          <w:marBottom w:val="0"/>
          <w:divBdr>
            <w:top w:val="none" w:sz="0" w:space="0" w:color="auto"/>
            <w:left w:val="none" w:sz="0" w:space="0" w:color="auto"/>
            <w:bottom w:val="none" w:sz="0" w:space="0" w:color="auto"/>
            <w:right w:val="none" w:sz="0" w:space="0" w:color="auto"/>
          </w:divBdr>
        </w:div>
        <w:div w:id="163203131">
          <w:marLeft w:val="0"/>
          <w:marRight w:val="0"/>
          <w:marTop w:val="0"/>
          <w:marBottom w:val="0"/>
          <w:divBdr>
            <w:top w:val="none" w:sz="0" w:space="0" w:color="auto"/>
            <w:left w:val="none" w:sz="0" w:space="0" w:color="auto"/>
            <w:bottom w:val="none" w:sz="0" w:space="0" w:color="auto"/>
            <w:right w:val="none" w:sz="0" w:space="0" w:color="auto"/>
          </w:divBdr>
        </w:div>
        <w:div w:id="260845808">
          <w:marLeft w:val="0"/>
          <w:marRight w:val="0"/>
          <w:marTop w:val="0"/>
          <w:marBottom w:val="0"/>
          <w:divBdr>
            <w:top w:val="none" w:sz="0" w:space="0" w:color="auto"/>
            <w:left w:val="none" w:sz="0" w:space="0" w:color="auto"/>
            <w:bottom w:val="none" w:sz="0" w:space="0" w:color="auto"/>
            <w:right w:val="none" w:sz="0" w:space="0" w:color="auto"/>
          </w:divBdr>
        </w:div>
        <w:div w:id="281884467">
          <w:marLeft w:val="0"/>
          <w:marRight w:val="0"/>
          <w:marTop w:val="0"/>
          <w:marBottom w:val="0"/>
          <w:divBdr>
            <w:top w:val="none" w:sz="0" w:space="0" w:color="auto"/>
            <w:left w:val="none" w:sz="0" w:space="0" w:color="auto"/>
            <w:bottom w:val="none" w:sz="0" w:space="0" w:color="auto"/>
            <w:right w:val="none" w:sz="0" w:space="0" w:color="auto"/>
          </w:divBdr>
        </w:div>
        <w:div w:id="289673303">
          <w:marLeft w:val="0"/>
          <w:marRight w:val="0"/>
          <w:marTop w:val="0"/>
          <w:marBottom w:val="0"/>
          <w:divBdr>
            <w:top w:val="none" w:sz="0" w:space="0" w:color="auto"/>
            <w:left w:val="none" w:sz="0" w:space="0" w:color="auto"/>
            <w:bottom w:val="none" w:sz="0" w:space="0" w:color="auto"/>
            <w:right w:val="none" w:sz="0" w:space="0" w:color="auto"/>
          </w:divBdr>
        </w:div>
        <w:div w:id="308441853">
          <w:marLeft w:val="0"/>
          <w:marRight w:val="0"/>
          <w:marTop w:val="0"/>
          <w:marBottom w:val="0"/>
          <w:divBdr>
            <w:top w:val="none" w:sz="0" w:space="0" w:color="auto"/>
            <w:left w:val="none" w:sz="0" w:space="0" w:color="auto"/>
            <w:bottom w:val="none" w:sz="0" w:space="0" w:color="auto"/>
            <w:right w:val="none" w:sz="0" w:space="0" w:color="auto"/>
          </w:divBdr>
        </w:div>
        <w:div w:id="333610244">
          <w:marLeft w:val="0"/>
          <w:marRight w:val="0"/>
          <w:marTop w:val="0"/>
          <w:marBottom w:val="0"/>
          <w:divBdr>
            <w:top w:val="none" w:sz="0" w:space="0" w:color="auto"/>
            <w:left w:val="none" w:sz="0" w:space="0" w:color="auto"/>
            <w:bottom w:val="none" w:sz="0" w:space="0" w:color="auto"/>
            <w:right w:val="none" w:sz="0" w:space="0" w:color="auto"/>
          </w:divBdr>
        </w:div>
        <w:div w:id="447890261">
          <w:marLeft w:val="0"/>
          <w:marRight w:val="0"/>
          <w:marTop w:val="0"/>
          <w:marBottom w:val="0"/>
          <w:divBdr>
            <w:top w:val="none" w:sz="0" w:space="0" w:color="auto"/>
            <w:left w:val="none" w:sz="0" w:space="0" w:color="auto"/>
            <w:bottom w:val="none" w:sz="0" w:space="0" w:color="auto"/>
            <w:right w:val="none" w:sz="0" w:space="0" w:color="auto"/>
          </w:divBdr>
        </w:div>
        <w:div w:id="486241122">
          <w:marLeft w:val="0"/>
          <w:marRight w:val="0"/>
          <w:marTop w:val="0"/>
          <w:marBottom w:val="0"/>
          <w:divBdr>
            <w:top w:val="none" w:sz="0" w:space="0" w:color="auto"/>
            <w:left w:val="none" w:sz="0" w:space="0" w:color="auto"/>
            <w:bottom w:val="none" w:sz="0" w:space="0" w:color="auto"/>
            <w:right w:val="none" w:sz="0" w:space="0" w:color="auto"/>
          </w:divBdr>
        </w:div>
        <w:div w:id="486434537">
          <w:marLeft w:val="0"/>
          <w:marRight w:val="0"/>
          <w:marTop w:val="0"/>
          <w:marBottom w:val="0"/>
          <w:divBdr>
            <w:top w:val="none" w:sz="0" w:space="0" w:color="auto"/>
            <w:left w:val="none" w:sz="0" w:space="0" w:color="auto"/>
            <w:bottom w:val="none" w:sz="0" w:space="0" w:color="auto"/>
            <w:right w:val="none" w:sz="0" w:space="0" w:color="auto"/>
          </w:divBdr>
        </w:div>
        <w:div w:id="486439967">
          <w:marLeft w:val="0"/>
          <w:marRight w:val="0"/>
          <w:marTop w:val="0"/>
          <w:marBottom w:val="0"/>
          <w:divBdr>
            <w:top w:val="none" w:sz="0" w:space="0" w:color="auto"/>
            <w:left w:val="none" w:sz="0" w:space="0" w:color="auto"/>
            <w:bottom w:val="none" w:sz="0" w:space="0" w:color="auto"/>
            <w:right w:val="none" w:sz="0" w:space="0" w:color="auto"/>
          </w:divBdr>
        </w:div>
        <w:div w:id="506596530">
          <w:marLeft w:val="0"/>
          <w:marRight w:val="0"/>
          <w:marTop w:val="0"/>
          <w:marBottom w:val="0"/>
          <w:divBdr>
            <w:top w:val="none" w:sz="0" w:space="0" w:color="auto"/>
            <w:left w:val="none" w:sz="0" w:space="0" w:color="auto"/>
            <w:bottom w:val="none" w:sz="0" w:space="0" w:color="auto"/>
            <w:right w:val="none" w:sz="0" w:space="0" w:color="auto"/>
          </w:divBdr>
        </w:div>
        <w:div w:id="540555571">
          <w:marLeft w:val="0"/>
          <w:marRight w:val="0"/>
          <w:marTop w:val="0"/>
          <w:marBottom w:val="0"/>
          <w:divBdr>
            <w:top w:val="none" w:sz="0" w:space="0" w:color="auto"/>
            <w:left w:val="none" w:sz="0" w:space="0" w:color="auto"/>
            <w:bottom w:val="none" w:sz="0" w:space="0" w:color="auto"/>
            <w:right w:val="none" w:sz="0" w:space="0" w:color="auto"/>
          </w:divBdr>
        </w:div>
        <w:div w:id="576788824">
          <w:marLeft w:val="0"/>
          <w:marRight w:val="0"/>
          <w:marTop w:val="0"/>
          <w:marBottom w:val="0"/>
          <w:divBdr>
            <w:top w:val="none" w:sz="0" w:space="0" w:color="auto"/>
            <w:left w:val="none" w:sz="0" w:space="0" w:color="auto"/>
            <w:bottom w:val="none" w:sz="0" w:space="0" w:color="auto"/>
            <w:right w:val="none" w:sz="0" w:space="0" w:color="auto"/>
          </w:divBdr>
        </w:div>
        <w:div w:id="589510226">
          <w:marLeft w:val="0"/>
          <w:marRight w:val="0"/>
          <w:marTop w:val="0"/>
          <w:marBottom w:val="0"/>
          <w:divBdr>
            <w:top w:val="none" w:sz="0" w:space="0" w:color="auto"/>
            <w:left w:val="none" w:sz="0" w:space="0" w:color="auto"/>
            <w:bottom w:val="none" w:sz="0" w:space="0" w:color="auto"/>
            <w:right w:val="none" w:sz="0" w:space="0" w:color="auto"/>
          </w:divBdr>
        </w:div>
        <w:div w:id="610091644">
          <w:marLeft w:val="0"/>
          <w:marRight w:val="0"/>
          <w:marTop w:val="0"/>
          <w:marBottom w:val="0"/>
          <w:divBdr>
            <w:top w:val="none" w:sz="0" w:space="0" w:color="auto"/>
            <w:left w:val="none" w:sz="0" w:space="0" w:color="auto"/>
            <w:bottom w:val="none" w:sz="0" w:space="0" w:color="auto"/>
            <w:right w:val="none" w:sz="0" w:space="0" w:color="auto"/>
          </w:divBdr>
        </w:div>
        <w:div w:id="618491564">
          <w:marLeft w:val="0"/>
          <w:marRight w:val="0"/>
          <w:marTop w:val="0"/>
          <w:marBottom w:val="0"/>
          <w:divBdr>
            <w:top w:val="none" w:sz="0" w:space="0" w:color="auto"/>
            <w:left w:val="none" w:sz="0" w:space="0" w:color="auto"/>
            <w:bottom w:val="none" w:sz="0" w:space="0" w:color="auto"/>
            <w:right w:val="none" w:sz="0" w:space="0" w:color="auto"/>
          </w:divBdr>
        </w:div>
        <w:div w:id="698821571">
          <w:marLeft w:val="0"/>
          <w:marRight w:val="0"/>
          <w:marTop w:val="0"/>
          <w:marBottom w:val="0"/>
          <w:divBdr>
            <w:top w:val="none" w:sz="0" w:space="0" w:color="auto"/>
            <w:left w:val="none" w:sz="0" w:space="0" w:color="auto"/>
            <w:bottom w:val="none" w:sz="0" w:space="0" w:color="auto"/>
            <w:right w:val="none" w:sz="0" w:space="0" w:color="auto"/>
          </w:divBdr>
        </w:div>
        <w:div w:id="699089844">
          <w:marLeft w:val="0"/>
          <w:marRight w:val="0"/>
          <w:marTop w:val="0"/>
          <w:marBottom w:val="0"/>
          <w:divBdr>
            <w:top w:val="none" w:sz="0" w:space="0" w:color="auto"/>
            <w:left w:val="none" w:sz="0" w:space="0" w:color="auto"/>
            <w:bottom w:val="none" w:sz="0" w:space="0" w:color="auto"/>
            <w:right w:val="none" w:sz="0" w:space="0" w:color="auto"/>
          </w:divBdr>
        </w:div>
        <w:div w:id="791827263">
          <w:marLeft w:val="0"/>
          <w:marRight w:val="0"/>
          <w:marTop w:val="0"/>
          <w:marBottom w:val="0"/>
          <w:divBdr>
            <w:top w:val="none" w:sz="0" w:space="0" w:color="auto"/>
            <w:left w:val="none" w:sz="0" w:space="0" w:color="auto"/>
            <w:bottom w:val="none" w:sz="0" w:space="0" w:color="auto"/>
            <w:right w:val="none" w:sz="0" w:space="0" w:color="auto"/>
          </w:divBdr>
        </w:div>
        <w:div w:id="811673813">
          <w:marLeft w:val="0"/>
          <w:marRight w:val="0"/>
          <w:marTop w:val="0"/>
          <w:marBottom w:val="0"/>
          <w:divBdr>
            <w:top w:val="none" w:sz="0" w:space="0" w:color="auto"/>
            <w:left w:val="none" w:sz="0" w:space="0" w:color="auto"/>
            <w:bottom w:val="none" w:sz="0" w:space="0" w:color="auto"/>
            <w:right w:val="none" w:sz="0" w:space="0" w:color="auto"/>
          </w:divBdr>
        </w:div>
        <w:div w:id="842738644">
          <w:marLeft w:val="0"/>
          <w:marRight w:val="0"/>
          <w:marTop w:val="0"/>
          <w:marBottom w:val="0"/>
          <w:divBdr>
            <w:top w:val="none" w:sz="0" w:space="0" w:color="auto"/>
            <w:left w:val="none" w:sz="0" w:space="0" w:color="auto"/>
            <w:bottom w:val="none" w:sz="0" w:space="0" w:color="auto"/>
            <w:right w:val="none" w:sz="0" w:space="0" w:color="auto"/>
          </w:divBdr>
        </w:div>
        <w:div w:id="857086675">
          <w:marLeft w:val="0"/>
          <w:marRight w:val="0"/>
          <w:marTop w:val="0"/>
          <w:marBottom w:val="0"/>
          <w:divBdr>
            <w:top w:val="none" w:sz="0" w:space="0" w:color="auto"/>
            <w:left w:val="none" w:sz="0" w:space="0" w:color="auto"/>
            <w:bottom w:val="none" w:sz="0" w:space="0" w:color="auto"/>
            <w:right w:val="none" w:sz="0" w:space="0" w:color="auto"/>
          </w:divBdr>
        </w:div>
        <w:div w:id="871113524">
          <w:marLeft w:val="0"/>
          <w:marRight w:val="0"/>
          <w:marTop w:val="0"/>
          <w:marBottom w:val="0"/>
          <w:divBdr>
            <w:top w:val="none" w:sz="0" w:space="0" w:color="auto"/>
            <w:left w:val="none" w:sz="0" w:space="0" w:color="auto"/>
            <w:bottom w:val="none" w:sz="0" w:space="0" w:color="auto"/>
            <w:right w:val="none" w:sz="0" w:space="0" w:color="auto"/>
          </w:divBdr>
        </w:div>
        <w:div w:id="893348327">
          <w:marLeft w:val="0"/>
          <w:marRight w:val="0"/>
          <w:marTop w:val="0"/>
          <w:marBottom w:val="0"/>
          <w:divBdr>
            <w:top w:val="none" w:sz="0" w:space="0" w:color="auto"/>
            <w:left w:val="none" w:sz="0" w:space="0" w:color="auto"/>
            <w:bottom w:val="none" w:sz="0" w:space="0" w:color="auto"/>
            <w:right w:val="none" w:sz="0" w:space="0" w:color="auto"/>
          </w:divBdr>
        </w:div>
        <w:div w:id="1023440648">
          <w:marLeft w:val="0"/>
          <w:marRight w:val="0"/>
          <w:marTop w:val="0"/>
          <w:marBottom w:val="0"/>
          <w:divBdr>
            <w:top w:val="none" w:sz="0" w:space="0" w:color="auto"/>
            <w:left w:val="none" w:sz="0" w:space="0" w:color="auto"/>
            <w:bottom w:val="none" w:sz="0" w:space="0" w:color="auto"/>
            <w:right w:val="none" w:sz="0" w:space="0" w:color="auto"/>
          </w:divBdr>
        </w:div>
        <w:div w:id="1106922119">
          <w:marLeft w:val="0"/>
          <w:marRight w:val="0"/>
          <w:marTop w:val="0"/>
          <w:marBottom w:val="0"/>
          <w:divBdr>
            <w:top w:val="none" w:sz="0" w:space="0" w:color="auto"/>
            <w:left w:val="none" w:sz="0" w:space="0" w:color="auto"/>
            <w:bottom w:val="none" w:sz="0" w:space="0" w:color="auto"/>
            <w:right w:val="none" w:sz="0" w:space="0" w:color="auto"/>
          </w:divBdr>
        </w:div>
        <w:div w:id="1131872535">
          <w:marLeft w:val="0"/>
          <w:marRight w:val="0"/>
          <w:marTop w:val="0"/>
          <w:marBottom w:val="0"/>
          <w:divBdr>
            <w:top w:val="none" w:sz="0" w:space="0" w:color="auto"/>
            <w:left w:val="none" w:sz="0" w:space="0" w:color="auto"/>
            <w:bottom w:val="none" w:sz="0" w:space="0" w:color="auto"/>
            <w:right w:val="none" w:sz="0" w:space="0" w:color="auto"/>
          </w:divBdr>
        </w:div>
        <w:div w:id="1156411189">
          <w:marLeft w:val="0"/>
          <w:marRight w:val="0"/>
          <w:marTop w:val="0"/>
          <w:marBottom w:val="0"/>
          <w:divBdr>
            <w:top w:val="none" w:sz="0" w:space="0" w:color="auto"/>
            <w:left w:val="none" w:sz="0" w:space="0" w:color="auto"/>
            <w:bottom w:val="none" w:sz="0" w:space="0" w:color="auto"/>
            <w:right w:val="none" w:sz="0" w:space="0" w:color="auto"/>
          </w:divBdr>
        </w:div>
        <w:div w:id="1189097745">
          <w:marLeft w:val="0"/>
          <w:marRight w:val="0"/>
          <w:marTop w:val="0"/>
          <w:marBottom w:val="0"/>
          <w:divBdr>
            <w:top w:val="none" w:sz="0" w:space="0" w:color="auto"/>
            <w:left w:val="none" w:sz="0" w:space="0" w:color="auto"/>
            <w:bottom w:val="none" w:sz="0" w:space="0" w:color="auto"/>
            <w:right w:val="none" w:sz="0" w:space="0" w:color="auto"/>
          </w:divBdr>
        </w:div>
        <w:div w:id="1312716144">
          <w:marLeft w:val="0"/>
          <w:marRight w:val="0"/>
          <w:marTop w:val="0"/>
          <w:marBottom w:val="0"/>
          <w:divBdr>
            <w:top w:val="none" w:sz="0" w:space="0" w:color="auto"/>
            <w:left w:val="none" w:sz="0" w:space="0" w:color="auto"/>
            <w:bottom w:val="none" w:sz="0" w:space="0" w:color="auto"/>
            <w:right w:val="none" w:sz="0" w:space="0" w:color="auto"/>
          </w:divBdr>
        </w:div>
        <w:div w:id="1413507898">
          <w:marLeft w:val="0"/>
          <w:marRight w:val="0"/>
          <w:marTop w:val="0"/>
          <w:marBottom w:val="0"/>
          <w:divBdr>
            <w:top w:val="none" w:sz="0" w:space="0" w:color="auto"/>
            <w:left w:val="none" w:sz="0" w:space="0" w:color="auto"/>
            <w:bottom w:val="none" w:sz="0" w:space="0" w:color="auto"/>
            <w:right w:val="none" w:sz="0" w:space="0" w:color="auto"/>
          </w:divBdr>
        </w:div>
        <w:div w:id="1483160494">
          <w:marLeft w:val="0"/>
          <w:marRight w:val="0"/>
          <w:marTop w:val="0"/>
          <w:marBottom w:val="0"/>
          <w:divBdr>
            <w:top w:val="none" w:sz="0" w:space="0" w:color="auto"/>
            <w:left w:val="none" w:sz="0" w:space="0" w:color="auto"/>
            <w:bottom w:val="none" w:sz="0" w:space="0" w:color="auto"/>
            <w:right w:val="none" w:sz="0" w:space="0" w:color="auto"/>
          </w:divBdr>
        </w:div>
        <w:div w:id="1506477720">
          <w:marLeft w:val="0"/>
          <w:marRight w:val="0"/>
          <w:marTop w:val="0"/>
          <w:marBottom w:val="0"/>
          <w:divBdr>
            <w:top w:val="none" w:sz="0" w:space="0" w:color="auto"/>
            <w:left w:val="none" w:sz="0" w:space="0" w:color="auto"/>
            <w:bottom w:val="none" w:sz="0" w:space="0" w:color="auto"/>
            <w:right w:val="none" w:sz="0" w:space="0" w:color="auto"/>
          </w:divBdr>
        </w:div>
        <w:div w:id="1614510943">
          <w:marLeft w:val="0"/>
          <w:marRight w:val="0"/>
          <w:marTop w:val="0"/>
          <w:marBottom w:val="0"/>
          <w:divBdr>
            <w:top w:val="none" w:sz="0" w:space="0" w:color="auto"/>
            <w:left w:val="none" w:sz="0" w:space="0" w:color="auto"/>
            <w:bottom w:val="none" w:sz="0" w:space="0" w:color="auto"/>
            <w:right w:val="none" w:sz="0" w:space="0" w:color="auto"/>
          </w:divBdr>
        </w:div>
        <w:div w:id="1644459869">
          <w:marLeft w:val="0"/>
          <w:marRight w:val="0"/>
          <w:marTop w:val="0"/>
          <w:marBottom w:val="0"/>
          <w:divBdr>
            <w:top w:val="none" w:sz="0" w:space="0" w:color="auto"/>
            <w:left w:val="none" w:sz="0" w:space="0" w:color="auto"/>
            <w:bottom w:val="none" w:sz="0" w:space="0" w:color="auto"/>
            <w:right w:val="none" w:sz="0" w:space="0" w:color="auto"/>
          </w:divBdr>
        </w:div>
        <w:div w:id="1644500019">
          <w:marLeft w:val="0"/>
          <w:marRight w:val="0"/>
          <w:marTop w:val="0"/>
          <w:marBottom w:val="0"/>
          <w:divBdr>
            <w:top w:val="none" w:sz="0" w:space="0" w:color="auto"/>
            <w:left w:val="none" w:sz="0" w:space="0" w:color="auto"/>
            <w:bottom w:val="none" w:sz="0" w:space="0" w:color="auto"/>
            <w:right w:val="none" w:sz="0" w:space="0" w:color="auto"/>
          </w:divBdr>
        </w:div>
        <w:div w:id="1706902549">
          <w:marLeft w:val="0"/>
          <w:marRight w:val="0"/>
          <w:marTop w:val="0"/>
          <w:marBottom w:val="0"/>
          <w:divBdr>
            <w:top w:val="none" w:sz="0" w:space="0" w:color="auto"/>
            <w:left w:val="none" w:sz="0" w:space="0" w:color="auto"/>
            <w:bottom w:val="none" w:sz="0" w:space="0" w:color="auto"/>
            <w:right w:val="none" w:sz="0" w:space="0" w:color="auto"/>
          </w:divBdr>
        </w:div>
        <w:div w:id="1712918188">
          <w:marLeft w:val="0"/>
          <w:marRight w:val="0"/>
          <w:marTop w:val="0"/>
          <w:marBottom w:val="0"/>
          <w:divBdr>
            <w:top w:val="none" w:sz="0" w:space="0" w:color="auto"/>
            <w:left w:val="none" w:sz="0" w:space="0" w:color="auto"/>
            <w:bottom w:val="none" w:sz="0" w:space="0" w:color="auto"/>
            <w:right w:val="none" w:sz="0" w:space="0" w:color="auto"/>
          </w:divBdr>
        </w:div>
        <w:div w:id="1718429792">
          <w:marLeft w:val="0"/>
          <w:marRight w:val="0"/>
          <w:marTop w:val="0"/>
          <w:marBottom w:val="0"/>
          <w:divBdr>
            <w:top w:val="none" w:sz="0" w:space="0" w:color="auto"/>
            <w:left w:val="none" w:sz="0" w:space="0" w:color="auto"/>
            <w:bottom w:val="none" w:sz="0" w:space="0" w:color="auto"/>
            <w:right w:val="none" w:sz="0" w:space="0" w:color="auto"/>
          </w:divBdr>
        </w:div>
        <w:div w:id="1741058122">
          <w:marLeft w:val="0"/>
          <w:marRight w:val="0"/>
          <w:marTop w:val="0"/>
          <w:marBottom w:val="0"/>
          <w:divBdr>
            <w:top w:val="none" w:sz="0" w:space="0" w:color="auto"/>
            <w:left w:val="none" w:sz="0" w:space="0" w:color="auto"/>
            <w:bottom w:val="none" w:sz="0" w:space="0" w:color="auto"/>
            <w:right w:val="none" w:sz="0" w:space="0" w:color="auto"/>
          </w:divBdr>
        </w:div>
        <w:div w:id="1784686423">
          <w:marLeft w:val="0"/>
          <w:marRight w:val="0"/>
          <w:marTop w:val="0"/>
          <w:marBottom w:val="0"/>
          <w:divBdr>
            <w:top w:val="none" w:sz="0" w:space="0" w:color="auto"/>
            <w:left w:val="none" w:sz="0" w:space="0" w:color="auto"/>
            <w:bottom w:val="none" w:sz="0" w:space="0" w:color="auto"/>
            <w:right w:val="none" w:sz="0" w:space="0" w:color="auto"/>
          </w:divBdr>
        </w:div>
        <w:div w:id="1790662797">
          <w:marLeft w:val="0"/>
          <w:marRight w:val="0"/>
          <w:marTop w:val="0"/>
          <w:marBottom w:val="0"/>
          <w:divBdr>
            <w:top w:val="none" w:sz="0" w:space="0" w:color="auto"/>
            <w:left w:val="none" w:sz="0" w:space="0" w:color="auto"/>
            <w:bottom w:val="none" w:sz="0" w:space="0" w:color="auto"/>
            <w:right w:val="none" w:sz="0" w:space="0" w:color="auto"/>
          </w:divBdr>
        </w:div>
        <w:div w:id="1822038431">
          <w:marLeft w:val="0"/>
          <w:marRight w:val="0"/>
          <w:marTop w:val="0"/>
          <w:marBottom w:val="0"/>
          <w:divBdr>
            <w:top w:val="none" w:sz="0" w:space="0" w:color="auto"/>
            <w:left w:val="none" w:sz="0" w:space="0" w:color="auto"/>
            <w:bottom w:val="none" w:sz="0" w:space="0" w:color="auto"/>
            <w:right w:val="none" w:sz="0" w:space="0" w:color="auto"/>
          </w:divBdr>
        </w:div>
        <w:div w:id="1872768442">
          <w:marLeft w:val="0"/>
          <w:marRight w:val="0"/>
          <w:marTop w:val="0"/>
          <w:marBottom w:val="0"/>
          <w:divBdr>
            <w:top w:val="none" w:sz="0" w:space="0" w:color="auto"/>
            <w:left w:val="none" w:sz="0" w:space="0" w:color="auto"/>
            <w:bottom w:val="none" w:sz="0" w:space="0" w:color="auto"/>
            <w:right w:val="none" w:sz="0" w:space="0" w:color="auto"/>
          </w:divBdr>
        </w:div>
        <w:div w:id="1943875110">
          <w:marLeft w:val="0"/>
          <w:marRight w:val="0"/>
          <w:marTop w:val="0"/>
          <w:marBottom w:val="0"/>
          <w:divBdr>
            <w:top w:val="none" w:sz="0" w:space="0" w:color="auto"/>
            <w:left w:val="none" w:sz="0" w:space="0" w:color="auto"/>
            <w:bottom w:val="none" w:sz="0" w:space="0" w:color="auto"/>
            <w:right w:val="none" w:sz="0" w:space="0" w:color="auto"/>
          </w:divBdr>
        </w:div>
        <w:div w:id="1951235218">
          <w:marLeft w:val="0"/>
          <w:marRight w:val="0"/>
          <w:marTop w:val="0"/>
          <w:marBottom w:val="0"/>
          <w:divBdr>
            <w:top w:val="none" w:sz="0" w:space="0" w:color="auto"/>
            <w:left w:val="none" w:sz="0" w:space="0" w:color="auto"/>
            <w:bottom w:val="none" w:sz="0" w:space="0" w:color="auto"/>
            <w:right w:val="none" w:sz="0" w:space="0" w:color="auto"/>
          </w:divBdr>
        </w:div>
        <w:div w:id="1952782808">
          <w:marLeft w:val="0"/>
          <w:marRight w:val="0"/>
          <w:marTop w:val="0"/>
          <w:marBottom w:val="0"/>
          <w:divBdr>
            <w:top w:val="none" w:sz="0" w:space="0" w:color="auto"/>
            <w:left w:val="none" w:sz="0" w:space="0" w:color="auto"/>
            <w:bottom w:val="none" w:sz="0" w:space="0" w:color="auto"/>
            <w:right w:val="none" w:sz="0" w:space="0" w:color="auto"/>
          </w:divBdr>
        </w:div>
        <w:div w:id="2020965493">
          <w:marLeft w:val="0"/>
          <w:marRight w:val="0"/>
          <w:marTop w:val="0"/>
          <w:marBottom w:val="0"/>
          <w:divBdr>
            <w:top w:val="none" w:sz="0" w:space="0" w:color="auto"/>
            <w:left w:val="none" w:sz="0" w:space="0" w:color="auto"/>
            <w:bottom w:val="none" w:sz="0" w:space="0" w:color="auto"/>
            <w:right w:val="none" w:sz="0" w:space="0" w:color="auto"/>
          </w:divBdr>
        </w:div>
        <w:div w:id="2031300422">
          <w:marLeft w:val="0"/>
          <w:marRight w:val="0"/>
          <w:marTop w:val="0"/>
          <w:marBottom w:val="0"/>
          <w:divBdr>
            <w:top w:val="none" w:sz="0" w:space="0" w:color="auto"/>
            <w:left w:val="none" w:sz="0" w:space="0" w:color="auto"/>
            <w:bottom w:val="none" w:sz="0" w:space="0" w:color="auto"/>
            <w:right w:val="none" w:sz="0" w:space="0" w:color="auto"/>
          </w:divBdr>
        </w:div>
        <w:div w:id="2040428831">
          <w:marLeft w:val="0"/>
          <w:marRight w:val="0"/>
          <w:marTop w:val="0"/>
          <w:marBottom w:val="0"/>
          <w:divBdr>
            <w:top w:val="none" w:sz="0" w:space="0" w:color="auto"/>
            <w:left w:val="none" w:sz="0" w:space="0" w:color="auto"/>
            <w:bottom w:val="none" w:sz="0" w:space="0" w:color="auto"/>
            <w:right w:val="none" w:sz="0" w:space="0" w:color="auto"/>
          </w:divBdr>
        </w:div>
        <w:div w:id="2057506809">
          <w:marLeft w:val="0"/>
          <w:marRight w:val="0"/>
          <w:marTop w:val="0"/>
          <w:marBottom w:val="0"/>
          <w:divBdr>
            <w:top w:val="none" w:sz="0" w:space="0" w:color="auto"/>
            <w:left w:val="none" w:sz="0" w:space="0" w:color="auto"/>
            <w:bottom w:val="none" w:sz="0" w:space="0" w:color="auto"/>
            <w:right w:val="none" w:sz="0" w:space="0" w:color="auto"/>
          </w:divBdr>
        </w:div>
        <w:div w:id="2075276888">
          <w:marLeft w:val="0"/>
          <w:marRight w:val="0"/>
          <w:marTop w:val="0"/>
          <w:marBottom w:val="0"/>
          <w:divBdr>
            <w:top w:val="none" w:sz="0" w:space="0" w:color="auto"/>
            <w:left w:val="none" w:sz="0" w:space="0" w:color="auto"/>
            <w:bottom w:val="none" w:sz="0" w:space="0" w:color="auto"/>
            <w:right w:val="none" w:sz="0" w:space="0" w:color="auto"/>
          </w:divBdr>
        </w:div>
        <w:div w:id="2090231451">
          <w:marLeft w:val="0"/>
          <w:marRight w:val="0"/>
          <w:marTop w:val="0"/>
          <w:marBottom w:val="0"/>
          <w:divBdr>
            <w:top w:val="none" w:sz="0" w:space="0" w:color="auto"/>
            <w:left w:val="none" w:sz="0" w:space="0" w:color="auto"/>
            <w:bottom w:val="none" w:sz="0" w:space="0" w:color="auto"/>
            <w:right w:val="none" w:sz="0" w:space="0" w:color="auto"/>
          </w:divBdr>
        </w:div>
        <w:div w:id="2137218641">
          <w:marLeft w:val="0"/>
          <w:marRight w:val="0"/>
          <w:marTop w:val="0"/>
          <w:marBottom w:val="0"/>
          <w:divBdr>
            <w:top w:val="none" w:sz="0" w:space="0" w:color="auto"/>
            <w:left w:val="none" w:sz="0" w:space="0" w:color="auto"/>
            <w:bottom w:val="none" w:sz="0" w:space="0" w:color="auto"/>
            <w:right w:val="none" w:sz="0" w:space="0" w:color="auto"/>
          </w:divBdr>
        </w:div>
      </w:divsChild>
    </w:div>
    <w:div w:id="1613392946">
      <w:bodyDiv w:val="1"/>
      <w:marLeft w:val="0"/>
      <w:marRight w:val="0"/>
      <w:marTop w:val="0"/>
      <w:marBottom w:val="0"/>
      <w:divBdr>
        <w:top w:val="none" w:sz="0" w:space="0" w:color="auto"/>
        <w:left w:val="none" w:sz="0" w:space="0" w:color="auto"/>
        <w:bottom w:val="none" w:sz="0" w:space="0" w:color="auto"/>
        <w:right w:val="none" w:sz="0" w:space="0" w:color="auto"/>
      </w:divBdr>
      <w:divsChild>
        <w:div w:id="79451568">
          <w:marLeft w:val="0"/>
          <w:marRight w:val="0"/>
          <w:marTop w:val="0"/>
          <w:marBottom w:val="0"/>
          <w:divBdr>
            <w:top w:val="none" w:sz="0" w:space="0" w:color="auto"/>
            <w:left w:val="none" w:sz="0" w:space="0" w:color="auto"/>
            <w:bottom w:val="none" w:sz="0" w:space="0" w:color="auto"/>
            <w:right w:val="none" w:sz="0" w:space="0" w:color="auto"/>
          </w:divBdr>
        </w:div>
        <w:div w:id="145517455">
          <w:marLeft w:val="0"/>
          <w:marRight w:val="0"/>
          <w:marTop w:val="0"/>
          <w:marBottom w:val="0"/>
          <w:divBdr>
            <w:top w:val="none" w:sz="0" w:space="0" w:color="auto"/>
            <w:left w:val="none" w:sz="0" w:space="0" w:color="auto"/>
            <w:bottom w:val="none" w:sz="0" w:space="0" w:color="auto"/>
            <w:right w:val="none" w:sz="0" w:space="0" w:color="auto"/>
          </w:divBdr>
        </w:div>
        <w:div w:id="153956374">
          <w:marLeft w:val="0"/>
          <w:marRight w:val="0"/>
          <w:marTop w:val="0"/>
          <w:marBottom w:val="0"/>
          <w:divBdr>
            <w:top w:val="none" w:sz="0" w:space="0" w:color="auto"/>
            <w:left w:val="none" w:sz="0" w:space="0" w:color="auto"/>
            <w:bottom w:val="none" w:sz="0" w:space="0" w:color="auto"/>
            <w:right w:val="none" w:sz="0" w:space="0" w:color="auto"/>
          </w:divBdr>
        </w:div>
        <w:div w:id="206837026">
          <w:marLeft w:val="0"/>
          <w:marRight w:val="0"/>
          <w:marTop w:val="0"/>
          <w:marBottom w:val="0"/>
          <w:divBdr>
            <w:top w:val="none" w:sz="0" w:space="0" w:color="auto"/>
            <w:left w:val="none" w:sz="0" w:space="0" w:color="auto"/>
            <w:bottom w:val="none" w:sz="0" w:space="0" w:color="auto"/>
            <w:right w:val="none" w:sz="0" w:space="0" w:color="auto"/>
          </w:divBdr>
        </w:div>
        <w:div w:id="258411462">
          <w:marLeft w:val="0"/>
          <w:marRight w:val="0"/>
          <w:marTop w:val="0"/>
          <w:marBottom w:val="0"/>
          <w:divBdr>
            <w:top w:val="none" w:sz="0" w:space="0" w:color="auto"/>
            <w:left w:val="none" w:sz="0" w:space="0" w:color="auto"/>
            <w:bottom w:val="none" w:sz="0" w:space="0" w:color="auto"/>
            <w:right w:val="none" w:sz="0" w:space="0" w:color="auto"/>
          </w:divBdr>
        </w:div>
        <w:div w:id="307636933">
          <w:marLeft w:val="0"/>
          <w:marRight w:val="0"/>
          <w:marTop w:val="0"/>
          <w:marBottom w:val="0"/>
          <w:divBdr>
            <w:top w:val="none" w:sz="0" w:space="0" w:color="auto"/>
            <w:left w:val="none" w:sz="0" w:space="0" w:color="auto"/>
            <w:bottom w:val="none" w:sz="0" w:space="0" w:color="auto"/>
            <w:right w:val="none" w:sz="0" w:space="0" w:color="auto"/>
          </w:divBdr>
        </w:div>
        <w:div w:id="381633751">
          <w:marLeft w:val="0"/>
          <w:marRight w:val="0"/>
          <w:marTop w:val="0"/>
          <w:marBottom w:val="0"/>
          <w:divBdr>
            <w:top w:val="none" w:sz="0" w:space="0" w:color="auto"/>
            <w:left w:val="none" w:sz="0" w:space="0" w:color="auto"/>
            <w:bottom w:val="none" w:sz="0" w:space="0" w:color="auto"/>
            <w:right w:val="none" w:sz="0" w:space="0" w:color="auto"/>
          </w:divBdr>
        </w:div>
        <w:div w:id="393281606">
          <w:marLeft w:val="0"/>
          <w:marRight w:val="0"/>
          <w:marTop w:val="0"/>
          <w:marBottom w:val="0"/>
          <w:divBdr>
            <w:top w:val="none" w:sz="0" w:space="0" w:color="auto"/>
            <w:left w:val="none" w:sz="0" w:space="0" w:color="auto"/>
            <w:bottom w:val="none" w:sz="0" w:space="0" w:color="auto"/>
            <w:right w:val="none" w:sz="0" w:space="0" w:color="auto"/>
          </w:divBdr>
        </w:div>
        <w:div w:id="450058198">
          <w:marLeft w:val="0"/>
          <w:marRight w:val="0"/>
          <w:marTop w:val="0"/>
          <w:marBottom w:val="0"/>
          <w:divBdr>
            <w:top w:val="none" w:sz="0" w:space="0" w:color="auto"/>
            <w:left w:val="none" w:sz="0" w:space="0" w:color="auto"/>
            <w:bottom w:val="none" w:sz="0" w:space="0" w:color="auto"/>
            <w:right w:val="none" w:sz="0" w:space="0" w:color="auto"/>
          </w:divBdr>
        </w:div>
        <w:div w:id="490607140">
          <w:marLeft w:val="0"/>
          <w:marRight w:val="0"/>
          <w:marTop w:val="0"/>
          <w:marBottom w:val="0"/>
          <w:divBdr>
            <w:top w:val="none" w:sz="0" w:space="0" w:color="auto"/>
            <w:left w:val="none" w:sz="0" w:space="0" w:color="auto"/>
            <w:bottom w:val="none" w:sz="0" w:space="0" w:color="auto"/>
            <w:right w:val="none" w:sz="0" w:space="0" w:color="auto"/>
          </w:divBdr>
        </w:div>
        <w:div w:id="502742872">
          <w:marLeft w:val="0"/>
          <w:marRight w:val="0"/>
          <w:marTop w:val="0"/>
          <w:marBottom w:val="0"/>
          <w:divBdr>
            <w:top w:val="none" w:sz="0" w:space="0" w:color="auto"/>
            <w:left w:val="none" w:sz="0" w:space="0" w:color="auto"/>
            <w:bottom w:val="none" w:sz="0" w:space="0" w:color="auto"/>
            <w:right w:val="none" w:sz="0" w:space="0" w:color="auto"/>
          </w:divBdr>
        </w:div>
        <w:div w:id="541868516">
          <w:marLeft w:val="0"/>
          <w:marRight w:val="0"/>
          <w:marTop w:val="0"/>
          <w:marBottom w:val="0"/>
          <w:divBdr>
            <w:top w:val="none" w:sz="0" w:space="0" w:color="auto"/>
            <w:left w:val="none" w:sz="0" w:space="0" w:color="auto"/>
            <w:bottom w:val="none" w:sz="0" w:space="0" w:color="auto"/>
            <w:right w:val="none" w:sz="0" w:space="0" w:color="auto"/>
          </w:divBdr>
        </w:div>
        <w:div w:id="570427401">
          <w:marLeft w:val="0"/>
          <w:marRight w:val="0"/>
          <w:marTop w:val="0"/>
          <w:marBottom w:val="0"/>
          <w:divBdr>
            <w:top w:val="none" w:sz="0" w:space="0" w:color="auto"/>
            <w:left w:val="none" w:sz="0" w:space="0" w:color="auto"/>
            <w:bottom w:val="none" w:sz="0" w:space="0" w:color="auto"/>
            <w:right w:val="none" w:sz="0" w:space="0" w:color="auto"/>
          </w:divBdr>
        </w:div>
        <w:div w:id="617686468">
          <w:marLeft w:val="0"/>
          <w:marRight w:val="0"/>
          <w:marTop w:val="0"/>
          <w:marBottom w:val="0"/>
          <w:divBdr>
            <w:top w:val="none" w:sz="0" w:space="0" w:color="auto"/>
            <w:left w:val="none" w:sz="0" w:space="0" w:color="auto"/>
            <w:bottom w:val="none" w:sz="0" w:space="0" w:color="auto"/>
            <w:right w:val="none" w:sz="0" w:space="0" w:color="auto"/>
          </w:divBdr>
        </w:div>
        <w:div w:id="624045346">
          <w:marLeft w:val="0"/>
          <w:marRight w:val="0"/>
          <w:marTop w:val="0"/>
          <w:marBottom w:val="0"/>
          <w:divBdr>
            <w:top w:val="none" w:sz="0" w:space="0" w:color="auto"/>
            <w:left w:val="none" w:sz="0" w:space="0" w:color="auto"/>
            <w:bottom w:val="none" w:sz="0" w:space="0" w:color="auto"/>
            <w:right w:val="none" w:sz="0" w:space="0" w:color="auto"/>
          </w:divBdr>
        </w:div>
        <w:div w:id="654988758">
          <w:marLeft w:val="0"/>
          <w:marRight w:val="0"/>
          <w:marTop w:val="0"/>
          <w:marBottom w:val="0"/>
          <w:divBdr>
            <w:top w:val="none" w:sz="0" w:space="0" w:color="auto"/>
            <w:left w:val="none" w:sz="0" w:space="0" w:color="auto"/>
            <w:bottom w:val="none" w:sz="0" w:space="0" w:color="auto"/>
            <w:right w:val="none" w:sz="0" w:space="0" w:color="auto"/>
          </w:divBdr>
        </w:div>
        <w:div w:id="774178146">
          <w:marLeft w:val="0"/>
          <w:marRight w:val="0"/>
          <w:marTop w:val="0"/>
          <w:marBottom w:val="0"/>
          <w:divBdr>
            <w:top w:val="none" w:sz="0" w:space="0" w:color="auto"/>
            <w:left w:val="none" w:sz="0" w:space="0" w:color="auto"/>
            <w:bottom w:val="none" w:sz="0" w:space="0" w:color="auto"/>
            <w:right w:val="none" w:sz="0" w:space="0" w:color="auto"/>
          </w:divBdr>
        </w:div>
        <w:div w:id="844445059">
          <w:marLeft w:val="0"/>
          <w:marRight w:val="0"/>
          <w:marTop w:val="0"/>
          <w:marBottom w:val="0"/>
          <w:divBdr>
            <w:top w:val="none" w:sz="0" w:space="0" w:color="auto"/>
            <w:left w:val="none" w:sz="0" w:space="0" w:color="auto"/>
            <w:bottom w:val="none" w:sz="0" w:space="0" w:color="auto"/>
            <w:right w:val="none" w:sz="0" w:space="0" w:color="auto"/>
          </w:divBdr>
        </w:div>
        <w:div w:id="904877166">
          <w:marLeft w:val="0"/>
          <w:marRight w:val="0"/>
          <w:marTop w:val="0"/>
          <w:marBottom w:val="0"/>
          <w:divBdr>
            <w:top w:val="none" w:sz="0" w:space="0" w:color="auto"/>
            <w:left w:val="none" w:sz="0" w:space="0" w:color="auto"/>
            <w:bottom w:val="none" w:sz="0" w:space="0" w:color="auto"/>
            <w:right w:val="none" w:sz="0" w:space="0" w:color="auto"/>
          </w:divBdr>
        </w:div>
        <w:div w:id="969703123">
          <w:marLeft w:val="0"/>
          <w:marRight w:val="0"/>
          <w:marTop w:val="0"/>
          <w:marBottom w:val="0"/>
          <w:divBdr>
            <w:top w:val="none" w:sz="0" w:space="0" w:color="auto"/>
            <w:left w:val="none" w:sz="0" w:space="0" w:color="auto"/>
            <w:bottom w:val="none" w:sz="0" w:space="0" w:color="auto"/>
            <w:right w:val="none" w:sz="0" w:space="0" w:color="auto"/>
          </w:divBdr>
        </w:div>
        <w:div w:id="980235896">
          <w:marLeft w:val="0"/>
          <w:marRight w:val="0"/>
          <w:marTop w:val="0"/>
          <w:marBottom w:val="0"/>
          <w:divBdr>
            <w:top w:val="none" w:sz="0" w:space="0" w:color="auto"/>
            <w:left w:val="none" w:sz="0" w:space="0" w:color="auto"/>
            <w:bottom w:val="none" w:sz="0" w:space="0" w:color="auto"/>
            <w:right w:val="none" w:sz="0" w:space="0" w:color="auto"/>
          </w:divBdr>
        </w:div>
        <w:div w:id="1021198229">
          <w:marLeft w:val="0"/>
          <w:marRight w:val="0"/>
          <w:marTop w:val="0"/>
          <w:marBottom w:val="0"/>
          <w:divBdr>
            <w:top w:val="none" w:sz="0" w:space="0" w:color="auto"/>
            <w:left w:val="none" w:sz="0" w:space="0" w:color="auto"/>
            <w:bottom w:val="none" w:sz="0" w:space="0" w:color="auto"/>
            <w:right w:val="none" w:sz="0" w:space="0" w:color="auto"/>
          </w:divBdr>
        </w:div>
        <w:div w:id="1090657925">
          <w:marLeft w:val="0"/>
          <w:marRight w:val="0"/>
          <w:marTop w:val="0"/>
          <w:marBottom w:val="0"/>
          <w:divBdr>
            <w:top w:val="none" w:sz="0" w:space="0" w:color="auto"/>
            <w:left w:val="none" w:sz="0" w:space="0" w:color="auto"/>
            <w:bottom w:val="none" w:sz="0" w:space="0" w:color="auto"/>
            <w:right w:val="none" w:sz="0" w:space="0" w:color="auto"/>
          </w:divBdr>
        </w:div>
        <w:div w:id="1174227764">
          <w:marLeft w:val="0"/>
          <w:marRight w:val="0"/>
          <w:marTop w:val="0"/>
          <w:marBottom w:val="0"/>
          <w:divBdr>
            <w:top w:val="none" w:sz="0" w:space="0" w:color="auto"/>
            <w:left w:val="none" w:sz="0" w:space="0" w:color="auto"/>
            <w:bottom w:val="none" w:sz="0" w:space="0" w:color="auto"/>
            <w:right w:val="none" w:sz="0" w:space="0" w:color="auto"/>
          </w:divBdr>
        </w:div>
        <w:div w:id="1355498343">
          <w:marLeft w:val="0"/>
          <w:marRight w:val="0"/>
          <w:marTop w:val="0"/>
          <w:marBottom w:val="0"/>
          <w:divBdr>
            <w:top w:val="none" w:sz="0" w:space="0" w:color="auto"/>
            <w:left w:val="none" w:sz="0" w:space="0" w:color="auto"/>
            <w:bottom w:val="none" w:sz="0" w:space="0" w:color="auto"/>
            <w:right w:val="none" w:sz="0" w:space="0" w:color="auto"/>
          </w:divBdr>
        </w:div>
        <w:div w:id="1357775393">
          <w:marLeft w:val="0"/>
          <w:marRight w:val="0"/>
          <w:marTop w:val="0"/>
          <w:marBottom w:val="0"/>
          <w:divBdr>
            <w:top w:val="none" w:sz="0" w:space="0" w:color="auto"/>
            <w:left w:val="none" w:sz="0" w:space="0" w:color="auto"/>
            <w:bottom w:val="none" w:sz="0" w:space="0" w:color="auto"/>
            <w:right w:val="none" w:sz="0" w:space="0" w:color="auto"/>
          </w:divBdr>
        </w:div>
        <w:div w:id="1397121642">
          <w:marLeft w:val="0"/>
          <w:marRight w:val="0"/>
          <w:marTop w:val="0"/>
          <w:marBottom w:val="0"/>
          <w:divBdr>
            <w:top w:val="none" w:sz="0" w:space="0" w:color="auto"/>
            <w:left w:val="none" w:sz="0" w:space="0" w:color="auto"/>
            <w:bottom w:val="none" w:sz="0" w:space="0" w:color="auto"/>
            <w:right w:val="none" w:sz="0" w:space="0" w:color="auto"/>
          </w:divBdr>
        </w:div>
        <w:div w:id="1420178470">
          <w:marLeft w:val="0"/>
          <w:marRight w:val="0"/>
          <w:marTop w:val="0"/>
          <w:marBottom w:val="0"/>
          <w:divBdr>
            <w:top w:val="none" w:sz="0" w:space="0" w:color="auto"/>
            <w:left w:val="none" w:sz="0" w:space="0" w:color="auto"/>
            <w:bottom w:val="none" w:sz="0" w:space="0" w:color="auto"/>
            <w:right w:val="none" w:sz="0" w:space="0" w:color="auto"/>
          </w:divBdr>
        </w:div>
        <w:div w:id="1475679443">
          <w:marLeft w:val="0"/>
          <w:marRight w:val="0"/>
          <w:marTop w:val="0"/>
          <w:marBottom w:val="0"/>
          <w:divBdr>
            <w:top w:val="none" w:sz="0" w:space="0" w:color="auto"/>
            <w:left w:val="none" w:sz="0" w:space="0" w:color="auto"/>
            <w:bottom w:val="none" w:sz="0" w:space="0" w:color="auto"/>
            <w:right w:val="none" w:sz="0" w:space="0" w:color="auto"/>
          </w:divBdr>
        </w:div>
        <w:div w:id="1498687164">
          <w:marLeft w:val="0"/>
          <w:marRight w:val="0"/>
          <w:marTop w:val="0"/>
          <w:marBottom w:val="0"/>
          <w:divBdr>
            <w:top w:val="none" w:sz="0" w:space="0" w:color="auto"/>
            <w:left w:val="none" w:sz="0" w:space="0" w:color="auto"/>
            <w:bottom w:val="none" w:sz="0" w:space="0" w:color="auto"/>
            <w:right w:val="none" w:sz="0" w:space="0" w:color="auto"/>
          </w:divBdr>
        </w:div>
        <w:div w:id="1537431127">
          <w:marLeft w:val="0"/>
          <w:marRight w:val="0"/>
          <w:marTop w:val="0"/>
          <w:marBottom w:val="0"/>
          <w:divBdr>
            <w:top w:val="none" w:sz="0" w:space="0" w:color="auto"/>
            <w:left w:val="none" w:sz="0" w:space="0" w:color="auto"/>
            <w:bottom w:val="none" w:sz="0" w:space="0" w:color="auto"/>
            <w:right w:val="none" w:sz="0" w:space="0" w:color="auto"/>
          </w:divBdr>
        </w:div>
        <w:div w:id="1561134027">
          <w:marLeft w:val="0"/>
          <w:marRight w:val="0"/>
          <w:marTop w:val="0"/>
          <w:marBottom w:val="0"/>
          <w:divBdr>
            <w:top w:val="none" w:sz="0" w:space="0" w:color="auto"/>
            <w:left w:val="none" w:sz="0" w:space="0" w:color="auto"/>
            <w:bottom w:val="none" w:sz="0" w:space="0" w:color="auto"/>
            <w:right w:val="none" w:sz="0" w:space="0" w:color="auto"/>
          </w:divBdr>
        </w:div>
        <w:div w:id="1562671190">
          <w:marLeft w:val="0"/>
          <w:marRight w:val="0"/>
          <w:marTop w:val="0"/>
          <w:marBottom w:val="0"/>
          <w:divBdr>
            <w:top w:val="none" w:sz="0" w:space="0" w:color="auto"/>
            <w:left w:val="none" w:sz="0" w:space="0" w:color="auto"/>
            <w:bottom w:val="none" w:sz="0" w:space="0" w:color="auto"/>
            <w:right w:val="none" w:sz="0" w:space="0" w:color="auto"/>
          </w:divBdr>
        </w:div>
        <w:div w:id="1575889768">
          <w:marLeft w:val="0"/>
          <w:marRight w:val="0"/>
          <w:marTop w:val="0"/>
          <w:marBottom w:val="0"/>
          <w:divBdr>
            <w:top w:val="none" w:sz="0" w:space="0" w:color="auto"/>
            <w:left w:val="none" w:sz="0" w:space="0" w:color="auto"/>
            <w:bottom w:val="none" w:sz="0" w:space="0" w:color="auto"/>
            <w:right w:val="none" w:sz="0" w:space="0" w:color="auto"/>
          </w:divBdr>
        </w:div>
        <w:div w:id="1580870400">
          <w:marLeft w:val="0"/>
          <w:marRight w:val="0"/>
          <w:marTop w:val="0"/>
          <w:marBottom w:val="0"/>
          <w:divBdr>
            <w:top w:val="none" w:sz="0" w:space="0" w:color="auto"/>
            <w:left w:val="none" w:sz="0" w:space="0" w:color="auto"/>
            <w:bottom w:val="none" w:sz="0" w:space="0" w:color="auto"/>
            <w:right w:val="none" w:sz="0" w:space="0" w:color="auto"/>
          </w:divBdr>
        </w:div>
        <w:div w:id="1652565024">
          <w:marLeft w:val="0"/>
          <w:marRight w:val="0"/>
          <w:marTop w:val="0"/>
          <w:marBottom w:val="0"/>
          <w:divBdr>
            <w:top w:val="none" w:sz="0" w:space="0" w:color="auto"/>
            <w:left w:val="none" w:sz="0" w:space="0" w:color="auto"/>
            <w:bottom w:val="none" w:sz="0" w:space="0" w:color="auto"/>
            <w:right w:val="none" w:sz="0" w:space="0" w:color="auto"/>
          </w:divBdr>
        </w:div>
        <w:div w:id="1679502386">
          <w:marLeft w:val="0"/>
          <w:marRight w:val="0"/>
          <w:marTop w:val="0"/>
          <w:marBottom w:val="0"/>
          <w:divBdr>
            <w:top w:val="none" w:sz="0" w:space="0" w:color="auto"/>
            <w:left w:val="none" w:sz="0" w:space="0" w:color="auto"/>
            <w:bottom w:val="none" w:sz="0" w:space="0" w:color="auto"/>
            <w:right w:val="none" w:sz="0" w:space="0" w:color="auto"/>
          </w:divBdr>
        </w:div>
        <w:div w:id="1778865440">
          <w:marLeft w:val="0"/>
          <w:marRight w:val="0"/>
          <w:marTop w:val="0"/>
          <w:marBottom w:val="0"/>
          <w:divBdr>
            <w:top w:val="none" w:sz="0" w:space="0" w:color="auto"/>
            <w:left w:val="none" w:sz="0" w:space="0" w:color="auto"/>
            <w:bottom w:val="none" w:sz="0" w:space="0" w:color="auto"/>
            <w:right w:val="none" w:sz="0" w:space="0" w:color="auto"/>
          </w:divBdr>
        </w:div>
        <w:div w:id="1846049639">
          <w:marLeft w:val="0"/>
          <w:marRight w:val="0"/>
          <w:marTop w:val="0"/>
          <w:marBottom w:val="0"/>
          <w:divBdr>
            <w:top w:val="none" w:sz="0" w:space="0" w:color="auto"/>
            <w:left w:val="none" w:sz="0" w:space="0" w:color="auto"/>
            <w:bottom w:val="none" w:sz="0" w:space="0" w:color="auto"/>
            <w:right w:val="none" w:sz="0" w:space="0" w:color="auto"/>
          </w:divBdr>
        </w:div>
        <w:div w:id="1860728624">
          <w:marLeft w:val="0"/>
          <w:marRight w:val="0"/>
          <w:marTop w:val="0"/>
          <w:marBottom w:val="0"/>
          <w:divBdr>
            <w:top w:val="none" w:sz="0" w:space="0" w:color="auto"/>
            <w:left w:val="none" w:sz="0" w:space="0" w:color="auto"/>
            <w:bottom w:val="none" w:sz="0" w:space="0" w:color="auto"/>
            <w:right w:val="none" w:sz="0" w:space="0" w:color="auto"/>
          </w:divBdr>
        </w:div>
        <w:div w:id="1883785356">
          <w:marLeft w:val="0"/>
          <w:marRight w:val="0"/>
          <w:marTop w:val="0"/>
          <w:marBottom w:val="0"/>
          <w:divBdr>
            <w:top w:val="none" w:sz="0" w:space="0" w:color="auto"/>
            <w:left w:val="none" w:sz="0" w:space="0" w:color="auto"/>
            <w:bottom w:val="none" w:sz="0" w:space="0" w:color="auto"/>
            <w:right w:val="none" w:sz="0" w:space="0" w:color="auto"/>
          </w:divBdr>
        </w:div>
        <w:div w:id="1916819097">
          <w:marLeft w:val="0"/>
          <w:marRight w:val="0"/>
          <w:marTop w:val="0"/>
          <w:marBottom w:val="0"/>
          <w:divBdr>
            <w:top w:val="none" w:sz="0" w:space="0" w:color="auto"/>
            <w:left w:val="none" w:sz="0" w:space="0" w:color="auto"/>
            <w:bottom w:val="none" w:sz="0" w:space="0" w:color="auto"/>
            <w:right w:val="none" w:sz="0" w:space="0" w:color="auto"/>
          </w:divBdr>
        </w:div>
        <w:div w:id="1960598338">
          <w:marLeft w:val="0"/>
          <w:marRight w:val="0"/>
          <w:marTop w:val="0"/>
          <w:marBottom w:val="0"/>
          <w:divBdr>
            <w:top w:val="none" w:sz="0" w:space="0" w:color="auto"/>
            <w:left w:val="none" w:sz="0" w:space="0" w:color="auto"/>
            <w:bottom w:val="none" w:sz="0" w:space="0" w:color="auto"/>
            <w:right w:val="none" w:sz="0" w:space="0" w:color="auto"/>
          </w:divBdr>
        </w:div>
        <w:div w:id="2028170254">
          <w:marLeft w:val="0"/>
          <w:marRight w:val="0"/>
          <w:marTop w:val="0"/>
          <w:marBottom w:val="0"/>
          <w:divBdr>
            <w:top w:val="none" w:sz="0" w:space="0" w:color="auto"/>
            <w:left w:val="none" w:sz="0" w:space="0" w:color="auto"/>
            <w:bottom w:val="none" w:sz="0" w:space="0" w:color="auto"/>
            <w:right w:val="none" w:sz="0" w:space="0" w:color="auto"/>
          </w:divBdr>
        </w:div>
        <w:div w:id="2032561872">
          <w:marLeft w:val="0"/>
          <w:marRight w:val="0"/>
          <w:marTop w:val="0"/>
          <w:marBottom w:val="0"/>
          <w:divBdr>
            <w:top w:val="none" w:sz="0" w:space="0" w:color="auto"/>
            <w:left w:val="none" w:sz="0" w:space="0" w:color="auto"/>
            <w:bottom w:val="none" w:sz="0" w:space="0" w:color="auto"/>
            <w:right w:val="none" w:sz="0" w:space="0" w:color="auto"/>
          </w:divBdr>
        </w:div>
        <w:div w:id="2099515284">
          <w:marLeft w:val="0"/>
          <w:marRight w:val="0"/>
          <w:marTop w:val="0"/>
          <w:marBottom w:val="0"/>
          <w:divBdr>
            <w:top w:val="none" w:sz="0" w:space="0" w:color="auto"/>
            <w:left w:val="none" w:sz="0" w:space="0" w:color="auto"/>
            <w:bottom w:val="none" w:sz="0" w:space="0" w:color="auto"/>
            <w:right w:val="none" w:sz="0" w:space="0" w:color="auto"/>
          </w:divBdr>
        </w:div>
      </w:divsChild>
    </w:div>
    <w:div w:id="1626882618">
      <w:bodyDiv w:val="1"/>
      <w:marLeft w:val="0"/>
      <w:marRight w:val="0"/>
      <w:marTop w:val="0"/>
      <w:marBottom w:val="0"/>
      <w:divBdr>
        <w:top w:val="none" w:sz="0" w:space="0" w:color="auto"/>
        <w:left w:val="none" w:sz="0" w:space="0" w:color="auto"/>
        <w:bottom w:val="none" w:sz="0" w:space="0" w:color="auto"/>
        <w:right w:val="none" w:sz="0" w:space="0" w:color="auto"/>
      </w:divBdr>
      <w:divsChild>
        <w:div w:id="28916789">
          <w:marLeft w:val="0"/>
          <w:marRight w:val="0"/>
          <w:marTop w:val="0"/>
          <w:marBottom w:val="0"/>
          <w:divBdr>
            <w:top w:val="none" w:sz="0" w:space="0" w:color="auto"/>
            <w:left w:val="none" w:sz="0" w:space="0" w:color="auto"/>
            <w:bottom w:val="none" w:sz="0" w:space="0" w:color="auto"/>
            <w:right w:val="none" w:sz="0" w:space="0" w:color="auto"/>
          </w:divBdr>
        </w:div>
        <w:div w:id="209466926">
          <w:marLeft w:val="0"/>
          <w:marRight w:val="0"/>
          <w:marTop w:val="0"/>
          <w:marBottom w:val="0"/>
          <w:divBdr>
            <w:top w:val="none" w:sz="0" w:space="0" w:color="auto"/>
            <w:left w:val="none" w:sz="0" w:space="0" w:color="auto"/>
            <w:bottom w:val="none" w:sz="0" w:space="0" w:color="auto"/>
            <w:right w:val="none" w:sz="0" w:space="0" w:color="auto"/>
          </w:divBdr>
        </w:div>
        <w:div w:id="439689893">
          <w:marLeft w:val="0"/>
          <w:marRight w:val="0"/>
          <w:marTop w:val="0"/>
          <w:marBottom w:val="0"/>
          <w:divBdr>
            <w:top w:val="none" w:sz="0" w:space="0" w:color="auto"/>
            <w:left w:val="none" w:sz="0" w:space="0" w:color="auto"/>
            <w:bottom w:val="none" w:sz="0" w:space="0" w:color="auto"/>
            <w:right w:val="none" w:sz="0" w:space="0" w:color="auto"/>
          </w:divBdr>
        </w:div>
        <w:div w:id="468787555">
          <w:marLeft w:val="0"/>
          <w:marRight w:val="0"/>
          <w:marTop w:val="0"/>
          <w:marBottom w:val="0"/>
          <w:divBdr>
            <w:top w:val="none" w:sz="0" w:space="0" w:color="auto"/>
            <w:left w:val="none" w:sz="0" w:space="0" w:color="auto"/>
            <w:bottom w:val="none" w:sz="0" w:space="0" w:color="auto"/>
            <w:right w:val="none" w:sz="0" w:space="0" w:color="auto"/>
          </w:divBdr>
        </w:div>
        <w:div w:id="565453014">
          <w:marLeft w:val="0"/>
          <w:marRight w:val="0"/>
          <w:marTop w:val="0"/>
          <w:marBottom w:val="0"/>
          <w:divBdr>
            <w:top w:val="none" w:sz="0" w:space="0" w:color="auto"/>
            <w:left w:val="none" w:sz="0" w:space="0" w:color="auto"/>
            <w:bottom w:val="none" w:sz="0" w:space="0" w:color="auto"/>
            <w:right w:val="none" w:sz="0" w:space="0" w:color="auto"/>
          </w:divBdr>
        </w:div>
        <w:div w:id="581380155">
          <w:marLeft w:val="0"/>
          <w:marRight w:val="0"/>
          <w:marTop w:val="0"/>
          <w:marBottom w:val="0"/>
          <w:divBdr>
            <w:top w:val="none" w:sz="0" w:space="0" w:color="auto"/>
            <w:left w:val="none" w:sz="0" w:space="0" w:color="auto"/>
            <w:bottom w:val="none" w:sz="0" w:space="0" w:color="auto"/>
            <w:right w:val="none" w:sz="0" w:space="0" w:color="auto"/>
          </w:divBdr>
        </w:div>
        <w:div w:id="653722269">
          <w:marLeft w:val="0"/>
          <w:marRight w:val="0"/>
          <w:marTop w:val="0"/>
          <w:marBottom w:val="0"/>
          <w:divBdr>
            <w:top w:val="none" w:sz="0" w:space="0" w:color="auto"/>
            <w:left w:val="none" w:sz="0" w:space="0" w:color="auto"/>
            <w:bottom w:val="none" w:sz="0" w:space="0" w:color="auto"/>
            <w:right w:val="none" w:sz="0" w:space="0" w:color="auto"/>
          </w:divBdr>
        </w:div>
        <w:div w:id="688259770">
          <w:marLeft w:val="0"/>
          <w:marRight w:val="0"/>
          <w:marTop w:val="0"/>
          <w:marBottom w:val="0"/>
          <w:divBdr>
            <w:top w:val="none" w:sz="0" w:space="0" w:color="auto"/>
            <w:left w:val="none" w:sz="0" w:space="0" w:color="auto"/>
            <w:bottom w:val="none" w:sz="0" w:space="0" w:color="auto"/>
            <w:right w:val="none" w:sz="0" w:space="0" w:color="auto"/>
          </w:divBdr>
        </w:div>
        <w:div w:id="774137787">
          <w:marLeft w:val="0"/>
          <w:marRight w:val="0"/>
          <w:marTop w:val="0"/>
          <w:marBottom w:val="0"/>
          <w:divBdr>
            <w:top w:val="none" w:sz="0" w:space="0" w:color="auto"/>
            <w:left w:val="none" w:sz="0" w:space="0" w:color="auto"/>
            <w:bottom w:val="none" w:sz="0" w:space="0" w:color="auto"/>
            <w:right w:val="none" w:sz="0" w:space="0" w:color="auto"/>
          </w:divBdr>
        </w:div>
        <w:div w:id="797912520">
          <w:marLeft w:val="0"/>
          <w:marRight w:val="0"/>
          <w:marTop w:val="0"/>
          <w:marBottom w:val="0"/>
          <w:divBdr>
            <w:top w:val="none" w:sz="0" w:space="0" w:color="auto"/>
            <w:left w:val="none" w:sz="0" w:space="0" w:color="auto"/>
            <w:bottom w:val="none" w:sz="0" w:space="0" w:color="auto"/>
            <w:right w:val="none" w:sz="0" w:space="0" w:color="auto"/>
          </w:divBdr>
        </w:div>
        <w:div w:id="846747783">
          <w:marLeft w:val="0"/>
          <w:marRight w:val="0"/>
          <w:marTop w:val="0"/>
          <w:marBottom w:val="0"/>
          <w:divBdr>
            <w:top w:val="none" w:sz="0" w:space="0" w:color="auto"/>
            <w:left w:val="none" w:sz="0" w:space="0" w:color="auto"/>
            <w:bottom w:val="none" w:sz="0" w:space="0" w:color="auto"/>
            <w:right w:val="none" w:sz="0" w:space="0" w:color="auto"/>
          </w:divBdr>
        </w:div>
        <w:div w:id="1152330721">
          <w:marLeft w:val="0"/>
          <w:marRight w:val="0"/>
          <w:marTop w:val="0"/>
          <w:marBottom w:val="0"/>
          <w:divBdr>
            <w:top w:val="none" w:sz="0" w:space="0" w:color="auto"/>
            <w:left w:val="none" w:sz="0" w:space="0" w:color="auto"/>
            <w:bottom w:val="none" w:sz="0" w:space="0" w:color="auto"/>
            <w:right w:val="none" w:sz="0" w:space="0" w:color="auto"/>
          </w:divBdr>
        </w:div>
        <w:div w:id="1213073893">
          <w:marLeft w:val="0"/>
          <w:marRight w:val="0"/>
          <w:marTop w:val="0"/>
          <w:marBottom w:val="0"/>
          <w:divBdr>
            <w:top w:val="none" w:sz="0" w:space="0" w:color="auto"/>
            <w:left w:val="none" w:sz="0" w:space="0" w:color="auto"/>
            <w:bottom w:val="none" w:sz="0" w:space="0" w:color="auto"/>
            <w:right w:val="none" w:sz="0" w:space="0" w:color="auto"/>
          </w:divBdr>
        </w:div>
        <w:div w:id="1292401141">
          <w:marLeft w:val="0"/>
          <w:marRight w:val="0"/>
          <w:marTop w:val="0"/>
          <w:marBottom w:val="0"/>
          <w:divBdr>
            <w:top w:val="none" w:sz="0" w:space="0" w:color="auto"/>
            <w:left w:val="none" w:sz="0" w:space="0" w:color="auto"/>
            <w:bottom w:val="none" w:sz="0" w:space="0" w:color="auto"/>
            <w:right w:val="none" w:sz="0" w:space="0" w:color="auto"/>
          </w:divBdr>
        </w:div>
        <w:div w:id="1520657429">
          <w:marLeft w:val="0"/>
          <w:marRight w:val="0"/>
          <w:marTop w:val="0"/>
          <w:marBottom w:val="0"/>
          <w:divBdr>
            <w:top w:val="none" w:sz="0" w:space="0" w:color="auto"/>
            <w:left w:val="none" w:sz="0" w:space="0" w:color="auto"/>
            <w:bottom w:val="none" w:sz="0" w:space="0" w:color="auto"/>
            <w:right w:val="none" w:sz="0" w:space="0" w:color="auto"/>
          </w:divBdr>
        </w:div>
        <w:div w:id="1600288725">
          <w:marLeft w:val="0"/>
          <w:marRight w:val="0"/>
          <w:marTop w:val="0"/>
          <w:marBottom w:val="0"/>
          <w:divBdr>
            <w:top w:val="none" w:sz="0" w:space="0" w:color="auto"/>
            <w:left w:val="none" w:sz="0" w:space="0" w:color="auto"/>
            <w:bottom w:val="none" w:sz="0" w:space="0" w:color="auto"/>
            <w:right w:val="none" w:sz="0" w:space="0" w:color="auto"/>
          </w:divBdr>
        </w:div>
        <w:div w:id="1682244609">
          <w:marLeft w:val="0"/>
          <w:marRight w:val="0"/>
          <w:marTop w:val="0"/>
          <w:marBottom w:val="0"/>
          <w:divBdr>
            <w:top w:val="none" w:sz="0" w:space="0" w:color="auto"/>
            <w:left w:val="none" w:sz="0" w:space="0" w:color="auto"/>
            <w:bottom w:val="none" w:sz="0" w:space="0" w:color="auto"/>
            <w:right w:val="none" w:sz="0" w:space="0" w:color="auto"/>
          </w:divBdr>
        </w:div>
        <w:div w:id="1856380420">
          <w:marLeft w:val="0"/>
          <w:marRight w:val="0"/>
          <w:marTop w:val="0"/>
          <w:marBottom w:val="0"/>
          <w:divBdr>
            <w:top w:val="none" w:sz="0" w:space="0" w:color="auto"/>
            <w:left w:val="none" w:sz="0" w:space="0" w:color="auto"/>
            <w:bottom w:val="none" w:sz="0" w:space="0" w:color="auto"/>
            <w:right w:val="none" w:sz="0" w:space="0" w:color="auto"/>
          </w:divBdr>
        </w:div>
        <w:div w:id="1977636714">
          <w:marLeft w:val="0"/>
          <w:marRight w:val="0"/>
          <w:marTop w:val="0"/>
          <w:marBottom w:val="0"/>
          <w:divBdr>
            <w:top w:val="none" w:sz="0" w:space="0" w:color="auto"/>
            <w:left w:val="none" w:sz="0" w:space="0" w:color="auto"/>
            <w:bottom w:val="none" w:sz="0" w:space="0" w:color="auto"/>
            <w:right w:val="none" w:sz="0" w:space="0" w:color="auto"/>
          </w:divBdr>
        </w:div>
      </w:divsChild>
    </w:div>
    <w:div w:id="1628120734">
      <w:bodyDiv w:val="1"/>
      <w:marLeft w:val="0"/>
      <w:marRight w:val="0"/>
      <w:marTop w:val="0"/>
      <w:marBottom w:val="0"/>
      <w:divBdr>
        <w:top w:val="none" w:sz="0" w:space="0" w:color="auto"/>
        <w:left w:val="none" w:sz="0" w:space="0" w:color="auto"/>
        <w:bottom w:val="none" w:sz="0" w:space="0" w:color="auto"/>
        <w:right w:val="none" w:sz="0" w:space="0" w:color="auto"/>
      </w:divBdr>
      <w:divsChild>
        <w:div w:id="478612335">
          <w:marLeft w:val="0"/>
          <w:marRight w:val="0"/>
          <w:marTop w:val="15"/>
          <w:marBottom w:val="0"/>
          <w:divBdr>
            <w:top w:val="none" w:sz="0" w:space="0" w:color="auto"/>
            <w:left w:val="none" w:sz="0" w:space="0" w:color="auto"/>
            <w:bottom w:val="none" w:sz="0" w:space="0" w:color="auto"/>
            <w:right w:val="none" w:sz="0" w:space="0" w:color="auto"/>
          </w:divBdr>
          <w:divsChild>
            <w:div w:id="330186870">
              <w:marLeft w:val="0"/>
              <w:marRight w:val="0"/>
              <w:marTop w:val="0"/>
              <w:marBottom w:val="0"/>
              <w:divBdr>
                <w:top w:val="none" w:sz="0" w:space="0" w:color="auto"/>
                <w:left w:val="none" w:sz="0" w:space="0" w:color="auto"/>
                <w:bottom w:val="none" w:sz="0" w:space="0" w:color="auto"/>
                <w:right w:val="none" w:sz="0" w:space="0" w:color="auto"/>
              </w:divBdr>
              <w:divsChild>
                <w:div w:id="111485911">
                  <w:marLeft w:val="0"/>
                  <w:marRight w:val="0"/>
                  <w:marTop w:val="0"/>
                  <w:marBottom w:val="0"/>
                  <w:divBdr>
                    <w:top w:val="none" w:sz="0" w:space="0" w:color="auto"/>
                    <w:left w:val="none" w:sz="0" w:space="0" w:color="auto"/>
                    <w:bottom w:val="none" w:sz="0" w:space="0" w:color="auto"/>
                    <w:right w:val="none" w:sz="0" w:space="0" w:color="auto"/>
                  </w:divBdr>
                </w:div>
                <w:div w:id="349378200">
                  <w:marLeft w:val="0"/>
                  <w:marRight w:val="0"/>
                  <w:marTop w:val="0"/>
                  <w:marBottom w:val="0"/>
                  <w:divBdr>
                    <w:top w:val="none" w:sz="0" w:space="0" w:color="auto"/>
                    <w:left w:val="none" w:sz="0" w:space="0" w:color="auto"/>
                    <w:bottom w:val="none" w:sz="0" w:space="0" w:color="auto"/>
                    <w:right w:val="none" w:sz="0" w:space="0" w:color="auto"/>
                  </w:divBdr>
                </w:div>
                <w:div w:id="515270284">
                  <w:marLeft w:val="0"/>
                  <w:marRight w:val="0"/>
                  <w:marTop w:val="0"/>
                  <w:marBottom w:val="0"/>
                  <w:divBdr>
                    <w:top w:val="none" w:sz="0" w:space="0" w:color="auto"/>
                    <w:left w:val="none" w:sz="0" w:space="0" w:color="auto"/>
                    <w:bottom w:val="none" w:sz="0" w:space="0" w:color="auto"/>
                    <w:right w:val="none" w:sz="0" w:space="0" w:color="auto"/>
                  </w:divBdr>
                </w:div>
                <w:div w:id="554052458">
                  <w:marLeft w:val="0"/>
                  <w:marRight w:val="0"/>
                  <w:marTop w:val="0"/>
                  <w:marBottom w:val="0"/>
                  <w:divBdr>
                    <w:top w:val="none" w:sz="0" w:space="0" w:color="auto"/>
                    <w:left w:val="none" w:sz="0" w:space="0" w:color="auto"/>
                    <w:bottom w:val="none" w:sz="0" w:space="0" w:color="auto"/>
                    <w:right w:val="none" w:sz="0" w:space="0" w:color="auto"/>
                  </w:divBdr>
                </w:div>
                <w:div w:id="582766896">
                  <w:marLeft w:val="0"/>
                  <w:marRight w:val="0"/>
                  <w:marTop w:val="0"/>
                  <w:marBottom w:val="0"/>
                  <w:divBdr>
                    <w:top w:val="none" w:sz="0" w:space="0" w:color="auto"/>
                    <w:left w:val="none" w:sz="0" w:space="0" w:color="auto"/>
                    <w:bottom w:val="none" w:sz="0" w:space="0" w:color="auto"/>
                    <w:right w:val="none" w:sz="0" w:space="0" w:color="auto"/>
                  </w:divBdr>
                </w:div>
                <w:div w:id="589658464">
                  <w:marLeft w:val="0"/>
                  <w:marRight w:val="0"/>
                  <w:marTop w:val="0"/>
                  <w:marBottom w:val="0"/>
                  <w:divBdr>
                    <w:top w:val="none" w:sz="0" w:space="0" w:color="auto"/>
                    <w:left w:val="none" w:sz="0" w:space="0" w:color="auto"/>
                    <w:bottom w:val="none" w:sz="0" w:space="0" w:color="auto"/>
                    <w:right w:val="none" w:sz="0" w:space="0" w:color="auto"/>
                  </w:divBdr>
                </w:div>
                <w:div w:id="743338239">
                  <w:marLeft w:val="0"/>
                  <w:marRight w:val="0"/>
                  <w:marTop w:val="0"/>
                  <w:marBottom w:val="0"/>
                  <w:divBdr>
                    <w:top w:val="none" w:sz="0" w:space="0" w:color="auto"/>
                    <w:left w:val="none" w:sz="0" w:space="0" w:color="auto"/>
                    <w:bottom w:val="none" w:sz="0" w:space="0" w:color="auto"/>
                    <w:right w:val="none" w:sz="0" w:space="0" w:color="auto"/>
                  </w:divBdr>
                </w:div>
                <w:div w:id="797145963">
                  <w:marLeft w:val="0"/>
                  <w:marRight w:val="0"/>
                  <w:marTop w:val="0"/>
                  <w:marBottom w:val="0"/>
                  <w:divBdr>
                    <w:top w:val="none" w:sz="0" w:space="0" w:color="auto"/>
                    <w:left w:val="none" w:sz="0" w:space="0" w:color="auto"/>
                    <w:bottom w:val="none" w:sz="0" w:space="0" w:color="auto"/>
                    <w:right w:val="none" w:sz="0" w:space="0" w:color="auto"/>
                  </w:divBdr>
                </w:div>
                <w:div w:id="827329068">
                  <w:marLeft w:val="0"/>
                  <w:marRight w:val="0"/>
                  <w:marTop w:val="0"/>
                  <w:marBottom w:val="0"/>
                  <w:divBdr>
                    <w:top w:val="none" w:sz="0" w:space="0" w:color="auto"/>
                    <w:left w:val="none" w:sz="0" w:space="0" w:color="auto"/>
                    <w:bottom w:val="none" w:sz="0" w:space="0" w:color="auto"/>
                    <w:right w:val="none" w:sz="0" w:space="0" w:color="auto"/>
                  </w:divBdr>
                </w:div>
                <w:div w:id="940718605">
                  <w:marLeft w:val="0"/>
                  <w:marRight w:val="0"/>
                  <w:marTop w:val="0"/>
                  <w:marBottom w:val="0"/>
                  <w:divBdr>
                    <w:top w:val="none" w:sz="0" w:space="0" w:color="auto"/>
                    <w:left w:val="none" w:sz="0" w:space="0" w:color="auto"/>
                    <w:bottom w:val="none" w:sz="0" w:space="0" w:color="auto"/>
                    <w:right w:val="none" w:sz="0" w:space="0" w:color="auto"/>
                  </w:divBdr>
                </w:div>
                <w:div w:id="975136257">
                  <w:marLeft w:val="0"/>
                  <w:marRight w:val="0"/>
                  <w:marTop w:val="0"/>
                  <w:marBottom w:val="0"/>
                  <w:divBdr>
                    <w:top w:val="none" w:sz="0" w:space="0" w:color="auto"/>
                    <w:left w:val="none" w:sz="0" w:space="0" w:color="auto"/>
                    <w:bottom w:val="none" w:sz="0" w:space="0" w:color="auto"/>
                    <w:right w:val="none" w:sz="0" w:space="0" w:color="auto"/>
                  </w:divBdr>
                </w:div>
                <w:div w:id="994650794">
                  <w:marLeft w:val="0"/>
                  <w:marRight w:val="0"/>
                  <w:marTop w:val="0"/>
                  <w:marBottom w:val="0"/>
                  <w:divBdr>
                    <w:top w:val="none" w:sz="0" w:space="0" w:color="auto"/>
                    <w:left w:val="none" w:sz="0" w:space="0" w:color="auto"/>
                    <w:bottom w:val="none" w:sz="0" w:space="0" w:color="auto"/>
                    <w:right w:val="none" w:sz="0" w:space="0" w:color="auto"/>
                  </w:divBdr>
                </w:div>
                <w:div w:id="1092432140">
                  <w:marLeft w:val="0"/>
                  <w:marRight w:val="0"/>
                  <w:marTop w:val="0"/>
                  <w:marBottom w:val="0"/>
                  <w:divBdr>
                    <w:top w:val="none" w:sz="0" w:space="0" w:color="auto"/>
                    <w:left w:val="none" w:sz="0" w:space="0" w:color="auto"/>
                    <w:bottom w:val="none" w:sz="0" w:space="0" w:color="auto"/>
                    <w:right w:val="none" w:sz="0" w:space="0" w:color="auto"/>
                  </w:divBdr>
                </w:div>
                <w:div w:id="1223447427">
                  <w:marLeft w:val="0"/>
                  <w:marRight w:val="0"/>
                  <w:marTop w:val="0"/>
                  <w:marBottom w:val="0"/>
                  <w:divBdr>
                    <w:top w:val="none" w:sz="0" w:space="0" w:color="auto"/>
                    <w:left w:val="none" w:sz="0" w:space="0" w:color="auto"/>
                    <w:bottom w:val="none" w:sz="0" w:space="0" w:color="auto"/>
                    <w:right w:val="none" w:sz="0" w:space="0" w:color="auto"/>
                  </w:divBdr>
                </w:div>
                <w:div w:id="1258712167">
                  <w:marLeft w:val="0"/>
                  <w:marRight w:val="0"/>
                  <w:marTop w:val="0"/>
                  <w:marBottom w:val="0"/>
                  <w:divBdr>
                    <w:top w:val="none" w:sz="0" w:space="0" w:color="auto"/>
                    <w:left w:val="none" w:sz="0" w:space="0" w:color="auto"/>
                    <w:bottom w:val="none" w:sz="0" w:space="0" w:color="auto"/>
                    <w:right w:val="none" w:sz="0" w:space="0" w:color="auto"/>
                  </w:divBdr>
                </w:div>
                <w:div w:id="1266694566">
                  <w:marLeft w:val="0"/>
                  <w:marRight w:val="0"/>
                  <w:marTop w:val="0"/>
                  <w:marBottom w:val="0"/>
                  <w:divBdr>
                    <w:top w:val="none" w:sz="0" w:space="0" w:color="auto"/>
                    <w:left w:val="none" w:sz="0" w:space="0" w:color="auto"/>
                    <w:bottom w:val="none" w:sz="0" w:space="0" w:color="auto"/>
                    <w:right w:val="none" w:sz="0" w:space="0" w:color="auto"/>
                  </w:divBdr>
                </w:div>
                <w:div w:id="1350331868">
                  <w:marLeft w:val="0"/>
                  <w:marRight w:val="0"/>
                  <w:marTop w:val="0"/>
                  <w:marBottom w:val="0"/>
                  <w:divBdr>
                    <w:top w:val="none" w:sz="0" w:space="0" w:color="auto"/>
                    <w:left w:val="none" w:sz="0" w:space="0" w:color="auto"/>
                    <w:bottom w:val="none" w:sz="0" w:space="0" w:color="auto"/>
                    <w:right w:val="none" w:sz="0" w:space="0" w:color="auto"/>
                  </w:divBdr>
                </w:div>
                <w:div w:id="1402799126">
                  <w:marLeft w:val="0"/>
                  <w:marRight w:val="0"/>
                  <w:marTop w:val="0"/>
                  <w:marBottom w:val="0"/>
                  <w:divBdr>
                    <w:top w:val="none" w:sz="0" w:space="0" w:color="auto"/>
                    <w:left w:val="none" w:sz="0" w:space="0" w:color="auto"/>
                    <w:bottom w:val="none" w:sz="0" w:space="0" w:color="auto"/>
                    <w:right w:val="none" w:sz="0" w:space="0" w:color="auto"/>
                  </w:divBdr>
                </w:div>
                <w:div w:id="1485857822">
                  <w:marLeft w:val="0"/>
                  <w:marRight w:val="0"/>
                  <w:marTop w:val="0"/>
                  <w:marBottom w:val="0"/>
                  <w:divBdr>
                    <w:top w:val="none" w:sz="0" w:space="0" w:color="auto"/>
                    <w:left w:val="none" w:sz="0" w:space="0" w:color="auto"/>
                    <w:bottom w:val="none" w:sz="0" w:space="0" w:color="auto"/>
                    <w:right w:val="none" w:sz="0" w:space="0" w:color="auto"/>
                  </w:divBdr>
                </w:div>
                <w:div w:id="1494030155">
                  <w:marLeft w:val="0"/>
                  <w:marRight w:val="0"/>
                  <w:marTop w:val="0"/>
                  <w:marBottom w:val="0"/>
                  <w:divBdr>
                    <w:top w:val="none" w:sz="0" w:space="0" w:color="auto"/>
                    <w:left w:val="none" w:sz="0" w:space="0" w:color="auto"/>
                    <w:bottom w:val="none" w:sz="0" w:space="0" w:color="auto"/>
                    <w:right w:val="none" w:sz="0" w:space="0" w:color="auto"/>
                  </w:divBdr>
                </w:div>
                <w:div w:id="1541235809">
                  <w:marLeft w:val="0"/>
                  <w:marRight w:val="0"/>
                  <w:marTop w:val="0"/>
                  <w:marBottom w:val="0"/>
                  <w:divBdr>
                    <w:top w:val="none" w:sz="0" w:space="0" w:color="auto"/>
                    <w:left w:val="none" w:sz="0" w:space="0" w:color="auto"/>
                    <w:bottom w:val="none" w:sz="0" w:space="0" w:color="auto"/>
                    <w:right w:val="none" w:sz="0" w:space="0" w:color="auto"/>
                  </w:divBdr>
                </w:div>
                <w:div w:id="1611083254">
                  <w:marLeft w:val="0"/>
                  <w:marRight w:val="0"/>
                  <w:marTop w:val="0"/>
                  <w:marBottom w:val="0"/>
                  <w:divBdr>
                    <w:top w:val="none" w:sz="0" w:space="0" w:color="auto"/>
                    <w:left w:val="none" w:sz="0" w:space="0" w:color="auto"/>
                    <w:bottom w:val="none" w:sz="0" w:space="0" w:color="auto"/>
                    <w:right w:val="none" w:sz="0" w:space="0" w:color="auto"/>
                  </w:divBdr>
                </w:div>
                <w:div w:id="1747070712">
                  <w:marLeft w:val="0"/>
                  <w:marRight w:val="0"/>
                  <w:marTop w:val="0"/>
                  <w:marBottom w:val="0"/>
                  <w:divBdr>
                    <w:top w:val="none" w:sz="0" w:space="0" w:color="auto"/>
                    <w:left w:val="none" w:sz="0" w:space="0" w:color="auto"/>
                    <w:bottom w:val="none" w:sz="0" w:space="0" w:color="auto"/>
                    <w:right w:val="none" w:sz="0" w:space="0" w:color="auto"/>
                  </w:divBdr>
                </w:div>
                <w:div w:id="1803426741">
                  <w:marLeft w:val="0"/>
                  <w:marRight w:val="0"/>
                  <w:marTop w:val="0"/>
                  <w:marBottom w:val="0"/>
                  <w:divBdr>
                    <w:top w:val="none" w:sz="0" w:space="0" w:color="auto"/>
                    <w:left w:val="none" w:sz="0" w:space="0" w:color="auto"/>
                    <w:bottom w:val="none" w:sz="0" w:space="0" w:color="auto"/>
                    <w:right w:val="none" w:sz="0" w:space="0" w:color="auto"/>
                  </w:divBdr>
                </w:div>
                <w:div w:id="1895119070">
                  <w:marLeft w:val="0"/>
                  <w:marRight w:val="0"/>
                  <w:marTop w:val="0"/>
                  <w:marBottom w:val="0"/>
                  <w:divBdr>
                    <w:top w:val="none" w:sz="0" w:space="0" w:color="auto"/>
                    <w:left w:val="none" w:sz="0" w:space="0" w:color="auto"/>
                    <w:bottom w:val="none" w:sz="0" w:space="0" w:color="auto"/>
                    <w:right w:val="none" w:sz="0" w:space="0" w:color="auto"/>
                  </w:divBdr>
                </w:div>
                <w:div w:id="1968465258">
                  <w:marLeft w:val="0"/>
                  <w:marRight w:val="0"/>
                  <w:marTop w:val="0"/>
                  <w:marBottom w:val="0"/>
                  <w:divBdr>
                    <w:top w:val="none" w:sz="0" w:space="0" w:color="auto"/>
                    <w:left w:val="none" w:sz="0" w:space="0" w:color="auto"/>
                    <w:bottom w:val="none" w:sz="0" w:space="0" w:color="auto"/>
                    <w:right w:val="none" w:sz="0" w:space="0" w:color="auto"/>
                  </w:divBdr>
                </w:div>
                <w:div w:id="2031300702">
                  <w:marLeft w:val="0"/>
                  <w:marRight w:val="0"/>
                  <w:marTop w:val="0"/>
                  <w:marBottom w:val="0"/>
                  <w:divBdr>
                    <w:top w:val="none" w:sz="0" w:space="0" w:color="auto"/>
                    <w:left w:val="none" w:sz="0" w:space="0" w:color="auto"/>
                    <w:bottom w:val="none" w:sz="0" w:space="0" w:color="auto"/>
                    <w:right w:val="none" w:sz="0" w:space="0" w:color="auto"/>
                  </w:divBdr>
                </w:div>
                <w:div w:id="2107267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3320691">
      <w:bodyDiv w:val="1"/>
      <w:marLeft w:val="0"/>
      <w:marRight w:val="0"/>
      <w:marTop w:val="0"/>
      <w:marBottom w:val="0"/>
      <w:divBdr>
        <w:top w:val="none" w:sz="0" w:space="0" w:color="auto"/>
        <w:left w:val="none" w:sz="0" w:space="0" w:color="auto"/>
        <w:bottom w:val="none" w:sz="0" w:space="0" w:color="auto"/>
        <w:right w:val="none" w:sz="0" w:space="0" w:color="auto"/>
      </w:divBdr>
      <w:divsChild>
        <w:div w:id="455682154">
          <w:marLeft w:val="0"/>
          <w:marRight w:val="0"/>
          <w:marTop w:val="15"/>
          <w:marBottom w:val="0"/>
          <w:divBdr>
            <w:top w:val="none" w:sz="0" w:space="0" w:color="auto"/>
            <w:left w:val="none" w:sz="0" w:space="0" w:color="auto"/>
            <w:bottom w:val="none" w:sz="0" w:space="0" w:color="auto"/>
            <w:right w:val="none" w:sz="0" w:space="0" w:color="auto"/>
          </w:divBdr>
          <w:divsChild>
            <w:div w:id="1626305635">
              <w:marLeft w:val="0"/>
              <w:marRight w:val="0"/>
              <w:marTop w:val="0"/>
              <w:marBottom w:val="0"/>
              <w:divBdr>
                <w:top w:val="none" w:sz="0" w:space="0" w:color="auto"/>
                <w:left w:val="none" w:sz="0" w:space="0" w:color="auto"/>
                <w:bottom w:val="none" w:sz="0" w:space="0" w:color="auto"/>
                <w:right w:val="none" w:sz="0" w:space="0" w:color="auto"/>
              </w:divBdr>
              <w:divsChild>
                <w:div w:id="57090958">
                  <w:marLeft w:val="0"/>
                  <w:marRight w:val="0"/>
                  <w:marTop w:val="0"/>
                  <w:marBottom w:val="0"/>
                  <w:divBdr>
                    <w:top w:val="none" w:sz="0" w:space="0" w:color="auto"/>
                    <w:left w:val="none" w:sz="0" w:space="0" w:color="auto"/>
                    <w:bottom w:val="none" w:sz="0" w:space="0" w:color="auto"/>
                    <w:right w:val="none" w:sz="0" w:space="0" w:color="auto"/>
                  </w:divBdr>
                </w:div>
                <w:div w:id="66654493">
                  <w:marLeft w:val="0"/>
                  <w:marRight w:val="0"/>
                  <w:marTop w:val="0"/>
                  <w:marBottom w:val="0"/>
                  <w:divBdr>
                    <w:top w:val="none" w:sz="0" w:space="0" w:color="auto"/>
                    <w:left w:val="none" w:sz="0" w:space="0" w:color="auto"/>
                    <w:bottom w:val="none" w:sz="0" w:space="0" w:color="auto"/>
                    <w:right w:val="none" w:sz="0" w:space="0" w:color="auto"/>
                  </w:divBdr>
                </w:div>
                <w:div w:id="94788904">
                  <w:marLeft w:val="0"/>
                  <w:marRight w:val="0"/>
                  <w:marTop w:val="0"/>
                  <w:marBottom w:val="0"/>
                  <w:divBdr>
                    <w:top w:val="none" w:sz="0" w:space="0" w:color="auto"/>
                    <w:left w:val="none" w:sz="0" w:space="0" w:color="auto"/>
                    <w:bottom w:val="none" w:sz="0" w:space="0" w:color="auto"/>
                    <w:right w:val="none" w:sz="0" w:space="0" w:color="auto"/>
                  </w:divBdr>
                </w:div>
                <w:div w:id="189682194">
                  <w:marLeft w:val="0"/>
                  <w:marRight w:val="0"/>
                  <w:marTop w:val="0"/>
                  <w:marBottom w:val="0"/>
                  <w:divBdr>
                    <w:top w:val="none" w:sz="0" w:space="0" w:color="auto"/>
                    <w:left w:val="none" w:sz="0" w:space="0" w:color="auto"/>
                    <w:bottom w:val="none" w:sz="0" w:space="0" w:color="auto"/>
                    <w:right w:val="none" w:sz="0" w:space="0" w:color="auto"/>
                  </w:divBdr>
                </w:div>
                <w:div w:id="248124452">
                  <w:marLeft w:val="0"/>
                  <w:marRight w:val="0"/>
                  <w:marTop w:val="0"/>
                  <w:marBottom w:val="0"/>
                  <w:divBdr>
                    <w:top w:val="none" w:sz="0" w:space="0" w:color="auto"/>
                    <w:left w:val="none" w:sz="0" w:space="0" w:color="auto"/>
                    <w:bottom w:val="none" w:sz="0" w:space="0" w:color="auto"/>
                    <w:right w:val="none" w:sz="0" w:space="0" w:color="auto"/>
                  </w:divBdr>
                </w:div>
                <w:div w:id="257064555">
                  <w:marLeft w:val="0"/>
                  <w:marRight w:val="0"/>
                  <w:marTop w:val="0"/>
                  <w:marBottom w:val="0"/>
                  <w:divBdr>
                    <w:top w:val="none" w:sz="0" w:space="0" w:color="auto"/>
                    <w:left w:val="none" w:sz="0" w:space="0" w:color="auto"/>
                    <w:bottom w:val="none" w:sz="0" w:space="0" w:color="auto"/>
                    <w:right w:val="none" w:sz="0" w:space="0" w:color="auto"/>
                  </w:divBdr>
                </w:div>
                <w:div w:id="335351269">
                  <w:marLeft w:val="0"/>
                  <w:marRight w:val="0"/>
                  <w:marTop w:val="0"/>
                  <w:marBottom w:val="0"/>
                  <w:divBdr>
                    <w:top w:val="none" w:sz="0" w:space="0" w:color="auto"/>
                    <w:left w:val="none" w:sz="0" w:space="0" w:color="auto"/>
                    <w:bottom w:val="none" w:sz="0" w:space="0" w:color="auto"/>
                    <w:right w:val="none" w:sz="0" w:space="0" w:color="auto"/>
                  </w:divBdr>
                </w:div>
                <w:div w:id="529997651">
                  <w:marLeft w:val="0"/>
                  <w:marRight w:val="0"/>
                  <w:marTop w:val="0"/>
                  <w:marBottom w:val="0"/>
                  <w:divBdr>
                    <w:top w:val="none" w:sz="0" w:space="0" w:color="auto"/>
                    <w:left w:val="none" w:sz="0" w:space="0" w:color="auto"/>
                    <w:bottom w:val="none" w:sz="0" w:space="0" w:color="auto"/>
                    <w:right w:val="none" w:sz="0" w:space="0" w:color="auto"/>
                  </w:divBdr>
                </w:div>
                <w:div w:id="545918818">
                  <w:marLeft w:val="0"/>
                  <w:marRight w:val="0"/>
                  <w:marTop w:val="0"/>
                  <w:marBottom w:val="0"/>
                  <w:divBdr>
                    <w:top w:val="none" w:sz="0" w:space="0" w:color="auto"/>
                    <w:left w:val="none" w:sz="0" w:space="0" w:color="auto"/>
                    <w:bottom w:val="none" w:sz="0" w:space="0" w:color="auto"/>
                    <w:right w:val="none" w:sz="0" w:space="0" w:color="auto"/>
                  </w:divBdr>
                </w:div>
                <w:div w:id="572817024">
                  <w:marLeft w:val="0"/>
                  <w:marRight w:val="0"/>
                  <w:marTop w:val="0"/>
                  <w:marBottom w:val="0"/>
                  <w:divBdr>
                    <w:top w:val="none" w:sz="0" w:space="0" w:color="auto"/>
                    <w:left w:val="none" w:sz="0" w:space="0" w:color="auto"/>
                    <w:bottom w:val="none" w:sz="0" w:space="0" w:color="auto"/>
                    <w:right w:val="none" w:sz="0" w:space="0" w:color="auto"/>
                  </w:divBdr>
                </w:div>
                <w:div w:id="751511732">
                  <w:marLeft w:val="0"/>
                  <w:marRight w:val="0"/>
                  <w:marTop w:val="0"/>
                  <w:marBottom w:val="0"/>
                  <w:divBdr>
                    <w:top w:val="none" w:sz="0" w:space="0" w:color="auto"/>
                    <w:left w:val="none" w:sz="0" w:space="0" w:color="auto"/>
                    <w:bottom w:val="none" w:sz="0" w:space="0" w:color="auto"/>
                    <w:right w:val="none" w:sz="0" w:space="0" w:color="auto"/>
                  </w:divBdr>
                </w:div>
                <w:div w:id="916592003">
                  <w:marLeft w:val="0"/>
                  <w:marRight w:val="0"/>
                  <w:marTop w:val="0"/>
                  <w:marBottom w:val="0"/>
                  <w:divBdr>
                    <w:top w:val="none" w:sz="0" w:space="0" w:color="auto"/>
                    <w:left w:val="none" w:sz="0" w:space="0" w:color="auto"/>
                    <w:bottom w:val="none" w:sz="0" w:space="0" w:color="auto"/>
                    <w:right w:val="none" w:sz="0" w:space="0" w:color="auto"/>
                  </w:divBdr>
                </w:div>
                <w:div w:id="954756590">
                  <w:marLeft w:val="0"/>
                  <w:marRight w:val="0"/>
                  <w:marTop w:val="0"/>
                  <w:marBottom w:val="0"/>
                  <w:divBdr>
                    <w:top w:val="none" w:sz="0" w:space="0" w:color="auto"/>
                    <w:left w:val="none" w:sz="0" w:space="0" w:color="auto"/>
                    <w:bottom w:val="none" w:sz="0" w:space="0" w:color="auto"/>
                    <w:right w:val="none" w:sz="0" w:space="0" w:color="auto"/>
                  </w:divBdr>
                </w:div>
                <w:div w:id="1199931327">
                  <w:marLeft w:val="0"/>
                  <w:marRight w:val="0"/>
                  <w:marTop w:val="0"/>
                  <w:marBottom w:val="0"/>
                  <w:divBdr>
                    <w:top w:val="none" w:sz="0" w:space="0" w:color="auto"/>
                    <w:left w:val="none" w:sz="0" w:space="0" w:color="auto"/>
                    <w:bottom w:val="none" w:sz="0" w:space="0" w:color="auto"/>
                    <w:right w:val="none" w:sz="0" w:space="0" w:color="auto"/>
                  </w:divBdr>
                </w:div>
                <w:div w:id="1219784150">
                  <w:marLeft w:val="0"/>
                  <w:marRight w:val="0"/>
                  <w:marTop w:val="0"/>
                  <w:marBottom w:val="0"/>
                  <w:divBdr>
                    <w:top w:val="none" w:sz="0" w:space="0" w:color="auto"/>
                    <w:left w:val="none" w:sz="0" w:space="0" w:color="auto"/>
                    <w:bottom w:val="none" w:sz="0" w:space="0" w:color="auto"/>
                    <w:right w:val="none" w:sz="0" w:space="0" w:color="auto"/>
                  </w:divBdr>
                </w:div>
                <w:div w:id="1354453291">
                  <w:marLeft w:val="0"/>
                  <w:marRight w:val="0"/>
                  <w:marTop w:val="0"/>
                  <w:marBottom w:val="0"/>
                  <w:divBdr>
                    <w:top w:val="none" w:sz="0" w:space="0" w:color="auto"/>
                    <w:left w:val="none" w:sz="0" w:space="0" w:color="auto"/>
                    <w:bottom w:val="none" w:sz="0" w:space="0" w:color="auto"/>
                    <w:right w:val="none" w:sz="0" w:space="0" w:color="auto"/>
                  </w:divBdr>
                </w:div>
                <w:div w:id="1361736512">
                  <w:marLeft w:val="0"/>
                  <w:marRight w:val="0"/>
                  <w:marTop w:val="0"/>
                  <w:marBottom w:val="0"/>
                  <w:divBdr>
                    <w:top w:val="none" w:sz="0" w:space="0" w:color="auto"/>
                    <w:left w:val="none" w:sz="0" w:space="0" w:color="auto"/>
                    <w:bottom w:val="none" w:sz="0" w:space="0" w:color="auto"/>
                    <w:right w:val="none" w:sz="0" w:space="0" w:color="auto"/>
                  </w:divBdr>
                </w:div>
                <w:div w:id="1576938198">
                  <w:marLeft w:val="0"/>
                  <w:marRight w:val="0"/>
                  <w:marTop w:val="0"/>
                  <w:marBottom w:val="0"/>
                  <w:divBdr>
                    <w:top w:val="none" w:sz="0" w:space="0" w:color="auto"/>
                    <w:left w:val="none" w:sz="0" w:space="0" w:color="auto"/>
                    <w:bottom w:val="none" w:sz="0" w:space="0" w:color="auto"/>
                    <w:right w:val="none" w:sz="0" w:space="0" w:color="auto"/>
                  </w:divBdr>
                </w:div>
                <w:div w:id="1628049845">
                  <w:marLeft w:val="0"/>
                  <w:marRight w:val="0"/>
                  <w:marTop w:val="0"/>
                  <w:marBottom w:val="0"/>
                  <w:divBdr>
                    <w:top w:val="none" w:sz="0" w:space="0" w:color="auto"/>
                    <w:left w:val="none" w:sz="0" w:space="0" w:color="auto"/>
                    <w:bottom w:val="none" w:sz="0" w:space="0" w:color="auto"/>
                    <w:right w:val="none" w:sz="0" w:space="0" w:color="auto"/>
                  </w:divBdr>
                </w:div>
                <w:div w:id="1628701325">
                  <w:marLeft w:val="0"/>
                  <w:marRight w:val="0"/>
                  <w:marTop w:val="0"/>
                  <w:marBottom w:val="0"/>
                  <w:divBdr>
                    <w:top w:val="none" w:sz="0" w:space="0" w:color="auto"/>
                    <w:left w:val="none" w:sz="0" w:space="0" w:color="auto"/>
                    <w:bottom w:val="none" w:sz="0" w:space="0" w:color="auto"/>
                    <w:right w:val="none" w:sz="0" w:space="0" w:color="auto"/>
                  </w:divBdr>
                </w:div>
                <w:div w:id="1645239856">
                  <w:marLeft w:val="0"/>
                  <w:marRight w:val="0"/>
                  <w:marTop w:val="0"/>
                  <w:marBottom w:val="0"/>
                  <w:divBdr>
                    <w:top w:val="none" w:sz="0" w:space="0" w:color="auto"/>
                    <w:left w:val="none" w:sz="0" w:space="0" w:color="auto"/>
                    <w:bottom w:val="none" w:sz="0" w:space="0" w:color="auto"/>
                    <w:right w:val="none" w:sz="0" w:space="0" w:color="auto"/>
                  </w:divBdr>
                </w:div>
                <w:div w:id="1850290870">
                  <w:marLeft w:val="0"/>
                  <w:marRight w:val="0"/>
                  <w:marTop w:val="0"/>
                  <w:marBottom w:val="0"/>
                  <w:divBdr>
                    <w:top w:val="none" w:sz="0" w:space="0" w:color="auto"/>
                    <w:left w:val="none" w:sz="0" w:space="0" w:color="auto"/>
                    <w:bottom w:val="none" w:sz="0" w:space="0" w:color="auto"/>
                    <w:right w:val="none" w:sz="0" w:space="0" w:color="auto"/>
                  </w:divBdr>
                </w:div>
                <w:div w:id="1866020178">
                  <w:marLeft w:val="0"/>
                  <w:marRight w:val="0"/>
                  <w:marTop w:val="0"/>
                  <w:marBottom w:val="0"/>
                  <w:divBdr>
                    <w:top w:val="none" w:sz="0" w:space="0" w:color="auto"/>
                    <w:left w:val="none" w:sz="0" w:space="0" w:color="auto"/>
                    <w:bottom w:val="none" w:sz="0" w:space="0" w:color="auto"/>
                    <w:right w:val="none" w:sz="0" w:space="0" w:color="auto"/>
                  </w:divBdr>
                </w:div>
                <w:div w:id="1934246291">
                  <w:marLeft w:val="0"/>
                  <w:marRight w:val="0"/>
                  <w:marTop w:val="0"/>
                  <w:marBottom w:val="0"/>
                  <w:divBdr>
                    <w:top w:val="none" w:sz="0" w:space="0" w:color="auto"/>
                    <w:left w:val="none" w:sz="0" w:space="0" w:color="auto"/>
                    <w:bottom w:val="none" w:sz="0" w:space="0" w:color="auto"/>
                    <w:right w:val="none" w:sz="0" w:space="0" w:color="auto"/>
                  </w:divBdr>
                </w:div>
                <w:div w:id="1977829921">
                  <w:marLeft w:val="0"/>
                  <w:marRight w:val="0"/>
                  <w:marTop w:val="0"/>
                  <w:marBottom w:val="0"/>
                  <w:divBdr>
                    <w:top w:val="none" w:sz="0" w:space="0" w:color="auto"/>
                    <w:left w:val="none" w:sz="0" w:space="0" w:color="auto"/>
                    <w:bottom w:val="none" w:sz="0" w:space="0" w:color="auto"/>
                    <w:right w:val="none" w:sz="0" w:space="0" w:color="auto"/>
                  </w:divBdr>
                </w:div>
                <w:div w:id="2006470984">
                  <w:marLeft w:val="0"/>
                  <w:marRight w:val="0"/>
                  <w:marTop w:val="0"/>
                  <w:marBottom w:val="0"/>
                  <w:divBdr>
                    <w:top w:val="none" w:sz="0" w:space="0" w:color="auto"/>
                    <w:left w:val="none" w:sz="0" w:space="0" w:color="auto"/>
                    <w:bottom w:val="none" w:sz="0" w:space="0" w:color="auto"/>
                    <w:right w:val="none" w:sz="0" w:space="0" w:color="auto"/>
                  </w:divBdr>
                </w:div>
                <w:div w:id="2043433517">
                  <w:marLeft w:val="0"/>
                  <w:marRight w:val="0"/>
                  <w:marTop w:val="0"/>
                  <w:marBottom w:val="0"/>
                  <w:divBdr>
                    <w:top w:val="none" w:sz="0" w:space="0" w:color="auto"/>
                    <w:left w:val="none" w:sz="0" w:space="0" w:color="auto"/>
                    <w:bottom w:val="none" w:sz="0" w:space="0" w:color="auto"/>
                    <w:right w:val="none" w:sz="0" w:space="0" w:color="auto"/>
                  </w:divBdr>
                </w:div>
                <w:div w:id="2117677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6390966">
      <w:bodyDiv w:val="1"/>
      <w:marLeft w:val="0"/>
      <w:marRight w:val="0"/>
      <w:marTop w:val="0"/>
      <w:marBottom w:val="0"/>
      <w:divBdr>
        <w:top w:val="none" w:sz="0" w:space="0" w:color="auto"/>
        <w:left w:val="none" w:sz="0" w:space="0" w:color="auto"/>
        <w:bottom w:val="none" w:sz="0" w:space="0" w:color="auto"/>
        <w:right w:val="none" w:sz="0" w:space="0" w:color="auto"/>
      </w:divBdr>
      <w:divsChild>
        <w:div w:id="101851874">
          <w:marLeft w:val="0"/>
          <w:marRight w:val="0"/>
          <w:marTop w:val="0"/>
          <w:marBottom w:val="0"/>
          <w:divBdr>
            <w:top w:val="none" w:sz="0" w:space="0" w:color="auto"/>
            <w:left w:val="none" w:sz="0" w:space="0" w:color="auto"/>
            <w:bottom w:val="none" w:sz="0" w:space="0" w:color="auto"/>
            <w:right w:val="none" w:sz="0" w:space="0" w:color="auto"/>
          </w:divBdr>
        </w:div>
        <w:div w:id="133378490">
          <w:marLeft w:val="0"/>
          <w:marRight w:val="0"/>
          <w:marTop w:val="0"/>
          <w:marBottom w:val="0"/>
          <w:divBdr>
            <w:top w:val="none" w:sz="0" w:space="0" w:color="auto"/>
            <w:left w:val="none" w:sz="0" w:space="0" w:color="auto"/>
            <w:bottom w:val="none" w:sz="0" w:space="0" w:color="auto"/>
            <w:right w:val="none" w:sz="0" w:space="0" w:color="auto"/>
          </w:divBdr>
        </w:div>
        <w:div w:id="159541948">
          <w:marLeft w:val="0"/>
          <w:marRight w:val="0"/>
          <w:marTop w:val="0"/>
          <w:marBottom w:val="0"/>
          <w:divBdr>
            <w:top w:val="none" w:sz="0" w:space="0" w:color="auto"/>
            <w:left w:val="none" w:sz="0" w:space="0" w:color="auto"/>
            <w:bottom w:val="none" w:sz="0" w:space="0" w:color="auto"/>
            <w:right w:val="none" w:sz="0" w:space="0" w:color="auto"/>
          </w:divBdr>
        </w:div>
        <w:div w:id="183595110">
          <w:marLeft w:val="0"/>
          <w:marRight w:val="0"/>
          <w:marTop w:val="0"/>
          <w:marBottom w:val="0"/>
          <w:divBdr>
            <w:top w:val="none" w:sz="0" w:space="0" w:color="auto"/>
            <w:left w:val="none" w:sz="0" w:space="0" w:color="auto"/>
            <w:bottom w:val="none" w:sz="0" w:space="0" w:color="auto"/>
            <w:right w:val="none" w:sz="0" w:space="0" w:color="auto"/>
          </w:divBdr>
        </w:div>
        <w:div w:id="243952943">
          <w:marLeft w:val="0"/>
          <w:marRight w:val="0"/>
          <w:marTop w:val="0"/>
          <w:marBottom w:val="0"/>
          <w:divBdr>
            <w:top w:val="none" w:sz="0" w:space="0" w:color="auto"/>
            <w:left w:val="none" w:sz="0" w:space="0" w:color="auto"/>
            <w:bottom w:val="none" w:sz="0" w:space="0" w:color="auto"/>
            <w:right w:val="none" w:sz="0" w:space="0" w:color="auto"/>
          </w:divBdr>
        </w:div>
        <w:div w:id="269317579">
          <w:marLeft w:val="0"/>
          <w:marRight w:val="0"/>
          <w:marTop w:val="0"/>
          <w:marBottom w:val="0"/>
          <w:divBdr>
            <w:top w:val="none" w:sz="0" w:space="0" w:color="auto"/>
            <w:left w:val="none" w:sz="0" w:space="0" w:color="auto"/>
            <w:bottom w:val="none" w:sz="0" w:space="0" w:color="auto"/>
            <w:right w:val="none" w:sz="0" w:space="0" w:color="auto"/>
          </w:divBdr>
        </w:div>
        <w:div w:id="280721371">
          <w:marLeft w:val="0"/>
          <w:marRight w:val="0"/>
          <w:marTop w:val="0"/>
          <w:marBottom w:val="0"/>
          <w:divBdr>
            <w:top w:val="none" w:sz="0" w:space="0" w:color="auto"/>
            <w:left w:val="none" w:sz="0" w:space="0" w:color="auto"/>
            <w:bottom w:val="none" w:sz="0" w:space="0" w:color="auto"/>
            <w:right w:val="none" w:sz="0" w:space="0" w:color="auto"/>
          </w:divBdr>
        </w:div>
        <w:div w:id="311642465">
          <w:marLeft w:val="0"/>
          <w:marRight w:val="0"/>
          <w:marTop w:val="0"/>
          <w:marBottom w:val="0"/>
          <w:divBdr>
            <w:top w:val="none" w:sz="0" w:space="0" w:color="auto"/>
            <w:left w:val="none" w:sz="0" w:space="0" w:color="auto"/>
            <w:bottom w:val="none" w:sz="0" w:space="0" w:color="auto"/>
            <w:right w:val="none" w:sz="0" w:space="0" w:color="auto"/>
          </w:divBdr>
        </w:div>
        <w:div w:id="353271589">
          <w:marLeft w:val="0"/>
          <w:marRight w:val="0"/>
          <w:marTop w:val="0"/>
          <w:marBottom w:val="0"/>
          <w:divBdr>
            <w:top w:val="none" w:sz="0" w:space="0" w:color="auto"/>
            <w:left w:val="none" w:sz="0" w:space="0" w:color="auto"/>
            <w:bottom w:val="none" w:sz="0" w:space="0" w:color="auto"/>
            <w:right w:val="none" w:sz="0" w:space="0" w:color="auto"/>
          </w:divBdr>
        </w:div>
        <w:div w:id="381485339">
          <w:marLeft w:val="0"/>
          <w:marRight w:val="0"/>
          <w:marTop w:val="0"/>
          <w:marBottom w:val="0"/>
          <w:divBdr>
            <w:top w:val="none" w:sz="0" w:space="0" w:color="auto"/>
            <w:left w:val="none" w:sz="0" w:space="0" w:color="auto"/>
            <w:bottom w:val="none" w:sz="0" w:space="0" w:color="auto"/>
            <w:right w:val="none" w:sz="0" w:space="0" w:color="auto"/>
          </w:divBdr>
        </w:div>
        <w:div w:id="387192392">
          <w:marLeft w:val="0"/>
          <w:marRight w:val="0"/>
          <w:marTop w:val="0"/>
          <w:marBottom w:val="0"/>
          <w:divBdr>
            <w:top w:val="none" w:sz="0" w:space="0" w:color="auto"/>
            <w:left w:val="none" w:sz="0" w:space="0" w:color="auto"/>
            <w:bottom w:val="none" w:sz="0" w:space="0" w:color="auto"/>
            <w:right w:val="none" w:sz="0" w:space="0" w:color="auto"/>
          </w:divBdr>
        </w:div>
        <w:div w:id="387337297">
          <w:marLeft w:val="0"/>
          <w:marRight w:val="0"/>
          <w:marTop w:val="0"/>
          <w:marBottom w:val="0"/>
          <w:divBdr>
            <w:top w:val="none" w:sz="0" w:space="0" w:color="auto"/>
            <w:left w:val="none" w:sz="0" w:space="0" w:color="auto"/>
            <w:bottom w:val="none" w:sz="0" w:space="0" w:color="auto"/>
            <w:right w:val="none" w:sz="0" w:space="0" w:color="auto"/>
          </w:divBdr>
        </w:div>
        <w:div w:id="394936517">
          <w:marLeft w:val="0"/>
          <w:marRight w:val="0"/>
          <w:marTop w:val="0"/>
          <w:marBottom w:val="0"/>
          <w:divBdr>
            <w:top w:val="none" w:sz="0" w:space="0" w:color="auto"/>
            <w:left w:val="none" w:sz="0" w:space="0" w:color="auto"/>
            <w:bottom w:val="none" w:sz="0" w:space="0" w:color="auto"/>
            <w:right w:val="none" w:sz="0" w:space="0" w:color="auto"/>
          </w:divBdr>
        </w:div>
        <w:div w:id="460461189">
          <w:marLeft w:val="0"/>
          <w:marRight w:val="0"/>
          <w:marTop w:val="0"/>
          <w:marBottom w:val="0"/>
          <w:divBdr>
            <w:top w:val="none" w:sz="0" w:space="0" w:color="auto"/>
            <w:left w:val="none" w:sz="0" w:space="0" w:color="auto"/>
            <w:bottom w:val="none" w:sz="0" w:space="0" w:color="auto"/>
            <w:right w:val="none" w:sz="0" w:space="0" w:color="auto"/>
          </w:divBdr>
        </w:div>
        <w:div w:id="474643859">
          <w:marLeft w:val="0"/>
          <w:marRight w:val="0"/>
          <w:marTop w:val="0"/>
          <w:marBottom w:val="0"/>
          <w:divBdr>
            <w:top w:val="none" w:sz="0" w:space="0" w:color="auto"/>
            <w:left w:val="none" w:sz="0" w:space="0" w:color="auto"/>
            <w:bottom w:val="none" w:sz="0" w:space="0" w:color="auto"/>
            <w:right w:val="none" w:sz="0" w:space="0" w:color="auto"/>
          </w:divBdr>
        </w:div>
        <w:div w:id="488983666">
          <w:marLeft w:val="0"/>
          <w:marRight w:val="0"/>
          <w:marTop w:val="0"/>
          <w:marBottom w:val="0"/>
          <w:divBdr>
            <w:top w:val="none" w:sz="0" w:space="0" w:color="auto"/>
            <w:left w:val="none" w:sz="0" w:space="0" w:color="auto"/>
            <w:bottom w:val="none" w:sz="0" w:space="0" w:color="auto"/>
            <w:right w:val="none" w:sz="0" w:space="0" w:color="auto"/>
          </w:divBdr>
        </w:div>
        <w:div w:id="526722116">
          <w:marLeft w:val="0"/>
          <w:marRight w:val="0"/>
          <w:marTop w:val="0"/>
          <w:marBottom w:val="0"/>
          <w:divBdr>
            <w:top w:val="none" w:sz="0" w:space="0" w:color="auto"/>
            <w:left w:val="none" w:sz="0" w:space="0" w:color="auto"/>
            <w:bottom w:val="none" w:sz="0" w:space="0" w:color="auto"/>
            <w:right w:val="none" w:sz="0" w:space="0" w:color="auto"/>
          </w:divBdr>
        </w:div>
        <w:div w:id="537664479">
          <w:marLeft w:val="0"/>
          <w:marRight w:val="0"/>
          <w:marTop w:val="0"/>
          <w:marBottom w:val="0"/>
          <w:divBdr>
            <w:top w:val="none" w:sz="0" w:space="0" w:color="auto"/>
            <w:left w:val="none" w:sz="0" w:space="0" w:color="auto"/>
            <w:bottom w:val="none" w:sz="0" w:space="0" w:color="auto"/>
            <w:right w:val="none" w:sz="0" w:space="0" w:color="auto"/>
          </w:divBdr>
        </w:div>
        <w:div w:id="561211494">
          <w:marLeft w:val="0"/>
          <w:marRight w:val="0"/>
          <w:marTop w:val="0"/>
          <w:marBottom w:val="0"/>
          <w:divBdr>
            <w:top w:val="none" w:sz="0" w:space="0" w:color="auto"/>
            <w:left w:val="none" w:sz="0" w:space="0" w:color="auto"/>
            <w:bottom w:val="none" w:sz="0" w:space="0" w:color="auto"/>
            <w:right w:val="none" w:sz="0" w:space="0" w:color="auto"/>
          </w:divBdr>
        </w:div>
        <w:div w:id="575364718">
          <w:marLeft w:val="0"/>
          <w:marRight w:val="0"/>
          <w:marTop w:val="0"/>
          <w:marBottom w:val="0"/>
          <w:divBdr>
            <w:top w:val="none" w:sz="0" w:space="0" w:color="auto"/>
            <w:left w:val="none" w:sz="0" w:space="0" w:color="auto"/>
            <w:bottom w:val="none" w:sz="0" w:space="0" w:color="auto"/>
            <w:right w:val="none" w:sz="0" w:space="0" w:color="auto"/>
          </w:divBdr>
        </w:div>
        <w:div w:id="631792948">
          <w:marLeft w:val="0"/>
          <w:marRight w:val="0"/>
          <w:marTop w:val="0"/>
          <w:marBottom w:val="0"/>
          <w:divBdr>
            <w:top w:val="none" w:sz="0" w:space="0" w:color="auto"/>
            <w:left w:val="none" w:sz="0" w:space="0" w:color="auto"/>
            <w:bottom w:val="none" w:sz="0" w:space="0" w:color="auto"/>
            <w:right w:val="none" w:sz="0" w:space="0" w:color="auto"/>
          </w:divBdr>
        </w:div>
        <w:div w:id="707025286">
          <w:marLeft w:val="0"/>
          <w:marRight w:val="0"/>
          <w:marTop w:val="0"/>
          <w:marBottom w:val="0"/>
          <w:divBdr>
            <w:top w:val="none" w:sz="0" w:space="0" w:color="auto"/>
            <w:left w:val="none" w:sz="0" w:space="0" w:color="auto"/>
            <w:bottom w:val="none" w:sz="0" w:space="0" w:color="auto"/>
            <w:right w:val="none" w:sz="0" w:space="0" w:color="auto"/>
          </w:divBdr>
        </w:div>
        <w:div w:id="712773357">
          <w:marLeft w:val="0"/>
          <w:marRight w:val="0"/>
          <w:marTop w:val="0"/>
          <w:marBottom w:val="0"/>
          <w:divBdr>
            <w:top w:val="none" w:sz="0" w:space="0" w:color="auto"/>
            <w:left w:val="none" w:sz="0" w:space="0" w:color="auto"/>
            <w:bottom w:val="none" w:sz="0" w:space="0" w:color="auto"/>
            <w:right w:val="none" w:sz="0" w:space="0" w:color="auto"/>
          </w:divBdr>
        </w:div>
        <w:div w:id="714280204">
          <w:marLeft w:val="0"/>
          <w:marRight w:val="0"/>
          <w:marTop w:val="0"/>
          <w:marBottom w:val="0"/>
          <w:divBdr>
            <w:top w:val="none" w:sz="0" w:space="0" w:color="auto"/>
            <w:left w:val="none" w:sz="0" w:space="0" w:color="auto"/>
            <w:bottom w:val="none" w:sz="0" w:space="0" w:color="auto"/>
            <w:right w:val="none" w:sz="0" w:space="0" w:color="auto"/>
          </w:divBdr>
        </w:div>
        <w:div w:id="808471944">
          <w:marLeft w:val="0"/>
          <w:marRight w:val="0"/>
          <w:marTop w:val="0"/>
          <w:marBottom w:val="0"/>
          <w:divBdr>
            <w:top w:val="none" w:sz="0" w:space="0" w:color="auto"/>
            <w:left w:val="none" w:sz="0" w:space="0" w:color="auto"/>
            <w:bottom w:val="none" w:sz="0" w:space="0" w:color="auto"/>
            <w:right w:val="none" w:sz="0" w:space="0" w:color="auto"/>
          </w:divBdr>
        </w:div>
        <w:div w:id="818503423">
          <w:marLeft w:val="0"/>
          <w:marRight w:val="0"/>
          <w:marTop w:val="0"/>
          <w:marBottom w:val="0"/>
          <w:divBdr>
            <w:top w:val="none" w:sz="0" w:space="0" w:color="auto"/>
            <w:left w:val="none" w:sz="0" w:space="0" w:color="auto"/>
            <w:bottom w:val="none" w:sz="0" w:space="0" w:color="auto"/>
            <w:right w:val="none" w:sz="0" w:space="0" w:color="auto"/>
          </w:divBdr>
        </w:div>
        <w:div w:id="825820051">
          <w:marLeft w:val="0"/>
          <w:marRight w:val="0"/>
          <w:marTop w:val="0"/>
          <w:marBottom w:val="0"/>
          <w:divBdr>
            <w:top w:val="none" w:sz="0" w:space="0" w:color="auto"/>
            <w:left w:val="none" w:sz="0" w:space="0" w:color="auto"/>
            <w:bottom w:val="none" w:sz="0" w:space="0" w:color="auto"/>
            <w:right w:val="none" w:sz="0" w:space="0" w:color="auto"/>
          </w:divBdr>
        </w:div>
        <w:div w:id="953557852">
          <w:marLeft w:val="0"/>
          <w:marRight w:val="0"/>
          <w:marTop w:val="0"/>
          <w:marBottom w:val="0"/>
          <w:divBdr>
            <w:top w:val="none" w:sz="0" w:space="0" w:color="auto"/>
            <w:left w:val="none" w:sz="0" w:space="0" w:color="auto"/>
            <w:bottom w:val="none" w:sz="0" w:space="0" w:color="auto"/>
            <w:right w:val="none" w:sz="0" w:space="0" w:color="auto"/>
          </w:divBdr>
        </w:div>
        <w:div w:id="982656755">
          <w:marLeft w:val="0"/>
          <w:marRight w:val="0"/>
          <w:marTop w:val="0"/>
          <w:marBottom w:val="0"/>
          <w:divBdr>
            <w:top w:val="none" w:sz="0" w:space="0" w:color="auto"/>
            <w:left w:val="none" w:sz="0" w:space="0" w:color="auto"/>
            <w:bottom w:val="none" w:sz="0" w:space="0" w:color="auto"/>
            <w:right w:val="none" w:sz="0" w:space="0" w:color="auto"/>
          </w:divBdr>
        </w:div>
        <w:div w:id="1024479474">
          <w:marLeft w:val="0"/>
          <w:marRight w:val="0"/>
          <w:marTop w:val="0"/>
          <w:marBottom w:val="0"/>
          <w:divBdr>
            <w:top w:val="none" w:sz="0" w:space="0" w:color="auto"/>
            <w:left w:val="none" w:sz="0" w:space="0" w:color="auto"/>
            <w:bottom w:val="none" w:sz="0" w:space="0" w:color="auto"/>
            <w:right w:val="none" w:sz="0" w:space="0" w:color="auto"/>
          </w:divBdr>
        </w:div>
        <w:div w:id="1049112731">
          <w:marLeft w:val="0"/>
          <w:marRight w:val="0"/>
          <w:marTop w:val="0"/>
          <w:marBottom w:val="0"/>
          <w:divBdr>
            <w:top w:val="none" w:sz="0" w:space="0" w:color="auto"/>
            <w:left w:val="none" w:sz="0" w:space="0" w:color="auto"/>
            <w:bottom w:val="none" w:sz="0" w:space="0" w:color="auto"/>
            <w:right w:val="none" w:sz="0" w:space="0" w:color="auto"/>
          </w:divBdr>
        </w:div>
        <w:div w:id="1112554804">
          <w:marLeft w:val="0"/>
          <w:marRight w:val="0"/>
          <w:marTop w:val="0"/>
          <w:marBottom w:val="0"/>
          <w:divBdr>
            <w:top w:val="none" w:sz="0" w:space="0" w:color="auto"/>
            <w:left w:val="none" w:sz="0" w:space="0" w:color="auto"/>
            <w:bottom w:val="none" w:sz="0" w:space="0" w:color="auto"/>
            <w:right w:val="none" w:sz="0" w:space="0" w:color="auto"/>
          </w:divBdr>
        </w:div>
        <w:div w:id="1119642826">
          <w:marLeft w:val="0"/>
          <w:marRight w:val="0"/>
          <w:marTop w:val="0"/>
          <w:marBottom w:val="0"/>
          <w:divBdr>
            <w:top w:val="none" w:sz="0" w:space="0" w:color="auto"/>
            <w:left w:val="none" w:sz="0" w:space="0" w:color="auto"/>
            <w:bottom w:val="none" w:sz="0" w:space="0" w:color="auto"/>
            <w:right w:val="none" w:sz="0" w:space="0" w:color="auto"/>
          </w:divBdr>
        </w:div>
        <w:div w:id="1148010826">
          <w:marLeft w:val="0"/>
          <w:marRight w:val="0"/>
          <w:marTop w:val="0"/>
          <w:marBottom w:val="0"/>
          <w:divBdr>
            <w:top w:val="none" w:sz="0" w:space="0" w:color="auto"/>
            <w:left w:val="none" w:sz="0" w:space="0" w:color="auto"/>
            <w:bottom w:val="none" w:sz="0" w:space="0" w:color="auto"/>
            <w:right w:val="none" w:sz="0" w:space="0" w:color="auto"/>
          </w:divBdr>
        </w:div>
        <w:div w:id="1153109348">
          <w:marLeft w:val="0"/>
          <w:marRight w:val="0"/>
          <w:marTop w:val="0"/>
          <w:marBottom w:val="0"/>
          <w:divBdr>
            <w:top w:val="none" w:sz="0" w:space="0" w:color="auto"/>
            <w:left w:val="none" w:sz="0" w:space="0" w:color="auto"/>
            <w:bottom w:val="none" w:sz="0" w:space="0" w:color="auto"/>
            <w:right w:val="none" w:sz="0" w:space="0" w:color="auto"/>
          </w:divBdr>
        </w:div>
        <w:div w:id="1173960635">
          <w:marLeft w:val="0"/>
          <w:marRight w:val="0"/>
          <w:marTop w:val="0"/>
          <w:marBottom w:val="0"/>
          <w:divBdr>
            <w:top w:val="none" w:sz="0" w:space="0" w:color="auto"/>
            <w:left w:val="none" w:sz="0" w:space="0" w:color="auto"/>
            <w:bottom w:val="none" w:sz="0" w:space="0" w:color="auto"/>
            <w:right w:val="none" w:sz="0" w:space="0" w:color="auto"/>
          </w:divBdr>
        </w:div>
        <w:div w:id="1191988599">
          <w:marLeft w:val="0"/>
          <w:marRight w:val="0"/>
          <w:marTop w:val="0"/>
          <w:marBottom w:val="0"/>
          <w:divBdr>
            <w:top w:val="none" w:sz="0" w:space="0" w:color="auto"/>
            <w:left w:val="none" w:sz="0" w:space="0" w:color="auto"/>
            <w:bottom w:val="none" w:sz="0" w:space="0" w:color="auto"/>
            <w:right w:val="none" w:sz="0" w:space="0" w:color="auto"/>
          </w:divBdr>
        </w:div>
        <w:div w:id="1203057459">
          <w:marLeft w:val="0"/>
          <w:marRight w:val="0"/>
          <w:marTop w:val="0"/>
          <w:marBottom w:val="0"/>
          <w:divBdr>
            <w:top w:val="none" w:sz="0" w:space="0" w:color="auto"/>
            <w:left w:val="none" w:sz="0" w:space="0" w:color="auto"/>
            <w:bottom w:val="none" w:sz="0" w:space="0" w:color="auto"/>
            <w:right w:val="none" w:sz="0" w:space="0" w:color="auto"/>
          </w:divBdr>
        </w:div>
        <w:div w:id="1230574086">
          <w:marLeft w:val="0"/>
          <w:marRight w:val="0"/>
          <w:marTop w:val="0"/>
          <w:marBottom w:val="0"/>
          <w:divBdr>
            <w:top w:val="none" w:sz="0" w:space="0" w:color="auto"/>
            <w:left w:val="none" w:sz="0" w:space="0" w:color="auto"/>
            <w:bottom w:val="none" w:sz="0" w:space="0" w:color="auto"/>
            <w:right w:val="none" w:sz="0" w:space="0" w:color="auto"/>
          </w:divBdr>
        </w:div>
        <w:div w:id="1241283872">
          <w:marLeft w:val="0"/>
          <w:marRight w:val="0"/>
          <w:marTop w:val="0"/>
          <w:marBottom w:val="0"/>
          <w:divBdr>
            <w:top w:val="none" w:sz="0" w:space="0" w:color="auto"/>
            <w:left w:val="none" w:sz="0" w:space="0" w:color="auto"/>
            <w:bottom w:val="none" w:sz="0" w:space="0" w:color="auto"/>
            <w:right w:val="none" w:sz="0" w:space="0" w:color="auto"/>
          </w:divBdr>
        </w:div>
        <w:div w:id="1255823449">
          <w:marLeft w:val="0"/>
          <w:marRight w:val="0"/>
          <w:marTop w:val="0"/>
          <w:marBottom w:val="0"/>
          <w:divBdr>
            <w:top w:val="none" w:sz="0" w:space="0" w:color="auto"/>
            <w:left w:val="none" w:sz="0" w:space="0" w:color="auto"/>
            <w:bottom w:val="none" w:sz="0" w:space="0" w:color="auto"/>
            <w:right w:val="none" w:sz="0" w:space="0" w:color="auto"/>
          </w:divBdr>
        </w:div>
        <w:div w:id="1257401998">
          <w:marLeft w:val="0"/>
          <w:marRight w:val="0"/>
          <w:marTop w:val="0"/>
          <w:marBottom w:val="0"/>
          <w:divBdr>
            <w:top w:val="none" w:sz="0" w:space="0" w:color="auto"/>
            <w:left w:val="none" w:sz="0" w:space="0" w:color="auto"/>
            <w:bottom w:val="none" w:sz="0" w:space="0" w:color="auto"/>
            <w:right w:val="none" w:sz="0" w:space="0" w:color="auto"/>
          </w:divBdr>
        </w:div>
        <w:div w:id="1262031379">
          <w:marLeft w:val="0"/>
          <w:marRight w:val="0"/>
          <w:marTop w:val="0"/>
          <w:marBottom w:val="0"/>
          <w:divBdr>
            <w:top w:val="none" w:sz="0" w:space="0" w:color="auto"/>
            <w:left w:val="none" w:sz="0" w:space="0" w:color="auto"/>
            <w:bottom w:val="none" w:sz="0" w:space="0" w:color="auto"/>
            <w:right w:val="none" w:sz="0" w:space="0" w:color="auto"/>
          </w:divBdr>
        </w:div>
        <w:div w:id="1325470937">
          <w:marLeft w:val="0"/>
          <w:marRight w:val="0"/>
          <w:marTop w:val="0"/>
          <w:marBottom w:val="0"/>
          <w:divBdr>
            <w:top w:val="none" w:sz="0" w:space="0" w:color="auto"/>
            <w:left w:val="none" w:sz="0" w:space="0" w:color="auto"/>
            <w:bottom w:val="none" w:sz="0" w:space="0" w:color="auto"/>
            <w:right w:val="none" w:sz="0" w:space="0" w:color="auto"/>
          </w:divBdr>
        </w:div>
        <w:div w:id="1365062041">
          <w:marLeft w:val="0"/>
          <w:marRight w:val="0"/>
          <w:marTop w:val="0"/>
          <w:marBottom w:val="0"/>
          <w:divBdr>
            <w:top w:val="none" w:sz="0" w:space="0" w:color="auto"/>
            <w:left w:val="none" w:sz="0" w:space="0" w:color="auto"/>
            <w:bottom w:val="none" w:sz="0" w:space="0" w:color="auto"/>
            <w:right w:val="none" w:sz="0" w:space="0" w:color="auto"/>
          </w:divBdr>
        </w:div>
        <w:div w:id="1383215273">
          <w:marLeft w:val="0"/>
          <w:marRight w:val="0"/>
          <w:marTop w:val="0"/>
          <w:marBottom w:val="0"/>
          <w:divBdr>
            <w:top w:val="none" w:sz="0" w:space="0" w:color="auto"/>
            <w:left w:val="none" w:sz="0" w:space="0" w:color="auto"/>
            <w:bottom w:val="none" w:sz="0" w:space="0" w:color="auto"/>
            <w:right w:val="none" w:sz="0" w:space="0" w:color="auto"/>
          </w:divBdr>
        </w:div>
        <w:div w:id="1409770578">
          <w:marLeft w:val="0"/>
          <w:marRight w:val="0"/>
          <w:marTop w:val="0"/>
          <w:marBottom w:val="0"/>
          <w:divBdr>
            <w:top w:val="none" w:sz="0" w:space="0" w:color="auto"/>
            <w:left w:val="none" w:sz="0" w:space="0" w:color="auto"/>
            <w:bottom w:val="none" w:sz="0" w:space="0" w:color="auto"/>
            <w:right w:val="none" w:sz="0" w:space="0" w:color="auto"/>
          </w:divBdr>
        </w:div>
        <w:div w:id="1423185501">
          <w:marLeft w:val="0"/>
          <w:marRight w:val="0"/>
          <w:marTop w:val="0"/>
          <w:marBottom w:val="0"/>
          <w:divBdr>
            <w:top w:val="none" w:sz="0" w:space="0" w:color="auto"/>
            <w:left w:val="none" w:sz="0" w:space="0" w:color="auto"/>
            <w:bottom w:val="none" w:sz="0" w:space="0" w:color="auto"/>
            <w:right w:val="none" w:sz="0" w:space="0" w:color="auto"/>
          </w:divBdr>
        </w:div>
        <w:div w:id="1451046107">
          <w:marLeft w:val="0"/>
          <w:marRight w:val="0"/>
          <w:marTop w:val="0"/>
          <w:marBottom w:val="0"/>
          <w:divBdr>
            <w:top w:val="none" w:sz="0" w:space="0" w:color="auto"/>
            <w:left w:val="none" w:sz="0" w:space="0" w:color="auto"/>
            <w:bottom w:val="none" w:sz="0" w:space="0" w:color="auto"/>
            <w:right w:val="none" w:sz="0" w:space="0" w:color="auto"/>
          </w:divBdr>
        </w:div>
        <w:div w:id="1481726692">
          <w:marLeft w:val="0"/>
          <w:marRight w:val="0"/>
          <w:marTop w:val="0"/>
          <w:marBottom w:val="0"/>
          <w:divBdr>
            <w:top w:val="none" w:sz="0" w:space="0" w:color="auto"/>
            <w:left w:val="none" w:sz="0" w:space="0" w:color="auto"/>
            <w:bottom w:val="none" w:sz="0" w:space="0" w:color="auto"/>
            <w:right w:val="none" w:sz="0" w:space="0" w:color="auto"/>
          </w:divBdr>
        </w:div>
        <w:div w:id="1485584338">
          <w:marLeft w:val="0"/>
          <w:marRight w:val="0"/>
          <w:marTop w:val="0"/>
          <w:marBottom w:val="0"/>
          <w:divBdr>
            <w:top w:val="none" w:sz="0" w:space="0" w:color="auto"/>
            <w:left w:val="none" w:sz="0" w:space="0" w:color="auto"/>
            <w:bottom w:val="none" w:sz="0" w:space="0" w:color="auto"/>
            <w:right w:val="none" w:sz="0" w:space="0" w:color="auto"/>
          </w:divBdr>
        </w:div>
        <w:div w:id="1489202851">
          <w:marLeft w:val="0"/>
          <w:marRight w:val="0"/>
          <w:marTop w:val="0"/>
          <w:marBottom w:val="0"/>
          <w:divBdr>
            <w:top w:val="none" w:sz="0" w:space="0" w:color="auto"/>
            <w:left w:val="none" w:sz="0" w:space="0" w:color="auto"/>
            <w:bottom w:val="none" w:sz="0" w:space="0" w:color="auto"/>
            <w:right w:val="none" w:sz="0" w:space="0" w:color="auto"/>
          </w:divBdr>
        </w:div>
        <w:div w:id="1534686811">
          <w:marLeft w:val="0"/>
          <w:marRight w:val="0"/>
          <w:marTop w:val="0"/>
          <w:marBottom w:val="0"/>
          <w:divBdr>
            <w:top w:val="none" w:sz="0" w:space="0" w:color="auto"/>
            <w:left w:val="none" w:sz="0" w:space="0" w:color="auto"/>
            <w:bottom w:val="none" w:sz="0" w:space="0" w:color="auto"/>
            <w:right w:val="none" w:sz="0" w:space="0" w:color="auto"/>
          </w:divBdr>
        </w:div>
        <w:div w:id="1542203395">
          <w:marLeft w:val="0"/>
          <w:marRight w:val="0"/>
          <w:marTop w:val="0"/>
          <w:marBottom w:val="0"/>
          <w:divBdr>
            <w:top w:val="none" w:sz="0" w:space="0" w:color="auto"/>
            <w:left w:val="none" w:sz="0" w:space="0" w:color="auto"/>
            <w:bottom w:val="none" w:sz="0" w:space="0" w:color="auto"/>
            <w:right w:val="none" w:sz="0" w:space="0" w:color="auto"/>
          </w:divBdr>
        </w:div>
        <w:div w:id="1559321370">
          <w:marLeft w:val="0"/>
          <w:marRight w:val="0"/>
          <w:marTop w:val="0"/>
          <w:marBottom w:val="0"/>
          <w:divBdr>
            <w:top w:val="none" w:sz="0" w:space="0" w:color="auto"/>
            <w:left w:val="none" w:sz="0" w:space="0" w:color="auto"/>
            <w:bottom w:val="none" w:sz="0" w:space="0" w:color="auto"/>
            <w:right w:val="none" w:sz="0" w:space="0" w:color="auto"/>
          </w:divBdr>
        </w:div>
        <w:div w:id="1609851111">
          <w:marLeft w:val="0"/>
          <w:marRight w:val="0"/>
          <w:marTop w:val="0"/>
          <w:marBottom w:val="0"/>
          <w:divBdr>
            <w:top w:val="none" w:sz="0" w:space="0" w:color="auto"/>
            <w:left w:val="none" w:sz="0" w:space="0" w:color="auto"/>
            <w:bottom w:val="none" w:sz="0" w:space="0" w:color="auto"/>
            <w:right w:val="none" w:sz="0" w:space="0" w:color="auto"/>
          </w:divBdr>
        </w:div>
        <w:div w:id="1630017453">
          <w:marLeft w:val="0"/>
          <w:marRight w:val="0"/>
          <w:marTop w:val="0"/>
          <w:marBottom w:val="0"/>
          <w:divBdr>
            <w:top w:val="none" w:sz="0" w:space="0" w:color="auto"/>
            <w:left w:val="none" w:sz="0" w:space="0" w:color="auto"/>
            <w:bottom w:val="none" w:sz="0" w:space="0" w:color="auto"/>
            <w:right w:val="none" w:sz="0" w:space="0" w:color="auto"/>
          </w:divBdr>
        </w:div>
        <w:div w:id="1712194631">
          <w:marLeft w:val="0"/>
          <w:marRight w:val="0"/>
          <w:marTop w:val="0"/>
          <w:marBottom w:val="0"/>
          <w:divBdr>
            <w:top w:val="none" w:sz="0" w:space="0" w:color="auto"/>
            <w:left w:val="none" w:sz="0" w:space="0" w:color="auto"/>
            <w:bottom w:val="none" w:sz="0" w:space="0" w:color="auto"/>
            <w:right w:val="none" w:sz="0" w:space="0" w:color="auto"/>
          </w:divBdr>
        </w:div>
        <w:div w:id="1742170702">
          <w:marLeft w:val="0"/>
          <w:marRight w:val="0"/>
          <w:marTop w:val="0"/>
          <w:marBottom w:val="0"/>
          <w:divBdr>
            <w:top w:val="none" w:sz="0" w:space="0" w:color="auto"/>
            <w:left w:val="none" w:sz="0" w:space="0" w:color="auto"/>
            <w:bottom w:val="none" w:sz="0" w:space="0" w:color="auto"/>
            <w:right w:val="none" w:sz="0" w:space="0" w:color="auto"/>
          </w:divBdr>
        </w:div>
        <w:div w:id="1758206388">
          <w:marLeft w:val="0"/>
          <w:marRight w:val="0"/>
          <w:marTop w:val="0"/>
          <w:marBottom w:val="0"/>
          <w:divBdr>
            <w:top w:val="none" w:sz="0" w:space="0" w:color="auto"/>
            <w:left w:val="none" w:sz="0" w:space="0" w:color="auto"/>
            <w:bottom w:val="none" w:sz="0" w:space="0" w:color="auto"/>
            <w:right w:val="none" w:sz="0" w:space="0" w:color="auto"/>
          </w:divBdr>
        </w:div>
        <w:div w:id="1772165978">
          <w:marLeft w:val="0"/>
          <w:marRight w:val="0"/>
          <w:marTop w:val="0"/>
          <w:marBottom w:val="0"/>
          <w:divBdr>
            <w:top w:val="none" w:sz="0" w:space="0" w:color="auto"/>
            <w:left w:val="none" w:sz="0" w:space="0" w:color="auto"/>
            <w:bottom w:val="none" w:sz="0" w:space="0" w:color="auto"/>
            <w:right w:val="none" w:sz="0" w:space="0" w:color="auto"/>
          </w:divBdr>
        </w:div>
        <w:div w:id="1776241483">
          <w:marLeft w:val="0"/>
          <w:marRight w:val="0"/>
          <w:marTop w:val="0"/>
          <w:marBottom w:val="0"/>
          <w:divBdr>
            <w:top w:val="none" w:sz="0" w:space="0" w:color="auto"/>
            <w:left w:val="none" w:sz="0" w:space="0" w:color="auto"/>
            <w:bottom w:val="none" w:sz="0" w:space="0" w:color="auto"/>
            <w:right w:val="none" w:sz="0" w:space="0" w:color="auto"/>
          </w:divBdr>
        </w:div>
        <w:div w:id="1845169425">
          <w:marLeft w:val="0"/>
          <w:marRight w:val="0"/>
          <w:marTop w:val="0"/>
          <w:marBottom w:val="0"/>
          <w:divBdr>
            <w:top w:val="none" w:sz="0" w:space="0" w:color="auto"/>
            <w:left w:val="none" w:sz="0" w:space="0" w:color="auto"/>
            <w:bottom w:val="none" w:sz="0" w:space="0" w:color="auto"/>
            <w:right w:val="none" w:sz="0" w:space="0" w:color="auto"/>
          </w:divBdr>
        </w:div>
        <w:div w:id="1874802325">
          <w:marLeft w:val="0"/>
          <w:marRight w:val="0"/>
          <w:marTop w:val="0"/>
          <w:marBottom w:val="0"/>
          <w:divBdr>
            <w:top w:val="none" w:sz="0" w:space="0" w:color="auto"/>
            <w:left w:val="none" w:sz="0" w:space="0" w:color="auto"/>
            <w:bottom w:val="none" w:sz="0" w:space="0" w:color="auto"/>
            <w:right w:val="none" w:sz="0" w:space="0" w:color="auto"/>
          </w:divBdr>
        </w:div>
        <w:div w:id="1884367400">
          <w:marLeft w:val="0"/>
          <w:marRight w:val="0"/>
          <w:marTop w:val="0"/>
          <w:marBottom w:val="0"/>
          <w:divBdr>
            <w:top w:val="none" w:sz="0" w:space="0" w:color="auto"/>
            <w:left w:val="none" w:sz="0" w:space="0" w:color="auto"/>
            <w:bottom w:val="none" w:sz="0" w:space="0" w:color="auto"/>
            <w:right w:val="none" w:sz="0" w:space="0" w:color="auto"/>
          </w:divBdr>
        </w:div>
        <w:div w:id="1908415821">
          <w:marLeft w:val="0"/>
          <w:marRight w:val="0"/>
          <w:marTop w:val="0"/>
          <w:marBottom w:val="0"/>
          <w:divBdr>
            <w:top w:val="none" w:sz="0" w:space="0" w:color="auto"/>
            <w:left w:val="none" w:sz="0" w:space="0" w:color="auto"/>
            <w:bottom w:val="none" w:sz="0" w:space="0" w:color="auto"/>
            <w:right w:val="none" w:sz="0" w:space="0" w:color="auto"/>
          </w:divBdr>
        </w:div>
        <w:div w:id="1949776511">
          <w:marLeft w:val="0"/>
          <w:marRight w:val="0"/>
          <w:marTop w:val="0"/>
          <w:marBottom w:val="0"/>
          <w:divBdr>
            <w:top w:val="none" w:sz="0" w:space="0" w:color="auto"/>
            <w:left w:val="none" w:sz="0" w:space="0" w:color="auto"/>
            <w:bottom w:val="none" w:sz="0" w:space="0" w:color="auto"/>
            <w:right w:val="none" w:sz="0" w:space="0" w:color="auto"/>
          </w:divBdr>
        </w:div>
        <w:div w:id="1976593634">
          <w:marLeft w:val="0"/>
          <w:marRight w:val="0"/>
          <w:marTop w:val="0"/>
          <w:marBottom w:val="0"/>
          <w:divBdr>
            <w:top w:val="none" w:sz="0" w:space="0" w:color="auto"/>
            <w:left w:val="none" w:sz="0" w:space="0" w:color="auto"/>
            <w:bottom w:val="none" w:sz="0" w:space="0" w:color="auto"/>
            <w:right w:val="none" w:sz="0" w:space="0" w:color="auto"/>
          </w:divBdr>
        </w:div>
        <w:div w:id="2038197892">
          <w:marLeft w:val="0"/>
          <w:marRight w:val="0"/>
          <w:marTop w:val="0"/>
          <w:marBottom w:val="0"/>
          <w:divBdr>
            <w:top w:val="none" w:sz="0" w:space="0" w:color="auto"/>
            <w:left w:val="none" w:sz="0" w:space="0" w:color="auto"/>
            <w:bottom w:val="none" w:sz="0" w:space="0" w:color="auto"/>
            <w:right w:val="none" w:sz="0" w:space="0" w:color="auto"/>
          </w:divBdr>
        </w:div>
        <w:div w:id="2066684812">
          <w:marLeft w:val="0"/>
          <w:marRight w:val="0"/>
          <w:marTop w:val="0"/>
          <w:marBottom w:val="0"/>
          <w:divBdr>
            <w:top w:val="none" w:sz="0" w:space="0" w:color="auto"/>
            <w:left w:val="none" w:sz="0" w:space="0" w:color="auto"/>
            <w:bottom w:val="none" w:sz="0" w:space="0" w:color="auto"/>
            <w:right w:val="none" w:sz="0" w:space="0" w:color="auto"/>
          </w:divBdr>
        </w:div>
        <w:div w:id="2088845483">
          <w:marLeft w:val="0"/>
          <w:marRight w:val="0"/>
          <w:marTop w:val="0"/>
          <w:marBottom w:val="0"/>
          <w:divBdr>
            <w:top w:val="none" w:sz="0" w:space="0" w:color="auto"/>
            <w:left w:val="none" w:sz="0" w:space="0" w:color="auto"/>
            <w:bottom w:val="none" w:sz="0" w:space="0" w:color="auto"/>
            <w:right w:val="none" w:sz="0" w:space="0" w:color="auto"/>
          </w:divBdr>
        </w:div>
        <w:div w:id="2127850566">
          <w:marLeft w:val="0"/>
          <w:marRight w:val="0"/>
          <w:marTop w:val="0"/>
          <w:marBottom w:val="0"/>
          <w:divBdr>
            <w:top w:val="none" w:sz="0" w:space="0" w:color="auto"/>
            <w:left w:val="none" w:sz="0" w:space="0" w:color="auto"/>
            <w:bottom w:val="none" w:sz="0" w:space="0" w:color="auto"/>
            <w:right w:val="none" w:sz="0" w:space="0" w:color="auto"/>
          </w:divBdr>
        </w:div>
      </w:divsChild>
    </w:div>
    <w:div w:id="1738354995">
      <w:bodyDiv w:val="1"/>
      <w:marLeft w:val="0"/>
      <w:marRight w:val="0"/>
      <w:marTop w:val="0"/>
      <w:marBottom w:val="0"/>
      <w:divBdr>
        <w:top w:val="none" w:sz="0" w:space="0" w:color="auto"/>
        <w:left w:val="none" w:sz="0" w:space="0" w:color="auto"/>
        <w:bottom w:val="none" w:sz="0" w:space="0" w:color="auto"/>
        <w:right w:val="none" w:sz="0" w:space="0" w:color="auto"/>
      </w:divBdr>
      <w:divsChild>
        <w:div w:id="9379034">
          <w:marLeft w:val="0"/>
          <w:marRight w:val="0"/>
          <w:marTop w:val="0"/>
          <w:marBottom w:val="0"/>
          <w:divBdr>
            <w:top w:val="none" w:sz="0" w:space="0" w:color="auto"/>
            <w:left w:val="none" w:sz="0" w:space="0" w:color="auto"/>
            <w:bottom w:val="none" w:sz="0" w:space="0" w:color="auto"/>
            <w:right w:val="none" w:sz="0" w:space="0" w:color="auto"/>
          </w:divBdr>
        </w:div>
        <w:div w:id="33699420">
          <w:marLeft w:val="0"/>
          <w:marRight w:val="0"/>
          <w:marTop w:val="0"/>
          <w:marBottom w:val="0"/>
          <w:divBdr>
            <w:top w:val="none" w:sz="0" w:space="0" w:color="auto"/>
            <w:left w:val="none" w:sz="0" w:space="0" w:color="auto"/>
            <w:bottom w:val="none" w:sz="0" w:space="0" w:color="auto"/>
            <w:right w:val="none" w:sz="0" w:space="0" w:color="auto"/>
          </w:divBdr>
        </w:div>
        <w:div w:id="72240147">
          <w:marLeft w:val="0"/>
          <w:marRight w:val="0"/>
          <w:marTop w:val="0"/>
          <w:marBottom w:val="0"/>
          <w:divBdr>
            <w:top w:val="none" w:sz="0" w:space="0" w:color="auto"/>
            <w:left w:val="none" w:sz="0" w:space="0" w:color="auto"/>
            <w:bottom w:val="none" w:sz="0" w:space="0" w:color="auto"/>
            <w:right w:val="none" w:sz="0" w:space="0" w:color="auto"/>
          </w:divBdr>
        </w:div>
        <w:div w:id="116608603">
          <w:marLeft w:val="0"/>
          <w:marRight w:val="0"/>
          <w:marTop w:val="0"/>
          <w:marBottom w:val="0"/>
          <w:divBdr>
            <w:top w:val="none" w:sz="0" w:space="0" w:color="auto"/>
            <w:left w:val="none" w:sz="0" w:space="0" w:color="auto"/>
            <w:bottom w:val="none" w:sz="0" w:space="0" w:color="auto"/>
            <w:right w:val="none" w:sz="0" w:space="0" w:color="auto"/>
          </w:divBdr>
        </w:div>
        <w:div w:id="136580076">
          <w:marLeft w:val="0"/>
          <w:marRight w:val="0"/>
          <w:marTop w:val="0"/>
          <w:marBottom w:val="0"/>
          <w:divBdr>
            <w:top w:val="none" w:sz="0" w:space="0" w:color="auto"/>
            <w:left w:val="none" w:sz="0" w:space="0" w:color="auto"/>
            <w:bottom w:val="none" w:sz="0" w:space="0" w:color="auto"/>
            <w:right w:val="none" w:sz="0" w:space="0" w:color="auto"/>
          </w:divBdr>
        </w:div>
        <w:div w:id="144010180">
          <w:marLeft w:val="0"/>
          <w:marRight w:val="0"/>
          <w:marTop w:val="0"/>
          <w:marBottom w:val="0"/>
          <w:divBdr>
            <w:top w:val="none" w:sz="0" w:space="0" w:color="auto"/>
            <w:left w:val="none" w:sz="0" w:space="0" w:color="auto"/>
            <w:bottom w:val="none" w:sz="0" w:space="0" w:color="auto"/>
            <w:right w:val="none" w:sz="0" w:space="0" w:color="auto"/>
          </w:divBdr>
        </w:div>
        <w:div w:id="216748709">
          <w:marLeft w:val="0"/>
          <w:marRight w:val="0"/>
          <w:marTop w:val="0"/>
          <w:marBottom w:val="0"/>
          <w:divBdr>
            <w:top w:val="none" w:sz="0" w:space="0" w:color="auto"/>
            <w:left w:val="none" w:sz="0" w:space="0" w:color="auto"/>
            <w:bottom w:val="none" w:sz="0" w:space="0" w:color="auto"/>
            <w:right w:val="none" w:sz="0" w:space="0" w:color="auto"/>
          </w:divBdr>
        </w:div>
        <w:div w:id="366105025">
          <w:marLeft w:val="0"/>
          <w:marRight w:val="0"/>
          <w:marTop w:val="0"/>
          <w:marBottom w:val="0"/>
          <w:divBdr>
            <w:top w:val="none" w:sz="0" w:space="0" w:color="auto"/>
            <w:left w:val="none" w:sz="0" w:space="0" w:color="auto"/>
            <w:bottom w:val="none" w:sz="0" w:space="0" w:color="auto"/>
            <w:right w:val="none" w:sz="0" w:space="0" w:color="auto"/>
          </w:divBdr>
        </w:div>
        <w:div w:id="373432888">
          <w:marLeft w:val="0"/>
          <w:marRight w:val="0"/>
          <w:marTop w:val="0"/>
          <w:marBottom w:val="0"/>
          <w:divBdr>
            <w:top w:val="none" w:sz="0" w:space="0" w:color="auto"/>
            <w:left w:val="none" w:sz="0" w:space="0" w:color="auto"/>
            <w:bottom w:val="none" w:sz="0" w:space="0" w:color="auto"/>
            <w:right w:val="none" w:sz="0" w:space="0" w:color="auto"/>
          </w:divBdr>
        </w:div>
        <w:div w:id="398286349">
          <w:marLeft w:val="0"/>
          <w:marRight w:val="0"/>
          <w:marTop w:val="0"/>
          <w:marBottom w:val="0"/>
          <w:divBdr>
            <w:top w:val="none" w:sz="0" w:space="0" w:color="auto"/>
            <w:left w:val="none" w:sz="0" w:space="0" w:color="auto"/>
            <w:bottom w:val="none" w:sz="0" w:space="0" w:color="auto"/>
            <w:right w:val="none" w:sz="0" w:space="0" w:color="auto"/>
          </w:divBdr>
        </w:div>
        <w:div w:id="428505362">
          <w:marLeft w:val="0"/>
          <w:marRight w:val="0"/>
          <w:marTop w:val="0"/>
          <w:marBottom w:val="0"/>
          <w:divBdr>
            <w:top w:val="none" w:sz="0" w:space="0" w:color="auto"/>
            <w:left w:val="none" w:sz="0" w:space="0" w:color="auto"/>
            <w:bottom w:val="none" w:sz="0" w:space="0" w:color="auto"/>
            <w:right w:val="none" w:sz="0" w:space="0" w:color="auto"/>
          </w:divBdr>
        </w:div>
        <w:div w:id="432361932">
          <w:marLeft w:val="0"/>
          <w:marRight w:val="0"/>
          <w:marTop w:val="0"/>
          <w:marBottom w:val="0"/>
          <w:divBdr>
            <w:top w:val="none" w:sz="0" w:space="0" w:color="auto"/>
            <w:left w:val="none" w:sz="0" w:space="0" w:color="auto"/>
            <w:bottom w:val="none" w:sz="0" w:space="0" w:color="auto"/>
            <w:right w:val="none" w:sz="0" w:space="0" w:color="auto"/>
          </w:divBdr>
        </w:div>
        <w:div w:id="475683486">
          <w:marLeft w:val="0"/>
          <w:marRight w:val="0"/>
          <w:marTop w:val="0"/>
          <w:marBottom w:val="0"/>
          <w:divBdr>
            <w:top w:val="none" w:sz="0" w:space="0" w:color="auto"/>
            <w:left w:val="none" w:sz="0" w:space="0" w:color="auto"/>
            <w:bottom w:val="none" w:sz="0" w:space="0" w:color="auto"/>
            <w:right w:val="none" w:sz="0" w:space="0" w:color="auto"/>
          </w:divBdr>
        </w:div>
        <w:div w:id="616330835">
          <w:marLeft w:val="0"/>
          <w:marRight w:val="0"/>
          <w:marTop w:val="0"/>
          <w:marBottom w:val="0"/>
          <w:divBdr>
            <w:top w:val="none" w:sz="0" w:space="0" w:color="auto"/>
            <w:left w:val="none" w:sz="0" w:space="0" w:color="auto"/>
            <w:bottom w:val="none" w:sz="0" w:space="0" w:color="auto"/>
            <w:right w:val="none" w:sz="0" w:space="0" w:color="auto"/>
          </w:divBdr>
        </w:div>
        <w:div w:id="622612155">
          <w:marLeft w:val="0"/>
          <w:marRight w:val="0"/>
          <w:marTop w:val="0"/>
          <w:marBottom w:val="0"/>
          <w:divBdr>
            <w:top w:val="none" w:sz="0" w:space="0" w:color="auto"/>
            <w:left w:val="none" w:sz="0" w:space="0" w:color="auto"/>
            <w:bottom w:val="none" w:sz="0" w:space="0" w:color="auto"/>
            <w:right w:val="none" w:sz="0" w:space="0" w:color="auto"/>
          </w:divBdr>
        </w:div>
        <w:div w:id="624386258">
          <w:marLeft w:val="0"/>
          <w:marRight w:val="0"/>
          <w:marTop w:val="0"/>
          <w:marBottom w:val="0"/>
          <w:divBdr>
            <w:top w:val="none" w:sz="0" w:space="0" w:color="auto"/>
            <w:left w:val="none" w:sz="0" w:space="0" w:color="auto"/>
            <w:bottom w:val="none" w:sz="0" w:space="0" w:color="auto"/>
            <w:right w:val="none" w:sz="0" w:space="0" w:color="auto"/>
          </w:divBdr>
        </w:div>
        <w:div w:id="669524136">
          <w:marLeft w:val="0"/>
          <w:marRight w:val="0"/>
          <w:marTop w:val="0"/>
          <w:marBottom w:val="0"/>
          <w:divBdr>
            <w:top w:val="none" w:sz="0" w:space="0" w:color="auto"/>
            <w:left w:val="none" w:sz="0" w:space="0" w:color="auto"/>
            <w:bottom w:val="none" w:sz="0" w:space="0" w:color="auto"/>
            <w:right w:val="none" w:sz="0" w:space="0" w:color="auto"/>
          </w:divBdr>
        </w:div>
        <w:div w:id="688796191">
          <w:marLeft w:val="0"/>
          <w:marRight w:val="0"/>
          <w:marTop w:val="0"/>
          <w:marBottom w:val="0"/>
          <w:divBdr>
            <w:top w:val="none" w:sz="0" w:space="0" w:color="auto"/>
            <w:left w:val="none" w:sz="0" w:space="0" w:color="auto"/>
            <w:bottom w:val="none" w:sz="0" w:space="0" w:color="auto"/>
            <w:right w:val="none" w:sz="0" w:space="0" w:color="auto"/>
          </w:divBdr>
        </w:div>
        <w:div w:id="721946071">
          <w:marLeft w:val="0"/>
          <w:marRight w:val="0"/>
          <w:marTop w:val="0"/>
          <w:marBottom w:val="0"/>
          <w:divBdr>
            <w:top w:val="none" w:sz="0" w:space="0" w:color="auto"/>
            <w:left w:val="none" w:sz="0" w:space="0" w:color="auto"/>
            <w:bottom w:val="none" w:sz="0" w:space="0" w:color="auto"/>
            <w:right w:val="none" w:sz="0" w:space="0" w:color="auto"/>
          </w:divBdr>
        </w:div>
        <w:div w:id="725376884">
          <w:marLeft w:val="0"/>
          <w:marRight w:val="0"/>
          <w:marTop w:val="0"/>
          <w:marBottom w:val="0"/>
          <w:divBdr>
            <w:top w:val="none" w:sz="0" w:space="0" w:color="auto"/>
            <w:left w:val="none" w:sz="0" w:space="0" w:color="auto"/>
            <w:bottom w:val="none" w:sz="0" w:space="0" w:color="auto"/>
            <w:right w:val="none" w:sz="0" w:space="0" w:color="auto"/>
          </w:divBdr>
        </w:div>
        <w:div w:id="735973777">
          <w:marLeft w:val="0"/>
          <w:marRight w:val="0"/>
          <w:marTop w:val="0"/>
          <w:marBottom w:val="0"/>
          <w:divBdr>
            <w:top w:val="none" w:sz="0" w:space="0" w:color="auto"/>
            <w:left w:val="none" w:sz="0" w:space="0" w:color="auto"/>
            <w:bottom w:val="none" w:sz="0" w:space="0" w:color="auto"/>
            <w:right w:val="none" w:sz="0" w:space="0" w:color="auto"/>
          </w:divBdr>
        </w:div>
        <w:div w:id="789401475">
          <w:marLeft w:val="0"/>
          <w:marRight w:val="0"/>
          <w:marTop w:val="0"/>
          <w:marBottom w:val="0"/>
          <w:divBdr>
            <w:top w:val="none" w:sz="0" w:space="0" w:color="auto"/>
            <w:left w:val="none" w:sz="0" w:space="0" w:color="auto"/>
            <w:bottom w:val="none" w:sz="0" w:space="0" w:color="auto"/>
            <w:right w:val="none" w:sz="0" w:space="0" w:color="auto"/>
          </w:divBdr>
        </w:div>
        <w:div w:id="801188173">
          <w:marLeft w:val="0"/>
          <w:marRight w:val="0"/>
          <w:marTop w:val="0"/>
          <w:marBottom w:val="0"/>
          <w:divBdr>
            <w:top w:val="none" w:sz="0" w:space="0" w:color="auto"/>
            <w:left w:val="none" w:sz="0" w:space="0" w:color="auto"/>
            <w:bottom w:val="none" w:sz="0" w:space="0" w:color="auto"/>
            <w:right w:val="none" w:sz="0" w:space="0" w:color="auto"/>
          </w:divBdr>
        </w:div>
        <w:div w:id="836652013">
          <w:marLeft w:val="0"/>
          <w:marRight w:val="0"/>
          <w:marTop w:val="0"/>
          <w:marBottom w:val="0"/>
          <w:divBdr>
            <w:top w:val="none" w:sz="0" w:space="0" w:color="auto"/>
            <w:left w:val="none" w:sz="0" w:space="0" w:color="auto"/>
            <w:bottom w:val="none" w:sz="0" w:space="0" w:color="auto"/>
            <w:right w:val="none" w:sz="0" w:space="0" w:color="auto"/>
          </w:divBdr>
        </w:div>
        <w:div w:id="862089670">
          <w:marLeft w:val="0"/>
          <w:marRight w:val="0"/>
          <w:marTop w:val="0"/>
          <w:marBottom w:val="0"/>
          <w:divBdr>
            <w:top w:val="none" w:sz="0" w:space="0" w:color="auto"/>
            <w:left w:val="none" w:sz="0" w:space="0" w:color="auto"/>
            <w:bottom w:val="none" w:sz="0" w:space="0" w:color="auto"/>
            <w:right w:val="none" w:sz="0" w:space="0" w:color="auto"/>
          </w:divBdr>
        </w:div>
        <w:div w:id="1087340106">
          <w:marLeft w:val="0"/>
          <w:marRight w:val="0"/>
          <w:marTop w:val="0"/>
          <w:marBottom w:val="0"/>
          <w:divBdr>
            <w:top w:val="none" w:sz="0" w:space="0" w:color="auto"/>
            <w:left w:val="none" w:sz="0" w:space="0" w:color="auto"/>
            <w:bottom w:val="none" w:sz="0" w:space="0" w:color="auto"/>
            <w:right w:val="none" w:sz="0" w:space="0" w:color="auto"/>
          </w:divBdr>
        </w:div>
        <w:div w:id="1091778895">
          <w:marLeft w:val="0"/>
          <w:marRight w:val="0"/>
          <w:marTop w:val="0"/>
          <w:marBottom w:val="0"/>
          <w:divBdr>
            <w:top w:val="none" w:sz="0" w:space="0" w:color="auto"/>
            <w:left w:val="none" w:sz="0" w:space="0" w:color="auto"/>
            <w:bottom w:val="none" w:sz="0" w:space="0" w:color="auto"/>
            <w:right w:val="none" w:sz="0" w:space="0" w:color="auto"/>
          </w:divBdr>
        </w:div>
        <w:div w:id="1101293918">
          <w:marLeft w:val="0"/>
          <w:marRight w:val="0"/>
          <w:marTop w:val="0"/>
          <w:marBottom w:val="0"/>
          <w:divBdr>
            <w:top w:val="none" w:sz="0" w:space="0" w:color="auto"/>
            <w:left w:val="none" w:sz="0" w:space="0" w:color="auto"/>
            <w:bottom w:val="none" w:sz="0" w:space="0" w:color="auto"/>
            <w:right w:val="none" w:sz="0" w:space="0" w:color="auto"/>
          </w:divBdr>
        </w:div>
        <w:div w:id="1141920334">
          <w:marLeft w:val="0"/>
          <w:marRight w:val="0"/>
          <w:marTop w:val="0"/>
          <w:marBottom w:val="0"/>
          <w:divBdr>
            <w:top w:val="none" w:sz="0" w:space="0" w:color="auto"/>
            <w:left w:val="none" w:sz="0" w:space="0" w:color="auto"/>
            <w:bottom w:val="none" w:sz="0" w:space="0" w:color="auto"/>
            <w:right w:val="none" w:sz="0" w:space="0" w:color="auto"/>
          </w:divBdr>
        </w:div>
        <w:div w:id="1206677557">
          <w:marLeft w:val="0"/>
          <w:marRight w:val="0"/>
          <w:marTop w:val="0"/>
          <w:marBottom w:val="0"/>
          <w:divBdr>
            <w:top w:val="none" w:sz="0" w:space="0" w:color="auto"/>
            <w:left w:val="none" w:sz="0" w:space="0" w:color="auto"/>
            <w:bottom w:val="none" w:sz="0" w:space="0" w:color="auto"/>
            <w:right w:val="none" w:sz="0" w:space="0" w:color="auto"/>
          </w:divBdr>
        </w:div>
        <w:div w:id="1250193999">
          <w:marLeft w:val="0"/>
          <w:marRight w:val="0"/>
          <w:marTop w:val="0"/>
          <w:marBottom w:val="0"/>
          <w:divBdr>
            <w:top w:val="none" w:sz="0" w:space="0" w:color="auto"/>
            <w:left w:val="none" w:sz="0" w:space="0" w:color="auto"/>
            <w:bottom w:val="none" w:sz="0" w:space="0" w:color="auto"/>
            <w:right w:val="none" w:sz="0" w:space="0" w:color="auto"/>
          </w:divBdr>
        </w:div>
        <w:div w:id="1301500613">
          <w:marLeft w:val="0"/>
          <w:marRight w:val="0"/>
          <w:marTop w:val="0"/>
          <w:marBottom w:val="0"/>
          <w:divBdr>
            <w:top w:val="none" w:sz="0" w:space="0" w:color="auto"/>
            <w:left w:val="none" w:sz="0" w:space="0" w:color="auto"/>
            <w:bottom w:val="none" w:sz="0" w:space="0" w:color="auto"/>
            <w:right w:val="none" w:sz="0" w:space="0" w:color="auto"/>
          </w:divBdr>
        </w:div>
        <w:div w:id="1312520394">
          <w:marLeft w:val="0"/>
          <w:marRight w:val="0"/>
          <w:marTop w:val="0"/>
          <w:marBottom w:val="0"/>
          <w:divBdr>
            <w:top w:val="none" w:sz="0" w:space="0" w:color="auto"/>
            <w:left w:val="none" w:sz="0" w:space="0" w:color="auto"/>
            <w:bottom w:val="none" w:sz="0" w:space="0" w:color="auto"/>
            <w:right w:val="none" w:sz="0" w:space="0" w:color="auto"/>
          </w:divBdr>
        </w:div>
        <w:div w:id="1318220330">
          <w:marLeft w:val="0"/>
          <w:marRight w:val="0"/>
          <w:marTop w:val="0"/>
          <w:marBottom w:val="0"/>
          <w:divBdr>
            <w:top w:val="none" w:sz="0" w:space="0" w:color="auto"/>
            <w:left w:val="none" w:sz="0" w:space="0" w:color="auto"/>
            <w:bottom w:val="none" w:sz="0" w:space="0" w:color="auto"/>
            <w:right w:val="none" w:sz="0" w:space="0" w:color="auto"/>
          </w:divBdr>
        </w:div>
        <w:div w:id="1350449556">
          <w:marLeft w:val="0"/>
          <w:marRight w:val="0"/>
          <w:marTop w:val="0"/>
          <w:marBottom w:val="0"/>
          <w:divBdr>
            <w:top w:val="none" w:sz="0" w:space="0" w:color="auto"/>
            <w:left w:val="none" w:sz="0" w:space="0" w:color="auto"/>
            <w:bottom w:val="none" w:sz="0" w:space="0" w:color="auto"/>
            <w:right w:val="none" w:sz="0" w:space="0" w:color="auto"/>
          </w:divBdr>
        </w:div>
        <w:div w:id="1351571179">
          <w:marLeft w:val="0"/>
          <w:marRight w:val="0"/>
          <w:marTop w:val="0"/>
          <w:marBottom w:val="0"/>
          <w:divBdr>
            <w:top w:val="none" w:sz="0" w:space="0" w:color="auto"/>
            <w:left w:val="none" w:sz="0" w:space="0" w:color="auto"/>
            <w:bottom w:val="none" w:sz="0" w:space="0" w:color="auto"/>
            <w:right w:val="none" w:sz="0" w:space="0" w:color="auto"/>
          </w:divBdr>
        </w:div>
        <w:div w:id="1363478147">
          <w:marLeft w:val="0"/>
          <w:marRight w:val="0"/>
          <w:marTop w:val="0"/>
          <w:marBottom w:val="0"/>
          <w:divBdr>
            <w:top w:val="none" w:sz="0" w:space="0" w:color="auto"/>
            <w:left w:val="none" w:sz="0" w:space="0" w:color="auto"/>
            <w:bottom w:val="none" w:sz="0" w:space="0" w:color="auto"/>
            <w:right w:val="none" w:sz="0" w:space="0" w:color="auto"/>
          </w:divBdr>
        </w:div>
        <w:div w:id="1447239374">
          <w:marLeft w:val="0"/>
          <w:marRight w:val="0"/>
          <w:marTop w:val="0"/>
          <w:marBottom w:val="0"/>
          <w:divBdr>
            <w:top w:val="none" w:sz="0" w:space="0" w:color="auto"/>
            <w:left w:val="none" w:sz="0" w:space="0" w:color="auto"/>
            <w:bottom w:val="none" w:sz="0" w:space="0" w:color="auto"/>
            <w:right w:val="none" w:sz="0" w:space="0" w:color="auto"/>
          </w:divBdr>
        </w:div>
        <w:div w:id="1528172948">
          <w:marLeft w:val="0"/>
          <w:marRight w:val="0"/>
          <w:marTop w:val="0"/>
          <w:marBottom w:val="0"/>
          <w:divBdr>
            <w:top w:val="none" w:sz="0" w:space="0" w:color="auto"/>
            <w:left w:val="none" w:sz="0" w:space="0" w:color="auto"/>
            <w:bottom w:val="none" w:sz="0" w:space="0" w:color="auto"/>
            <w:right w:val="none" w:sz="0" w:space="0" w:color="auto"/>
          </w:divBdr>
        </w:div>
        <w:div w:id="1570916462">
          <w:marLeft w:val="0"/>
          <w:marRight w:val="0"/>
          <w:marTop w:val="0"/>
          <w:marBottom w:val="0"/>
          <w:divBdr>
            <w:top w:val="none" w:sz="0" w:space="0" w:color="auto"/>
            <w:left w:val="none" w:sz="0" w:space="0" w:color="auto"/>
            <w:bottom w:val="none" w:sz="0" w:space="0" w:color="auto"/>
            <w:right w:val="none" w:sz="0" w:space="0" w:color="auto"/>
          </w:divBdr>
        </w:div>
        <w:div w:id="1574856901">
          <w:marLeft w:val="0"/>
          <w:marRight w:val="0"/>
          <w:marTop w:val="0"/>
          <w:marBottom w:val="0"/>
          <w:divBdr>
            <w:top w:val="none" w:sz="0" w:space="0" w:color="auto"/>
            <w:left w:val="none" w:sz="0" w:space="0" w:color="auto"/>
            <w:bottom w:val="none" w:sz="0" w:space="0" w:color="auto"/>
            <w:right w:val="none" w:sz="0" w:space="0" w:color="auto"/>
          </w:divBdr>
        </w:div>
        <w:div w:id="1602689776">
          <w:marLeft w:val="0"/>
          <w:marRight w:val="0"/>
          <w:marTop w:val="0"/>
          <w:marBottom w:val="0"/>
          <w:divBdr>
            <w:top w:val="none" w:sz="0" w:space="0" w:color="auto"/>
            <w:left w:val="none" w:sz="0" w:space="0" w:color="auto"/>
            <w:bottom w:val="none" w:sz="0" w:space="0" w:color="auto"/>
            <w:right w:val="none" w:sz="0" w:space="0" w:color="auto"/>
          </w:divBdr>
        </w:div>
        <w:div w:id="1651208334">
          <w:marLeft w:val="0"/>
          <w:marRight w:val="0"/>
          <w:marTop w:val="0"/>
          <w:marBottom w:val="0"/>
          <w:divBdr>
            <w:top w:val="none" w:sz="0" w:space="0" w:color="auto"/>
            <w:left w:val="none" w:sz="0" w:space="0" w:color="auto"/>
            <w:bottom w:val="none" w:sz="0" w:space="0" w:color="auto"/>
            <w:right w:val="none" w:sz="0" w:space="0" w:color="auto"/>
          </w:divBdr>
        </w:div>
        <w:div w:id="1669477485">
          <w:marLeft w:val="0"/>
          <w:marRight w:val="0"/>
          <w:marTop w:val="0"/>
          <w:marBottom w:val="0"/>
          <w:divBdr>
            <w:top w:val="none" w:sz="0" w:space="0" w:color="auto"/>
            <w:left w:val="none" w:sz="0" w:space="0" w:color="auto"/>
            <w:bottom w:val="none" w:sz="0" w:space="0" w:color="auto"/>
            <w:right w:val="none" w:sz="0" w:space="0" w:color="auto"/>
          </w:divBdr>
        </w:div>
        <w:div w:id="1724910724">
          <w:marLeft w:val="0"/>
          <w:marRight w:val="0"/>
          <w:marTop w:val="0"/>
          <w:marBottom w:val="0"/>
          <w:divBdr>
            <w:top w:val="none" w:sz="0" w:space="0" w:color="auto"/>
            <w:left w:val="none" w:sz="0" w:space="0" w:color="auto"/>
            <w:bottom w:val="none" w:sz="0" w:space="0" w:color="auto"/>
            <w:right w:val="none" w:sz="0" w:space="0" w:color="auto"/>
          </w:divBdr>
        </w:div>
        <w:div w:id="1748263058">
          <w:marLeft w:val="0"/>
          <w:marRight w:val="0"/>
          <w:marTop w:val="0"/>
          <w:marBottom w:val="0"/>
          <w:divBdr>
            <w:top w:val="none" w:sz="0" w:space="0" w:color="auto"/>
            <w:left w:val="none" w:sz="0" w:space="0" w:color="auto"/>
            <w:bottom w:val="none" w:sz="0" w:space="0" w:color="auto"/>
            <w:right w:val="none" w:sz="0" w:space="0" w:color="auto"/>
          </w:divBdr>
        </w:div>
        <w:div w:id="1779906566">
          <w:marLeft w:val="0"/>
          <w:marRight w:val="0"/>
          <w:marTop w:val="0"/>
          <w:marBottom w:val="0"/>
          <w:divBdr>
            <w:top w:val="none" w:sz="0" w:space="0" w:color="auto"/>
            <w:left w:val="none" w:sz="0" w:space="0" w:color="auto"/>
            <w:bottom w:val="none" w:sz="0" w:space="0" w:color="auto"/>
            <w:right w:val="none" w:sz="0" w:space="0" w:color="auto"/>
          </w:divBdr>
        </w:div>
        <w:div w:id="1782645011">
          <w:marLeft w:val="0"/>
          <w:marRight w:val="0"/>
          <w:marTop w:val="0"/>
          <w:marBottom w:val="0"/>
          <w:divBdr>
            <w:top w:val="none" w:sz="0" w:space="0" w:color="auto"/>
            <w:left w:val="none" w:sz="0" w:space="0" w:color="auto"/>
            <w:bottom w:val="none" w:sz="0" w:space="0" w:color="auto"/>
            <w:right w:val="none" w:sz="0" w:space="0" w:color="auto"/>
          </w:divBdr>
        </w:div>
        <w:div w:id="1789201198">
          <w:marLeft w:val="0"/>
          <w:marRight w:val="0"/>
          <w:marTop w:val="0"/>
          <w:marBottom w:val="0"/>
          <w:divBdr>
            <w:top w:val="none" w:sz="0" w:space="0" w:color="auto"/>
            <w:left w:val="none" w:sz="0" w:space="0" w:color="auto"/>
            <w:bottom w:val="none" w:sz="0" w:space="0" w:color="auto"/>
            <w:right w:val="none" w:sz="0" w:space="0" w:color="auto"/>
          </w:divBdr>
        </w:div>
        <w:div w:id="1835336990">
          <w:marLeft w:val="0"/>
          <w:marRight w:val="0"/>
          <w:marTop w:val="0"/>
          <w:marBottom w:val="0"/>
          <w:divBdr>
            <w:top w:val="none" w:sz="0" w:space="0" w:color="auto"/>
            <w:left w:val="none" w:sz="0" w:space="0" w:color="auto"/>
            <w:bottom w:val="none" w:sz="0" w:space="0" w:color="auto"/>
            <w:right w:val="none" w:sz="0" w:space="0" w:color="auto"/>
          </w:divBdr>
        </w:div>
        <w:div w:id="1848639578">
          <w:marLeft w:val="0"/>
          <w:marRight w:val="0"/>
          <w:marTop w:val="0"/>
          <w:marBottom w:val="0"/>
          <w:divBdr>
            <w:top w:val="none" w:sz="0" w:space="0" w:color="auto"/>
            <w:left w:val="none" w:sz="0" w:space="0" w:color="auto"/>
            <w:bottom w:val="none" w:sz="0" w:space="0" w:color="auto"/>
            <w:right w:val="none" w:sz="0" w:space="0" w:color="auto"/>
          </w:divBdr>
        </w:div>
        <w:div w:id="1852178824">
          <w:marLeft w:val="0"/>
          <w:marRight w:val="0"/>
          <w:marTop w:val="0"/>
          <w:marBottom w:val="0"/>
          <w:divBdr>
            <w:top w:val="none" w:sz="0" w:space="0" w:color="auto"/>
            <w:left w:val="none" w:sz="0" w:space="0" w:color="auto"/>
            <w:bottom w:val="none" w:sz="0" w:space="0" w:color="auto"/>
            <w:right w:val="none" w:sz="0" w:space="0" w:color="auto"/>
          </w:divBdr>
        </w:div>
        <w:div w:id="1866601484">
          <w:marLeft w:val="0"/>
          <w:marRight w:val="0"/>
          <w:marTop w:val="0"/>
          <w:marBottom w:val="0"/>
          <w:divBdr>
            <w:top w:val="none" w:sz="0" w:space="0" w:color="auto"/>
            <w:left w:val="none" w:sz="0" w:space="0" w:color="auto"/>
            <w:bottom w:val="none" w:sz="0" w:space="0" w:color="auto"/>
            <w:right w:val="none" w:sz="0" w:space="0" w:color="auto"/>
          </w:divBdr>
        </w:div>
        <w:div w:id="1867481014">
          <w:marLeft w:val="0"/>
          <w:marRight w:val="0"/>
          <w:marTop w:val="0"/>
          <w:marBottom w:val="0"/>
          <w:divBdr>
            <w:top w:val="none" w:sz="0" w:space="0" w:color="auto"/>
            <w:left w:val="none" w:sz="0" w:space="0" w:color="auto"/>
            <w:bottom w:val="none" w:sz="0" w:space="0" w:color="auto"/>
            <w:right w:val="none" w:sz="0" w:space="0" w:color="auto"/>
          </w:divBdr>
        </w:div>
        <w:div w:id="1867789950">
          <w:marLeft w:val="0"/>
          <w:marRight w:val="0"/>
          <w:marTop w:val="0"/>
          <w:marBottom w:val="0"/>
          <w:divBdr>
            <w:top w:val="none" w:sz="0" w:space="0" w:color="auto"/>
            <w:left w:val="none" w:sz="0" w:space="0" w:color="auto"/>
            <w:bottom w:val="none" w:sz="0" w:space="0" w:color="auto"/>
            <w:right w:val="none" w:sz="0" w:space="0" w:color="auto"/>
          </w:divBdr>
        </w:div>
        <w:div w:id="1874002290">
          <w:marLeft w:val="0"/>
          <w:marRight w:val="0"/>
          <w:marTop w:val="0"/>
          <w:marBottom w:val="0"/>
          <w:divBdr>
            <w:top w:val="none" w:sz="0" w:space="0" w:color="auto"/>
            <w:left w:val="none" w:sz="0" w:space="0" w:color="auto"/>
            <w:bottom w:val="none" w:sz="0" w:space="0" w:color="auto"/>
            <w:right w:val="none" w:sz="0" w:space="0" w:color="auto"/>
          </w:divBdr>
        </w:div>
        <w:div w:id="1886019581">
          <w:marLeft w:val="0"/>
          <w:marRight w:val="0"/>
          <w:marTop w:val="0"/>
          <w:marBottom w:val="0"/>
          <w:divBdr>
            <w:top w:val="none" w:sz="0" w:space="0" w:color="auto"/>
            <w:left w:val="none" w:sz="0" w:space="0" w:color="auto"/>
            <w:bottom w:val="none" w:sz="0" w:space="0" w:color="auto"/>
            <w:right w:val="none" w:sz="0" w:space="0" w:color="auto"/>
          </w:divBdr>
        </w:div>
        <w:div w:id="1901475914">
          <w:marLeft w:val="0"/>
          <w:marRight w:val="0"/>
          <w:marTop w:val="0"/>
          <w:marBottom w:val="0"/>
          <w:divBdr>
            <w:top w:val="none" w:sz="0" w:space="0" w:color="auto"/>
            <w:left w:val="none" w:sz="0" w:space="0" w:color="auto"/>
            <w:bottom w:val="none" w:sz="0" w:space="0" w:color="auto"/>
            <w:right w:val="none" w:sz="0" w:space="0" w:color="auto"/>
          </w:divBdr>
        </w:div>
        <w:div w:id="1910190345">
          <w:marLeft w:val="0"/>
          <w:marRight w:val="0"/>
          <w:marTop w:val="0"/>
          <w:marBottom w:val="0"/>
          <w:divBdr>
            <w:top w:val="none" w:sz="0" w:space="0" w:color="auto"/>
            <w:left w:val="none" w:sz="0" w:space="0" w:color="auto"/>
            <w:bottom w:val="none" w:sz="0" w:space="0" w:color="auto"/>
            <w:right w:val="none" w:sz="0" w:space="0" w:color="auto"/>
          </w:divBdr>
        </w:div>
        <w:div w:id="1911622463">
          <w:marLeft w:val="0"/>
          <w:marRight w:val="0"/>
          <w:marTop w:val="0"/>
          <w:marBottom w:val="0"/>
          <w:divBdr>
            <w:top w:val="none" w:sz="0" w:space="0" w:color="auto"/>
            <w:left w:val="none" w:sz="0" w:space="0" w:color="auto"/>
            <w:bottom w:val="none" w:sz="0" w:space="0" w:color="auto"/>
            <w:right w:val="none" w:sz="0" w:space="0" w:color="auto"/>
          </w:divBdr>
        </w:div>
        <w:div w:id="1916043029">
          <w:marLeft w:val="0"/>
          <w:marRight w:val="0"/>
          <w:marTop w:val="0"/>
          <w:marBottom w:val="0"/>
          <w:divBdr>
            <w:top w:val="none" w:sz="0" w:space="0" w:color="auto"/>
            <w:left w:val="none" w:sz="0" w:space="0" w:color="auto"/>
            <w:bottom w:val="none" w:sz="0" w:space="0" w:color="auto"/>
            <w:right w:val="none" w:sz="0" w:space="0" w:color="auto"/>
          </w:divBdr>
        </w:div>
        <w:div w:id="1949003407">
          <w:marLeft w:val="0"/>
          <w:marRight w:val="0"/>
          <w:marTop w:val="0"/>
          <w:marBottom w:val="0"/>
          <w:divBdr>
            <w:top w:val="none" w:sz="0" w:space="0" w:color="auto"/>
            <w:left w:val="none" w:sz="0" w:space="0" w:color="auto"/>
            <w:bottom w:val="none" w:sz="0" w:space="0" w:color="auto"/>
            <w:right w:val="none" w:sz="0" w:space="0" w:color="auto"/>
          </w:divBdr>
        </w:div>
        <w:div w:id="1953512392">
          <w:marLeft w:val="0"/>
          <w:marRight w:val="0"/>
          <w:marTop w:val="0"/>
          <w:marBottom w:val="0"/>
          <w:divBdr>
            <w:top w:val="none" w:sz="0" w:space="0" w:color="auto"/>
            <w:left w:val="none" w:sz="0" w:space="0" w:color="auto"/>
            <w:bottom w:val="none" w:sz="0" w:space="0" w:color="auto"/>
            <w:right w:val="none" w:sz="0" w:space="0" w:color="auto"/>
          </w:divBdr>
        </w:div>
        <w:div w:id="1967194134">
          <w:marLeft w:val="0"/>
          <w:marRight w:val="0"/>
          <w:marTop w:val="0"/>
          <w:marBottom w:val="0"/>
          <w:divBdr>
            <w:top w:val="none" w:sz="0" w:space="0" w:color="auto"/>
            <w:left w:val="none" w:sz="0" w:space="0" w:color="auto"/>
            <w:bottom w:val="none" w:sz="0" w:space="0" w:color="auto"/>
            <w:right w:val="none" w:sz="0" w:space="0" w:color="auto"/>
          </w:divBdr>
        </w:div>
        <w:div w:id="1971864994">
          <w:marLeft w:val="0"/>
          <w:marRight w:val="0"/>
          <w:marTop w:val="0"/>
          <w:marBottom w:val="0"/>
          <w:divBdr>
            <w:top w:val="none" w:sz="0" w:space="0" w:color="auto"/>
            <w:left w:val="none" w:sz="0" w:space="0" w:color="auto"/>
            <w:bottom w:val="none" w:sz="0" w:space="0" w:color="auto"/>
            <w:right w:val="none" w:sz="0" w:space="0" w:color="auto"/>
          </w:divBdr>
        </w:div>
        <w:div w:id="1982423100">
          <w:marLeft w:val="0"/>
          <w:marRight w:val="0"/>
          <w:marTop w:val="0"/>
          <w:marBottom w:val="0"/>
          <w:divBdr>
            <w:top w:val="none" w:sz="0" w:space="0" w:color="auto"/>
            <w:left w:val="none" w:sz="0" w:space="0" w:color="auto"/>
            <w:bottom w:val="none" w:sz="0" w:space="0" w:color="auto"/>
            <w:right w:val="none" w:sz="0" w:space="0" w:color="auto"/>
          </w:divBdr>
        </w:div>
        <w:div w:id="1982494691">
          <w:marLeft w:val="0"/>
          <w:marRight w:val="0"/>
          <w:marTop w:val="0"/>
          <w:marBottom w:val="0"/>
          <w:divBdr>
            <w:top w:val="none" w:sz="0" w:space="0" w:color="auto"/>
            <w:left w:val="none" w:sz="0" w:space="0" w:color="auto"/>
            <w:bottom w:val="none" w:sz="0" w:space="0" w:color="auto"/>
            <w:right w:val="none" w:sz="0" w:space="0" w:color="auto"/>
          </w:divBdr>
        </w:div>
        <w:div w:id="1985037070">
          <w:marLeft w:val="0"/>
          <w:marRight w:val="0"/>
          <w:marTop w:val="0"/>
          <w:marBottom w:val="0"/>
          <w:divBdr>
            <w:top w:val="none" w:sz="0" w:space="0" w:color="auto"/>
            <w:left w:val="none" w:sz="0" w:space="0" w:color="auto"/>
            <w:bottom w:val="none" w:sz="0" w:space="0" w:color="auto"/>
            <w:right w:val="none" w:sz="0" w:space="0" w:color="auto"/>
          </w:divBdr>
        </w:div>
        <w:div w:id="2025939196">
          <w:marLeft w:val="0"/>
          <w:marRight w:val="0"/>
          <w:marTop w:val="0"/>
          <w:marBottom w:val="0"/>
          <w:divBdr>
            <w:top w:val="none" w:sz="0" w:space="0" w:color="auto"/>
            <w:left w:val="none" w:sz="0" w:space="0" w:color="auto"/>
            <w:bottom w:val="none" w:sz="0" w:space="0" w:color="auto"/>
            <w:right w:val="none" w:sz="0" w:space="0" w:color="auto"/>
          </w:divBdr>
        </w:div>
        <w:div w:id="2029476630">
          <w:marLeft w:val="0"/>
          <w:marRight w:val="0"/>
          <w:marTop w:val="0"/>
          <w:marBottom w:val="0"/>
          <w:divBdr>
            <w:top w:val="none" w:sz="0" w:space="0" w:color="auto"/>
            <w:left w:val="none" w:sz="0" w:space="0" w:color="auto"/>
            <w:bottom w:val="none" w:sz="0" w:space="0" w:color="auto"/>
            <w:right w:val="none" w:sz="0" w:space="0" w:color="auto"/>
          </w:divBdr>
        </w:div>
        <w:div w:id="2057005228">
          <w:marLeft w:val="0"/>
          <w:marRight w:val="0"/>
          <w:marTop w:val="0"/>
          <w:marBottom w:val="0"/>
          <w:divBdr>
            <w:top w:val="none" w:sz="0" w:space="0" w:color="auto"/>
            <w:left w:val="none" w:sz="0" w:space="0" w:color="auto"/>
            <w:bottom w:val="none" w:sz="0" w:space="0" w:color="auto"/>
            <w:right w:val="none" w:sz="0" w:space="0" w:color="auto"/>
          </w:divBdr>
        </w:div>
        <w:div w:id="2061173579">
          <w:marLeft w:val="0"/>
          <w:marRight w:val="0"/>
          <w:marTop w:val="0"/>
          <w:marBottom w:val="0"/>
          <w:divBdr>
            <w:top w:val="none" w:sz="0" w:space="0" w:color="auto"/>
            <w:left w:val="none" w:sz="0" w:space="0" w:color="auto"/>
            <w:bottom w:val="none" w:sz="0" w:space="0" w:color="auto"/>
            <w:right w:val="none" w:sz="0" w:space="0" w:color="auto"/>
          </w:divBdr>
        </w:div>
        <w:div w:id="2075931507">
          <w:marLeft w:val="0"/>
          <w:marRight w:val="0"/>
          <w:marTop w:val="0"/>
          <w:marBottom w:val="0"/>
          <w:divBdr>
            <w:top w:val="none" w:sz="0" w:space="0" w:color="auto"/>
            <w:left w:val="none" w:sz="0" w:space="0" w:color="auto"/>
            <w:bottom w:val="none" w:sz="0" w:space="0" w:color="auto"/>
            <w:right w:val="none" w:sz="0" w:space="0" w:color="auto"/>
          </w:divBdr>
        </w:div>
        <w:div w:id="2086608623">
          <w:marLeft w:val="0"/>
          <w:marRight w:val="0"/>
          <w:marTop w:val="0"/>
          <w:marBottom w:val="0"/>
          <w:divBdr>
            <w:top w:val="none" w:sz="0" w:space="0" w:color="auto"/>
            <w:left w:val="none" w:sz="0" w:space="0" w:color="auto"/>
            <w:bottom w:val="none" w:sz="0" w:space="0" w:color="auto"/>
            <w:right w:val="none" w:sz="0" w:space="0" w:color="auto"/>
          </w:divBdr>
        </w:div>
        <w:div w:id="2093311021">
          <w:marLeft w:val="0"/>
          <w:marRight w:val="0"/>
          <w:marTop w:val="0"/>
          <w:marBottom w:val="0"/>
          <w:divBdr>
            <w:top w:val="none" w:sz="0" w:space="0" w:color="auto"/>
            <w:left w:val="none" w:sz="0" w:space="0" w:color="auto"/>
            <w:bottom w:val="none" w:sz="0" w:space="0" w:color="auto"/>
            <w:right w:val="none" w:sz="0" w:space="0" w:color="auto"/>
          </w:divBdr>
        </w:div>
        <w:div w:id="2135102687">
          <w:marLeft w:val="0"/>
          <w:marRight w:val="0"/>
          <w:marTop w:val="0"/>
          <w:marBottom w:val="0"/>
          <w:divBdr>
            <w:top w:val="none" w:sz="0" w:space="0" w:color="auto"/>
            <w:left w:val="none" w:sz="0" w:space="0" w:color="auto"/>
            <w:bottom w:val="none" w:sz="0" w:space="0" w:color="auto"/>
            <w:right w:val="none" w:sz="0" w:space="0" w:color="auto"/>
          </w:divBdr>
        </w:div>
      </w:divsChild>
    </w:div>
    <w:div w:id="1743527445">
      <w:bodyDiv w:val="1"/>
      <w:marLeft w:val="0"/>
      <w:marRight w:val="0"/>
      <w:marTop w:val="0"/>
      <w:marBottom w:val="0"/>
      <w:divBdr>
        <w:top w:val="none" w:sz="0" w:space="0" w:color="auto"/>
        <w:left w:val="none" w:sz="0" w:space="0" w:color="auto"/>
        <w:bottom w:val="none" w:sz="0" w:space="0" w:color="auto"/>
        <w:right w:val="none" w:sz="0" w:space="0" w:color="auto"/>
      </w:divBdr>
      <w:divsChild>
        <w:div w:id="283460828">
          <w:marLeft w:val="0"/>
          <w:marRight w:val="0"/>
          <w:marTop w:val="0"/>
          <w:marBottom w:val="0"/>
          <w:divBdr>
            <w:top w:val="none" w:sz="0" w:space="0" w:color="auto"/>
            <w:left w:val="none" w:sz="0" w:space="0" w:color="auto"/>
            <w:bottom w:val="none" w:sz="0" w:space="0" w:color="auto"/>
            <w:right w:val="none" w:sz="0" w:space="0" w:color="auto"/>
          </w:divBdr>
        </w:div>
        <w:div w:id="1234707074">
          <w:marLeft w:val="0"/>
          <w:marRight w:val="0"/>
          <w:marTop w:val="0"/>
          <w:marBottom w:val="0"/>
          <w:divBdr>
            <w:top w:val="none" w:sz="0" w:space="0" w:color="auto"/>
            <w:left w:val="none" w:sz="0" w:space="0" w:color="auto"/>
            <w:bottom w:val="none" w:sz="0" w:space="0" w:color="auto"/>
            <w:right w:val="none" w:sz="0" w:space="0" w:color="auto"/>
          </w:divBdr>
        </w:div>
        <w:div w:id="1458795073">
          <w:marLeft w:val="0"/>
          <w:marRight w:val="0"/>
          <w:marTop w:val="0"/>
          <w:marBottom w:val="0"/>
          <w:divBdr>
            <w:top w:val="none" w:sz="0" w:space="0" w:color="auto"/>
            <w:left w:val="none" w:sz="0" w:space="0" w:color="auto"/>
            <w:bottom w:val="none" w:sz="0" w:space="0" w:color="auto"/>
            <w:right w:val="none" w:sz="0" w:space="0" w:color="auto"/>
          </w:divBdr>
        </w:div>
      </w:divsChild>
    </w:div>
    <w:div w:id="1763136124">
      <w:bodyDiv w:val="1"/>
      <w:marLeft w:val="0"/>
      <w:marRight w:val="0"/>
      <w:marTop w:val="0"/>
      <w:marBottom w:val="0"/>
      <w:divBdr>
        <w:top w:val="none" w:sz="0" w:space="0" w:color="auto"/>
        <w:left w:val="none" w:sz="0" w:space="0" w:color="auto"/>
        <w:bottom w:val="none" w:sz="0" w:space="0" w:color="auto"/>
        <w:right w:val="none" w:sz="0" w:space="0" w:color="auto"/>
      </w:divBdr>
      <w:divsChild>
        <w:div w:id="906889198">
          <w:marLeft w:val="0"/>
          <w:marRight w:val="0"/>
          <w:marTop w:val="0"/>
          <w:marBottom w:val="0"/>
          <w:divBdr>
            <w:top w:val="none" w:sz="0" w:space="0" w:color="auto"/>
            <w:left w:val="none" w:sz="0" w:space="0" w:color="auto"/>
            <w:bottom w:val="none" w:sz="0" w:space="0" w:color="auto"/>
            <w:right w:val="none" w:sz="0" w:space="0" w:color="auto"/>
          </w:divBdr>
        </w:div>
        <w:div w:id="1299914063">
          <w:marLeft w:val="0"/>
          <w:marRight w:val="0"/>
          <w:marTop w:val="0"/>
          <w:marBottom w:val="0"/>
          <w:divBdr>
            <w:top w:val="none" w:sz="0" w:space="0" w:color="auto"/>
            <w:left w:val="none" w:sz="0" w:space="0" w:color="auto"/>
            <w:bottom w:val="none" w:sz="0" w:space="0" w:color="auto"/>
            <w:right w:val="none" w:sz="0" w:space="0" w:color="auto"/>
          </w:divBdr>
        </w:div>
      </w:divsChild>
    </w:div>
    <w:div w:id="1782676279">
      <w:bodyDiv w:val="1"/>
      <w:marLeft w:val="0"/>
      <w:marRight w:val="0"/>
      <w:marTop w:val="0"/>
      <w:marBottom w:val="0"/>
      <w:divBdr>
        <w:top w:val="none" w:sz="0" w:space="0" w:color="auto"/>
        <w:left w:val="none" w:sz="0" w:space="0" w:color="auto"/>
        <w:bottom w:val="none" w:sz="0" w:space="0" w:color="auto"/>
        <w:right w:val="none" w:sz="0" w:space="0" w:color="auto"/>
      </w:divBdr>
      <w:divsChild>
        <w:div w:id="628633045">
          <w:marLeft w:val="0"/>
          <w:marRight w:val="0"/>
          <w:marTop w:val="0"/>
          <w:marBottom w:val="0"/>
          <w:divBdr>
            <w:top w:val="none" w:sz="0" w:space="0" w:color="auto"/>
            <w:left w:val="none" w:sz="0" w:space="0" w:color="auto"/>
            <w:bottom w:val="none" w:sz="0" w:space="0" w:color="auto"/>
            <w:right w:val="none" w:sz="0" w:space="0" w:color="auto"/>
          </w:divBdr>
        </w:div>
        <w:div w:id="1203248710">
          <w:marLeft w:val="0"/>
          <w:marRight w:val="0"/>
          <w:marTop w:val="0"/>
          <w:marBottom w:val="0"/>
          <w:divBdr>
            <w:top w:val="none" w:sz="0" w:space="0" w:color="auto"/>
            <w:left w:val="none" w:sz="0" w:space="0" w:color="auto"/>
            <w:bottom w:val="none" w:sz="0" w:space="0" w:color="auto"/>
            <w:right w:val="none" w:sz="0" w:space="0" w:color="auto"/>
          </w:divBdr>
        </w:div>
        <w:div w:id="1780248947">
          <w:marLeft w:val="0"/>
          <w:marRight w:val="0"/>
          <w:marTop w:val="0"/>
          <w:marBottom w:val="0"/>
          <w:divBdr>
            <w:top w:val="none" w:sz="0" w:space="0" w:color="auto"/>
            <w:left w:val="none" w:sz="0" w:space="0" w:color="auto"/>
            <w:bottom w:val="none" w:sz="0" w:space="0" w:color="auto"/>
            <w:right w:val="none" w:sz="0" w:space="0" w:color="auto"/>
          </w:divBdr>
        </w:div>
        <w:div w:id="2105874972">
          <w:marLeft w:val="0"/>
          <w:marRight w:val="0"/>
          <w:marTop w:val="0"/>
          <w:marBottom w:val="0"/>
          <w:divBdr>
            <w:top w:val="none" w:sz="0" w:space="0" w:color="auto"/>
            <w:left w:val="none" w:sz="0" w:space="0" w:color="auto"/>
            <w:bottom w:val="none" w:sz="0" w:space="0" w:color="auto"/>
            <w:right w:val="none" w:sz="0" w:space="0" w:color="auto"/>
          </w:divBdr>
        </w:div>
      </w:divsChild>
    </w:div>
    <w:div w:id="1789885885">
      <w:bodyDiv w:val="1"/>
      <w:marLeft w:val="0"/>
      <w:marRight w:val="0"/>
      <w:marTop w:val="0"/>
      <w:marBottom w:val="0"/>
      <w:divBdr>
        <w:top w:val="none" w:sz="0" w:space="0" w:color="auto"/>
        <w:left w:val="none" w:sz="0" w:space="0" w:color="auto"/>
        <w:bottom w:val="none" w:sz="0" w:space="0" w:color="auto"/>
        <w:right w:val="none" w:sz="0" w:space="0" w:color="auto"/>
      </w:divBdr>
      <w:divsChild>
        <w:div w:id="118033740">
          <w:marLeft w:val="0"/>
          <w:marRight w:val="0"/>
          <w:marTop w:val="0"/>
          <w:marBottom w:val="0"/>
          <w:divBdr>
            <w:top w:val="none" w:sz="0" w:space="0" w:color="auto"/>
            <w:left w:val="none" w:sz="0" w:space="0" w:color="auto"/>
            <w:bottom w:val="none" w:sz="0" w:space="0" w:color="auto"/>
            <w:right w:val="none" w:sz="0" w:space="0" w:color="auto"/>
          </w:divBdr>
        </w:div>
        <w:div w:id="193857088">
          <w:marLeft w:val="0"/>
          <w:marRight w:val="0"/>
          <w:marTop w:val="0"/>
          <w:marBottom w:val="0"/>
          <w:divBdr>
            <w:top w:val="none" w:sz="0" w:space="0" w:color="auto"/>
            <w:left w:val="none" w:sz="0" w:space="0" w:color="auto"/>
            <w:bottom w:val="none" w:sz="0" w:space="0" w:color="auto"/>
            <w:right w:val="none" w:sz="0" w:space="0" w:color="auto"/>
          </w:divBdr>
        </w:div>
        <w:div w:id="253052115">
          <w:marLeft w:val="0"/>
          <w:marRight w:val="0"/>
          <w:marTop w:val="0"/>
          <w:marBottom w:val="0"/>
          <w:divBdr>
            <w:top w:val="none" w:sz="0" w:space="0" w:color="auto"/>
            <w:left w:val="none" w:sz="0" w:space="0" w:color="auto"/>
            <w:bottom w:val="none" w:sz="0" w:space="0" w:color="auto"/>
            <w:right w:val="none" w:sz="0" w:space="0" w:color="auto"/>
          </w:divBdr>
        </w:div>
        <w:div w:id="276110749">
          <w:marLeft w:val="0"/>
          <w:marRight w:val="0"/>
          <w:marTop w:val="0"/>
          <w:marBottom w:val="0"/>
          <w:divBdr>
            <w:top w:val="none" w:sz="0" w:space="0" w:color="auto"/>
            <w:left w:val="none" w:sz="0" w:space="0" w:color="auto"/>
            <w:bottom w:val="none" w:sz="0" w:space="0" w:color="auto"/>
            <w:right w:val="none" w:sz="0" w:space="0" w:color="auto"/>
          </w:divBdr>
        </w:div>
        <w:div w:id="341737138">
          <w:marLeft w:val="0"/>
          <w:marRight w:val="0"/>
          <w:marTop w:val="0"/>
          <w:marBottom w:val="0"/>
          <w:divBdr>
            <w:top w:val="none" w:sz="0" w:space="0" w:color="auto"/>
            <w:left w:val="none" w:sz="0" w:space="0" w:color="auto"/>
            <w:bottom w:val="none" w:sz="0" w:space="0" w:color="auto"/>
            <w:right w:val="none" w:sz="0" w:space="0" w:color="auto"/>
          </w:divBdr>
        </w:div>
        <w:div w:id="414009749">
          <w:marLeft w:val="0"/>
          <w:marRight w:val="0"/>
          <w:marTop w:val="0"/>
          <w:marBottom w:val="0"/>
          <w:divBdr>
            <w:top w:val="none" w:sz="0" w:space="0" w:color="auto"/>
            <w:left w:val="none" w:sz="0" w:space="0" w:color="auto"/>
            <w:bottom w:val="none" w:sz="0" w:space="0" w:color="auto"/>
            <w:right w:val="none" w:sz="0" w:space="0" w:color="auto"/>
          </w:divBdr>
        </w:div>
        <w:div w:id="499006019">
          <w:marLeft w:val="0"/>
          <w:marRight w:val="0"/>
          <w:marTop w:val="0"/>
          <w:marBottom w:val="0"/>
          <w:divBdr>
            <w:top w:val="none" w:sz="0" w:space="0" w:color="auto"/>
            <w:left w:val="none" w:sz="0" w:space="0" w:color="auto"/>
            <w:bottom w:val="none" w:sz="0" w:space="0" w:color="auto"/>
            <w:right w:val="none" w:sz="0" w:space="0" w:color="auto"/>
          </w:divBdr>
        </w:div>
        <w:div w:id="552734282">
          <w:marLeft w:val="0"/>
          <w:marRight w:val="0"/>
          <w:marTop w:val="0"/>
          <w:marBottom w:val="0"/>
          <w:divBdr>
            <w:top w:val="none" w:sz="0" w:space="0" w:color="auto"/>
            <w:left w:val="none" w:sz="0" w:space="0" w:color="auto"/>
            <w:bottom w:val="none" w:sz="0" w:space="0" w:color="auto"/>
            <w:right w:val="none" w:sz="0" w:space="0" w:color="auto"/>
          </w:divBdr>
        </w:div>
        <w:div w:id="594096064">
          <w:marLeft w:val="0"/>
          <w:marRight w:val="0"/>
          <w:marTop w:val="0"/>
          <w:marBottom w:val="0"/>
          <w:divBdr>
            <w:top w:val="none" w:sz="0" w:space="0" w:color="auto"/>
            <w:left w:val="none" w:sz="0" w:space="0" w:color="auto"/>
            <w:bottom w:val="none" w:sz="0" w:space="0" w:color="auto"/>
            <w:right w:val="none" w:sz="0" w:space="0" w:color="auto"/>
          </w:divBdr>
        </w:div>
        <w:div w:id="611790646">
          <w:marLeft w:val="0"/>
          <w:marRight w:val="0"/>
          <w:marTop w:val="0"/>
          <w:marBottom w:val="0"/>
          <w:divBdr>
            <w:top w:val="none" w:sz="0" w:space="0" w:color="auto"/>
            <w:left w:val="none" w:sz="0" w:space="0" w:color="auto"/>
            <w:bottom w:val="none" w:sz="0" w:space="0" w:color="auto"/>
            <w:right w:val="none" w:sz="0" w:space="0" w:color="auto"/>
          </w:divBdr>
        </w:div>
        <w:div w:id="689180041">
          <w:marLeft w:val="0"/>
          <w:marRight w:val="0"/>
          <w:marTop w:val="0"/>
          <w:marBottom w:val="0"/>
          <w:divBdr>
            <w:top w:val="none" w:sz="0" w:space="0" w:color="auto"/>
            <w:left w:val="none" w:sz="0" w:space="0" w:color="auto"/>
            <w:bottom w:val="none" w:sz="0" w:space="0" w:color="auto"/>
            <w:right w:val="none" w:sz="0" w:space="0" w:color="auto"/>
          </w:divBdr>
        </w:div>
        <w:div w:id="802965945">
          <w:marLeft w:val="0"/>
          <w:marRight w:val="0"/>
          <w:marTop w:val="0"/>
          <w:marBottom w:val="0"/>
          <w:divBdr>
            <w:top w:val="none" w:sz="0" w:space="0" w:color="auto"/>
            <w:left w:val="none" w:sz="0" w:space="0" w:color="auto"/>
            <w:bottom w:val="none" w:sz="0" w:space="0" w:color="auto"/>
            <w:right w:val="none" w:sz="0" w:space="0" w:color="auto"/>
          </w:divBdr>
        </w:div>
        <w:div w:id="823013395">
          <w:marLeft w:val="0"/>
          <w:marRight w:val="0"/>
          <w:marTop w:val="0"/>
          <w:marBottom w:val="0"/>
          <w:divBdr>
            <w:top w:val="none" w:sz="0" w:space="0" w:color="auto"/>
            <w:left w:val="none" w:sz="0" w:space="0" w:color="auto"/>
            <w:bottom w:val="none" w:sz="0" w:space="0" w:color="auto"/>
            <w:right w:val="none" w:sz="0" w:space="0" w:color="auto"/>
          </w:divBdr>
        </w:div>
        <w:div w:id="827285165">
          <w:marLeft w:val="0"/>
          <w:marRight w:val="0"/>
          <w:marTop w:val="0"/>
          <w:marBottom w:val="0"/>
          <w:divBdr>
            <w:top w:val="none" w:sz="0" w:space="0" w:color="auto"/>
            <w:left w:val="none" w:sz="0" w:space="0" w:color="auto"/>
            <w:bottom w:val="none" w:sz="0" w:space="0" w:color="auto"/>
            <w:right w:val="none" w:sz="0" w:space="0" w:color="auto"/>
          </w:divBdr>
        </w:div>
        <w:div w:id="1012950861">
          <w:marLeft w:val="0"/>
          <w:marRight w:val="0"/>
          <w:marTop w:val="0"/>
          <w:marBottom w:val="0"/>
          <w:divBdr>
            <w:top w:val="none" w:sz="0" w:space="0" w:color="auto"/>
            <w:left w:val="none" w:sz="0" w:space="0" w:color="auto"/>
            <w:bottom w:val="none" w:sz="0" w:space="0" w:color="auto"/>
            <w:right w:val="none" w:sz="0" w:space="0" w:color="auto"/>
          </w:divBdr>
        </w:div>
        <w:div w:id="1084182883">
          <w:marLeft w:val="0"/>
          <w:marRight w:val="0"/>
          <w:marTop w:val="0"/>
          <w:marBottom w:val="0"/>
          <w:divBdr>
            <w:top w:val="none" w:sz="0" w:space="0" w:color="auto"/>
            <w:left w:val="none" w:sz="0" w:space="0" w:color="auto"/>
            <w:bottom w:val="none" w:sz="0" w:space="0" w:color="auto"/>
            <w:right w:val="none" w:sz="0" w:space="0" w:color="auto"/>
          </w:divBdr>
        </w:div>
        <w:div w:id="1101417633">
          <w:marLeft w:val="0"/>
          <w:marRight w:val="0"/>
          <w:marTop w:val="0"/>
          <w:marBottom w:val="0"/>
          <w:divBdr>
            <w:top w:val="none" w:sz="0" w:space="0" w:color="auto"/>
            <w:left w:val="none" w:sz="0" w:space="0" w:color="auto"/>
            <w:bottom w:val="none" w:sz="0" w:space="0" w:color="auto"/>
            <w:right w:val="none" w:sz="0" w:space="0" w:color="auto"/>
          </w:divBdr>
        </w:div>
        <w:div w:id="1197736286">
          <w:marLeft w:val="0"/>
          <w:marRight w:val="0"/>
          <w:marTop w:val="0"/>
          <w:marBottom w:val="0"/>
          <w:divBdr>
            <w:top w:val="none" w:sz="0" w:space="0" w:color="auto"/>
            <w:left w:val="none" w:sz="0" w:space="0" w:color="auto"/>
            <w:bottom w:val="none" w:sz="0" w:space="0" w:color="auto"/>
            <w:right w:val="none" w:sz="0" w:space="0" w:color="auto"/>
          </w:divBdr>
        </w:div>
        <w:div w:id="1199705713">
          <w:marLeft w:val="0"/>
          <w:marRight w:val="0"/>
          <w:marTop w:val="0"/>
          <w:marBottom w:val="0"/>
          <w:divBdr>
            <w:top w:val="none" w:sz="0" w:space="0" w:color="auto"/>
            <w:left w:val="none" w:sz="0" w:space="0" w:color="auto"/>
            <w:bottom w:val="none" w:sz="0" w:space="0" w:color="auto"/>
            <w:right w:val="none" w:sz="0" w:space="0" w:color="auto"/>
          </w:divBdr>
        </w:div>
        <w:div w:id="1265843557">
          <w:marLeft w:val="0"/>
          <w:marRight w:val="0"/>
          <w:marTop w:val="0"/>
          <w:marBottom w:val="0"/>
          <w:divBdr>
            <w:top w:val="none" w:sz="0" w:space="0" w:color="auto"/>
            <w:left w:val="none" w:sz="0" w:space="0" w:color="auto"/>
            <w:bottom w:val="none" w:sz="0" w:space="0" w:color="auto"/>
            <w:right w:val="none" w:sz="0" w:space="0" w:color="auto"/>
          </w:divBdr>
        </w:div>
        <w:div w:id="1286353935">
          <w:marLeft w:val="0"/>
          <w:marRight w:val="0"/>
          <w:marTop w:val="0"/>
          <w:marBottom w:val="0"/>
          <w:divBdr>
            <w:top w:val="none" w:sz="0" w:space="0" w:color="auto"/>
            <w:left w:val="none" w:sz="0" w:space="0" w:color="auto"/>
            <w:bottom w:val="none" w:sz="0" w:space="0" w:color="auto"/>
            <w:right w:val="none" w:sz="0" w:space="0" w:color="auto"/>
          </w:divBdr>
        </w:div>
        <w:div w:id="1325276092">
          <w:marLeft w:val="0"/>
          <w:marRight w:val="0"/>
          <w:marTop w:val="0"/>
          <w:marBottom w:val="0"/>
          <w:divBdr>
            <w:top w:val="none" w:sz="0" w:space="0" w:color="auto"/>
            <w:left w:val="none" w:sz="0" w:space="0" w:color="auto"/>
            <w:bottom w:val="none" w:sz="0" w:space="0" w:color="auto"/>
            <w:right w:val="none" w:sz="0" w:space="0" w:color="auto"/>
          </w:divBdr>
        </w:div>
        <w:div w:id="1392925277">
          <w:marLeft w:val="0"/>
          <w:marRight w:val="0"/>
          <w:marTop w:val="0"/>
          <w:marBottom w:val="0"/>
          <w:divBdr>
            <w:top w:val="none" w:sz="0" w:space="0" w:color="auto"/>
            <w:left w:val="none" w:sz="0" w:space="0" w:color="auto"/>
            <w:bottom w:val="none" w:sz="0" w:space="0" w:color="auto"/>
            <w:right w:val="none" w:sz="0" w:space="0" w:color="auto"/>
          </w:divBdr>
        </w:div>
        <w:div w:id="1409378245">
          <w:marLeft w:val="0"/>
          <w:marRight w:val="0"/>
          <w:marTop w:val="0"/>
          <w:marBottom w:val="0"/>
          <w:divBdr>
            <w:top w:val="none" w:sz="0" w:space="0" w:color="auto"/>
            <w:left w:val="none" w:sz="0" w:space="0" w:color="auto"/>
            <w:bottom w:val="none" w:sz="0" w:space="0" w:color="auto"/>
            <w:right w:val="none" w:sz="0" w:space="0" w:color="auto"/>
          </w:divBdr>
        </w:div>
        <w:div w:id="1543202222">
          <w:marLeft w:val="0"/>
          <w:marRight w:val="0"/>
          <w:marTop w:val="0"/>
          <w:marBottom w:val="0"/>
          <w:divBdr>
            <w:top w:val="none" w:sz="0" w:space="0" w:color="auto"/>
            <w:left w:val="none" w:sz="0" w:space="0" w:color="auto"/>
            <w:bottom w:val="none" w:sz="0" w:space="0" w:color="auto"/>
            <w:right w:val="none" w:sz="0" w:space="0" w:color="auto"/>
          </w:divBdr>
        </w:div>
        <w:div w:id="1562329478">
          <w:marLeft w:val="0"/>
          <w:marRight w:val="0"/>
          <w:marTop w:val="0"/>
          <w:marBottom w:val="0"/>
          <w:divBdr>
            <w:top w:val="none" w:sz="0" w:space="0" w:color="auto"/>
            <w:left w:val="none" w:sz="0" w:space="0" w:color="auto"/>
            <w:bottom w:val="none" w:sz="0" w:space="0" w:color="auto"/>
            <w:right w:val="none" w:sz="0" w:space="0" w:color="auto"/>
          </w:divBdr>
        </w:div>
        <w:div w:id="1568566265">
          <w:marLeft w:val="0"/>
          <w:marRight w:val="0"/>
          <w:marTop w:val="0"/>
          <w:marBottom w:val="0"/>
          <w:divBdr>
            <w:top w:val="none" w:sz="0" w:space="0" w:color="auto"/>
            <w:left w:val="none" w:sz="0" w:space="0" w:color="auto"/>
            <w:bottom w:val="none" w:sz="0" w:space="0" w:color="auto"/>
            <w:right w:val="none" w:sz="0" w:space="0" w:color="auto"/>
          </w:divBdr>
        </w:div>
        <w:div w:id="1716932816">
          <w:marLeft w:val="0"/>
          <w:marRight w:val="0"/>
          <w:marTop w:val="0"/>
          <w:marBottom w:val="0"/>
          <w:divBdr>
            <w:top w:val="none" w:sz="0" w:space="0" w:color="auto"/>
            <w:left w:val="none" w:sz="0" w:space="0" w:color="auto"/>
            <w:bottom w:val="none" w:sz="0" w:space="0" w:color="auto"/>
            <w:right w:val="none" w:sz="0" w:space="0" w:color="auto"/>
          </w:divBdr>
        </w:div>
        <w:div w:id="1723600953">
          <w:marLeft w:val="0"/>
          <w:marRight w:val="0"/>
          <w:marTop w:val="0"/>
          <w:marBottom w:val="0"/>
          <w:divBdr>
            <w:top w:val="none" w:sz="0" w:space="0" w:color="auto"/>
            <w:left w:val="none" w:sz="0" w:space="0" w:color="auto"/>
            <w:bottom w:val="none" w:sz="0" w:space="0" w:color="auto"/>
            <w:right w:val="none" w:sz="0" w:space="0" w:color="auto"/>
          </w:divBdr>
        </w:div>
        <w:div w:id="1729646170">
          <w:marLeft w:val="0"/>
          <w:marRight w:val="0"/>
          <w:marTop w:val="0"/>
          <w:marBottom w:val="0"/>
          <w:divBdr>
            <w:top w:val="none" w:sz="0" w:space="0" w:color="auto"/>
            <w:left w:val="none" w:sz="0" w:space="0" w:color="auto"/>
            <w:bottom w:val="none" w:sz="0" w:space="0" w:color="auto"/>
            <w:right w:val="none" w:sz="0" w:space="0" w:color="auto"/>
          </w:divBdr>
        </w:div>
        <w:div w:id="1846047730">
          <w:marLeft w:val="0"/>
          <w:marRight w:val="0"/>
          <w:marTop w:val="0"/>
          <w:marBottom w:val="0"/>
          <w:divBdr>
            <w:top w:val="none" w:sz="0" w:space="0" w:color="auto"/>
            <w:left w:val="none" w:sz="0" w:space="0" w:color="auto"/>
            <w:bottom w:val="none" w:sz="0" w:space="0" w:color="auto"/>
            <w:right w:val="none" w:sz="0" w:space="0" w:color="auto"/>
          </w:divBdr>
        </w:div>
        <w:div w:id="1846437828">
          <w:marLeft w:val="0"/>
          <w:marRight w:val="0"/>
          <w:marTop w:val="0"/>
          <w:marBottom w:val="0"/>
          <w:divBdr>
            <w:top w:val="none" w:sz="0" w:space="0" w:color="auto"/>
            <w:left w:val="none" w:sz="0" w:space="0" w:color="auto"/>
            <w:bottom w:val="none" w:sz="0" w:space="0" w:color="auto"/>
            <w:right w:val="none" w:sz="0" w:space="0" w:color="auto"/>
          </w:divBdr>
        </w:div>
        <w:div w:id="1868909969">
          <w:marLeft w:val="0"/>
          <w:marRight w:val="0"/>
          <w:marTop w:val="0"/>
          <w:marBottom w:val="0"/>
          <w:divBdr>
            <w:top w:val="none" w:sz="0" w:space="0" w:color="auto"/>
            <w:left w:val="none" w:sz="0" w:space="0" w:color="auto"/>
            <w:bottom w:val="none" w:sz="0" w:space="0" w:color="auto"/>
            <w:right w:val="none" w:sz="0" w:space="0" w:color="auto"/>
          </w:divBdr>
        </w:div>
        <w:div w:id="1874074022">
          <w:marLeft w:val="0"/>
          <w:marRight w:val="0"/>
          <w:marTop w:val="0"/>
          <w:marBottom w:val="0"/>
          <w:divBdr>
            <w:top w:val="none" w:sz="0" w:space="0" w:color="auto"/>
            <w:left w:val="none" w:sz="0" w:space="0" w:color="auto"/>
            <w:bottom w:val="none" w:sz="0" w:space="0" w:color="auto"/>
            <w:right w:val="none" w:sz="0" w:space="0" w:color="auto"/>
          </w:divBdr>
        </w:div>
        <w:div w:id="2033610021">
          <w:marLeft w:val="0"/>
          <w:marRight w:val="0"/>
          <w:marTop w:val="0"/>
          <w:marBottom w:val="0"/>
          <w:divBdr>
            <w:top w:val="none" w:sz="0" w:space="0" w:color="auto"/>
            <w:left w:val="none" w:sz="0" w:space="0" w:color="auto"/>
            <w:bottom w:val="none" w:sz="0" w:space="0" w:color="auto"/>
            <w:right w:val="none" w:sz="0" w:space="0" w:color="auto"/>
          </w:divBdr>
        </w:div>
        <w:div w:id="2042854946">
          <w:marLeft w:val="0"/>
          <w:marRight w:val="0"/>
          <w:marTop w:val="0"/>
          <w:marBottom w:val="0"/>
          <w:divBdr>
            <w:top w:val="none" w:sz="0" w:space="0" w:color="auto"/>
            <w:left w:val="none" w:sz="0" w:space="0" w:color="auto"/>
            <w:bottom w:val="none" w:sz="0" w:space="0" w:color="auto"/>
            <w:right w:val="none" w:sz="0" w:space="0" w:color="auto"/>
          </w:divBdr>
        </w:div>
        <w:div w:id="2067758393">
          <w:marLeft w:val="0"/>
          <w:marRight w:val="0"/>
          <w:marTop w:val="0"/>
          <w:marBottom w:val="0"/>
          <w:divBdr>
            <w:top w:val="none" w:sz="0" w:space="0" w:color="auto"/>
            <w:left w:val="none" w:sz="0" w:space="0" w:color="auto"/>
            <w:bottom w:val="none" w:sz="0" w:space="0" w:color="auto"/>
            <w:right w:val="none" w:sz="0" w:space="0" w:color="auto"/>
          </w:divBdr>
        </w:div>
      </w:divsChild>
    </w:div>
    <w:div w:id="1893614563">
      <w:bodyDiv w:val="1"/>
      <w:marLeft w:val="0"/>
      <w:marRight w:val="0"/>
      <w:marTop w:val="0"/>
      <w:marBottom w:val="0"/>
      <w:divBdr>
        <w:top w:val="none" w:sz="0" w:space="0" w:color="auto"/>
        <w:left w:val="none" w:sz="0" w:space="0" w:color="auto"/>
        <w:bottom w:val="none" w:sz="0" w:space="0" w:color="auto"/>
        <w:right w:val="none" w:sz="0" w:space="0" w:color="auto"/>
      </w:divBdr>
      <w:divsChild>
        <w:div w:id="101731027">
          <w:marLeft w:val="0"/>
          <w:marRight w:val="0"/>
          <w:marTop w:val="0"/>
          <w:marBottom w:val="0"/>
          <w:divBdr>
            <w:top w:val="none" w:sz="0" w:space="0" w:color="auto"/>
            <w:left w:val="none" w:sz="0" w:space="0" w:color="auto"/>
            <w:bottom w:val="none" w:sz="0" w:space="0" w:color="auto"/>
            <w:right w:val="none" w:sz="0" w:space="0" w:color="auto"/>
          </w:divBdr>
        </w:div>
        <w:div w:id="115561609">
          <w:marLeft w:val="0"/>
          <w:marRight w:val="0"/>
          <w:marTop w:val="0"/>
          <w:marBottom w:val="0"/>
          <w:divBdr>
            <w:top w:val="none" w:sz="0" w:space="0" w:color="auto"/>
            <w:left w:val="none" w:sz="0" w:space="0" w:color="auto"/>
            <w:bottom w:val="none" w:sz="0" w:space="0" w:color="auto"/>
            <w:right w:val="none" w:sz="0" w:space="0" w:color="auto"/>
          </w:divBdr>
        </w:div>
        <w:div w:id="262694098">
          <w:marLeft w:val="0"/>
          <w:marRight w:val="0"/>
          <w:marTop w:val="0"/>
          <w:marBottom w:val="0"/>
          <w:divBdr>
            <w:top w:val="none" w:sz="0" w:space="0" w:color="auto"/>
            <w:left w:val="none" w:sz="0" w:space="0" w:color="auto"/>
            <w:bottom w:val="none" w:sz="0" w:space="0" w:color="auto"/>
            <w:right w:val="none" w:sz="0" w:space="0" w:color="auto"/>
          </w:divBdr>
        </w:div>
        <w:div w:id="267011094">
          <w:marLeft w:val="0"/>
          <w:marRight w:val="0"/>
          <w:marTop w:val="0"/>
          <w:marBottom w:val="0"/>
          <w:divBdr>
            <w:top w:val="none" w:sz="0" w:space="0" w:color="auto"/>
            <w:left w:val="none" w:sz="0" w:space="0" w:color="auto"/>
            <w:bottom w:val="none" w:sz="0" w:space="0" w:color="auto"/>
            <w:right w:val="none" w:sz="0" w:space="0" w:color="auto"/>
          </w:divBdr>
        </w:div>
        <w:div w:id="297733301">
          <w:marLeft w:val="0"/>
          <w:marRight w:val="0"/>
          <w:marTop w:val="0"/>
          <w:marBottom w:val="0"/>
          <w:divBdr>
            <w:top w:val="none" w:sz="0" w:space="0" w:color="auto"/>
            <w:left w:val="none" w:sz="0" w:space="0" w:color="auto"/>
            <w:bottom w:val="none" w:sz="0" w:space="0" w:color="auto"/>
            <w:right w:val="none" w:sz="0" w:space="0" w:color="auto"/>
          </w:divBdr>
        </w:div>
        <w:div w:id="325406615">
          <w:marLeft w:val="0"/>
          <w:marRight w:val="0"/>
          <w:marTop w:val="0"/>
          <w:marBottom w:val="0"/>
          <w:divBdr>
            <w:top w:val="none" w:sz="0" w:space="0" w:color="auto"/>
            <w:left w:val="none" w:sz="0" w:space="0" w:color="auto"/>
            <w:bottom w:val="none" w:sz="0" w:space="0" w:color="auto"/>
            <w:right w:val="none" w:sz="0" w:space="0" w:color="auto"/>
          </w:divBdr>
        </w:div>
        <w:div w:id="424034291">
          <w:marLeft w:val="0"/>
          <w:marRight w:val="0"/>
          <w:marTop w:val="0"/>
          <w:marBottom w:val="0"/>
          <w:divBdr>
            <w:top w:val="none" w:sz="0" w:space="0" w:color="auto"/>
            <w:left w:val="none" w:sz="0" w:space="0" w:color="auto"/>
            <w:bottom w:val="none" w:sz="0" w:space="0" w:color="auto"/>
            <w:right w:val="none" w:sz="0" w:space="0" w:color="auto"/>
          </w:divBdr>
        </w:div>
        <w:div w:id="459881916">
          <w:marLeft w:val="0"/>
          <w:marRight w:val="0"/>
          <w:marTop w:val="0"/>
          <w:marBottom w:val="0"/>
          <w:divBdr>
            <w:top w:val="none" w:sz="0" w:space="0" w:color="auto"/>
            <w:left w:val="none" w:sz="0" w:space="0" w:color="auto"/>
            <w:bottom w:val="none" w:sz="0" w:space="0" w:color="auto"/>
            <w:right w:val="none" w:sz="0" w:space="0" w:color="auto"/>
          </w:divBdr>
        </w:div>
        <w:div w:id="573440838">
          <w:marLeft w:val="0"/>
          <w:marRight w:val="0"/>
          <w:marTop w:val="0"/>
          <w:marBottom w:val="0"/>
          <w:divBdr>
            <w:top w:val="none" w:sz="0" w:space="0" w:color="auto"/>
            <w:left w:val="none" w:sz="0" w:space="0" w:color="auto"/>
            <w:bottom w:val="none" w:sz="0" w:space="0" w:color="auto"/>
            <w:right w:val="none" w:sz="0" w:space="0" w:color="auto"/>
          </w:divBdr>
        </w:div>
        <w:div w:id="653223388">
          <w:marLeft w:val="0"/>
          <w:marRight w:val="0"/>
          <w:marTop w:val="0"/>
          <w:marBottom w:val="0"/>
          <w:divBdr>
            <w:top w:val="none" w:sz="0" w:space="0" w:color="auto"/>
            <w:left w:val="none" w:sz="0" w:space="0" w:color="auto"/>
            <w:bottom w:val="none" w:sz="0" w:space="0" w:color="auto"/>
            <w:right w:val="none" w:sz="0" w:space="0" w:color="auto"/>
          </w:divBdr>
        </w:div>
        <w:div w:id="702557017">
          <w:marLeft w:val="0"/>
          <w:marRight w:val="0"/>
          <w:marTop w:val="0"/>
          <w:marBottom w:val="0"/>
          <w:divBdr>
            <w:top w:val="none" w:sz="0" w:space="0" w:color="auto"/>
            <w:left w:val="none" w:sz="0" w:space="0" w:color="auto"/>
            <w:bottom w:val="none" w:sz="0" w:space="0" w:color="auto"/>
            <w:right w:val="none" w:sz="0" w:space="0" w:color="auto"/>
          </w:divBdr>
        </w:div>
        <w:div w:id="741876838">
          <w:marLeft w:val="0"/>
          <w:marRight w:val="0"/>
          <w:marTop w:val="0"/>
          <w:marBottom w:val="0"/>
          <w:divBdr>
            <w:top w:val="none" w:sz="0" w:space="0" w:color="auto"/>
            <w:left w:val="none" w:sz="0" w:space="0" w:color="auto"/>
            <w:bottom w:val="none" w:sz="0" w:space="0" w:color="auto"/>
            <w:right w:val="none" w:sz="0" w:space="0" w:color="auto"/>
          </w:divBdr>
        </w:div>
        <w:div w:id="799878439">
          <w:marLeft w:val="0"/>
          <w:marRight w:val="0"/>
          <w:marTop w:val="0"/>
          <w:marBottom w:val="0"/>
          <w:divBdr>
            <w:top w:val="none" w:sz="0" w:space="0" w:color="auto"/>
            <w:left w:val="none" w:sz="0" w:space="0" w:color="auto"/>
            <w:bottom w:val="none" w:sz="0" w:space="0" w:color="auto"/>
            <w:right w:val="none" w:sz="0" w:space="0" w:color="auto"/>
          </w:divBdr>
        </w:div>
        <w:div w:id="1253121887">
          <w:marLeft w:val="0"/>
          <w:marRight w:val="0"/>
          <w:marTop w:val="0"/>
          <w:marBottom w:val="0"/>
          <w:divBdr>
            <w:top w:val="none" w:sz="0" w:space="0" w:color="auto"/>
            <w:left w:val="none" w:sz="0" w:space="0" w:color="auto"/>
            <w:bottom w:val="none" w:sz="0" w:space="0" w:color="auto"/>
            <w:right w:val="none" w:sz="0" w:space="0" w:color="auto"/>
          </w:divBdr>
        </w:div>
        <w:div w:id="1377851451">
          <w:marLeft w:val="0"/>
          <w:marRight w:val="0"/>
          <w:marTop w:val="0"/>
          <w:marBottom w:val="0"/>
          <w:divBdr>
            <w:top w:val="none" w:sz="0" w:space="0" w:color="auto"/>
            <w:left w:val="none" w:sz="0" w:space="0" w:color="auto"/>
            <w:bottom w:val="none" w:sz="0" w:space="0" w:color="auto"/>
            <w:right w:val="none" w:sz="0" w:space="0" w:color="auto"/>
          </w:divBdr>
        </w:div>
        <w:div w:id="1397360684">
          <w:marLeft w:val="0"/>
          <w:marRight w:val="0"/>
          <w:marTop w:val="0"/>
          <w:marBottom w:val="0"/>
          <w:divBdr>
            <w:top w:val="none" w:sz="0" w:space="0" w:color="auto"/>
            <w:left w:val="none" w:sz="0" w:space="0" w:color="auto"/>
            <w:bottom w:val="none" w:sz="0" w:space="0" w:color="auto"/>
            <w:right w:val="none" w:sz="0" w:space="0" w:color="auto"/>
          </w:divBdr>
        </w:div>
        <w:div w:id="1599943270">
          <w:marLeft w:val="0"/>
          <w:marRight w:val="0"/>
          <w:marTop w:val="0"/>
          <w:marBottom w:val="0"/>
          <w:divBdr>
            <w:top w:val="none" w:sz="0" w:space="0" w:color="auto"/>
            <w:left w:val="none" w:sz="0" w:space="0" w:color="auto"/>
            <w:bottom w:val="none" w:sz="0" w:space="0" w:color="auto"/>
            <w:right w:val="none" w:sz="0" w:space="0" w:color="auto"/>
          </w:divBdr>
        </w:div>
        <w:div w:id="1622765572">
          <w:marLeft w:val="0"/>
          <w:marRight w:val="0"/>
          <w:marTop w:val="0"/>
          <w:marBottom w:val="0"/>
          <w:divBdr>
            <w:top w:val="none" w:sz="0" w:space="0" w:color="auto"/>
            <w:left w:val="none" w:sz="0" w:space="0" w:color="auto"/>
            <w:bottom w:val="none" w:sz="0" w:space="0" w:color="auto"/>
            <w:right w:val="none" w:sz="0" w:space="0" w:color="auto"/>
          </w:divBdr>
        </w:div>
        <w:div w:id="1643460501">
          <w:marLeft w:val="0"/>
          <w:marRight w:val="0"/>
          <w:marTop w:val="0"/>
          <w:marBottom w:val="0"/>
          <w:divBdr>
            <w:top w:val="none" w:sz="0" w:space="0" w:color="auto"/>
            <w:left w:val="none" w:sz="0" w:space="0" w:color="auto"/>
            <w:bottom w:val="none" w:sz="0" w:space="0" w:color="auto"/>
            <w:right w:val="none" w:sz="0" w:space="0" w:color="auto"/>
          </w:divBdr>
        </w:div>
        <w:div w:id="1660426151">
          <w:marLeft w:val="0"/>
          <w:marRight w:val="0"/>
          <w:marTop w:val="0"/>
          <w:marBottom w:val="0"/>
          <w:divBdr>
            <w:top w:val="none" w:sz="0" w:space="0" w:color="auto"/>
            <w:left w:val="none" w:sz="0" w:space="0" w:color="auto"/>
            <w:bottom w:val="none" w:sz="0" w:space="0" w:color="auto"/>
            <w:right w:val="none" w:sz="0" w:space="0" w:color="auto"/>
          </w:divBdr>
        </w:div>
        <w:div w:id="1697345409">
          <w:marLeft w:val="0"/>
          <w:marRight w:val="0"/>
          <w:marTop w:val="0"/>
          <w:marBottom w:val="0"/>
          <w:divBdr>
            <w:top w:val="none" w:sz="0" w:space="0" w:color="auto"/>
            <w:left w:val="none" w:sz="0" w:space="0" w:color="auto"/>
            <w:bottom w:val="none" w:sz="0" w:space="0" w:color="auto"/>
            <w:right w:val="none" w:sz="0" w:space="0" w:color="auto"/>
          </w:divBdr>
        </w:div>
        <w:div w:id="1786264786">
          <w:marLeft w:val="0"/>
          <w:marRight w:val="0"/>
          <w:marTop w:val="0"/>
          <w:marBottom w:val="0"/>
          <w:divBdr>
            <w:top w:val="none" w:sz="0" w:space="0" w:color="auto"/>
            <w:left w:val="none" w:sz="0" w:space="0" w:color="auto"/>
            <w:bottom w:val="none" w:sz="0" w:space="0" w:color="auto"/>
            <w:right w:val="none" w:sz="0" w:space="0" w:color="auto"/>
          </w:divBdr>
        </w:div>
        <w:div w:id="1850943337">
          <w:marLeft w:val="0"/>
          <w:marRight w:val="0"/>
          <w:marTop w:val="0"/>
          <w:marBottom w:val="0"/>
          <w:divBdr>
            <w:top w:val="none" w:sz="0" w:space="0" w:color="auto"/>
            <w:left w:val="none" w:sz="0" w:space="0" w:color="auto"/>
            <w:bottom w:val="none" w:sz="0" w:space="0" w:color="auto"/>
            <w:right w:val="none" w:sz="0" w:space="0" w:color="auto"/>
          </w:divBdr>
        </w:div>
        <w:div w:id="1930890239">
          <w:marLeft w:val="0"/>
          <w:marRight w:val="0"/>
          <w:marTop w:val="0"/>
          <w:marBottom w:val="0"/>
          <w:divBdr>
            <w:top w:val="none" w:sz="0" w:space="0" w:color="auto"/>
            <w:left w:val="none" w:sz="0" w:space="0" w:color="auto"/>
            <w:bottom w:val="none" w:sz="0" w:space="0" w:color="auto"/>
            <w:right w:val="none" w:sz="0" w:space="0" w:color="auto"/>
          </w:divBdr>
        </w:div>
        <w:div w:id="2086760724">
          <w:marLeft w:val="0"/>
          <w:marRight w:val="0"/>
          <w:marTop w:val="0"/>
          <w:marBottom w:val="0"/>
          <w:divBdr>
            <w:top w:val="none" w:sz="0" w:space="0" w:color="auto"/>
            <w:left w:val="none" w:sz="0" w:space="0" w:color="auto"/>
            <w:bottom w:val="none" w:sz="0" w:space="0" w:color="auto"/>
            <w:right w:val="none" w:sz="0" w:space="0" w:color="auto"/>
          </w:divBdr>
        </w:div>
        <w:div w:id="2145388515">
          <w:marLeft w:val="0"/>
          <w:marRight w:val="0"/>
          <w:marTop w:val="0"/>
          <w:marBottom w:val="0"/>
          <w:divBdr>
            <w:top w:val="none" w:sz="0" w:space="0" w:color="auto"/>
            <w:left w:val="none" w:sz="0" w:space="0" w:color="auto"/>
            <w:bottom w:val="none" w:sz="0" w:space="0" w:color="auto"/>
            <w:right w:val="none" w:sz="0" w:space="0" w:color="auto"/>
          </w:divBdr>
        </w:div>
      </w:divsChild>
    </w:div>
    <w:div w:id="1952201224">
      <w:bodyDiv w:val="1"/>
      <w:marLeft w:val="0"/>
      <w:marRight w:val="0"/>
      <w:marTop w:val="0"/>
      <w:marBottom w:val="0"/>
      <w:divBdr>
        <w:top w:val="none" w:sz="0" w:space="0" w:color="auto"/>
        <w:left w:val="none" w:sz="0" w:space="0" w:color="auto"/>
        <w:bottom w:val="none" w:sz="0" w:space="0" w:color="auto"/>
        <w:right w:val="none" w:sz="0" w:space="0" w:color="auto"/>
      </w:divBdr>
      <w:divsChild>
        <w:div w:id="115412379">
          <w:marLeft w:val="0"/>
          <w:marRight w:val="0"/>
          <w:marTop w:val="0"/>
          <w:marBottom w:val="0"/>
          <w:divBdr>
            <w:top w:val="none" w:sz="0" w:space="0" w:color="auto"/>
            <w:left w:val="none" w:sz="0" w:space="0" w:color="auto"/>
            <w:bottom w:val="none" w:sz="0" w:space="0" w:color="auto"/>
            <w:right w:val="none" w:sz="0" w:space="0" w:color="auto"/>
          </w:divBdr>
        </w:div>
        <w:div w:id="456147023">
          <w:marLeft w:val="0"/>
          <w:marRight w:val="0"/>
          <w:marTop w:val="0"/>
          <w:marBottom w:val="0"/>
          <w:divBdr>
            <w:top w:val="none" w:sz="0" w:space="0" w:color="auto"/>
            <w:left w:val="none" w:sz="0" w:space="0" w:color="auto"/>
            <w:bottom w:val="none" w:sz="0" w:space="0" w:color="auto"/>
            <w:right w:val="none" w:sz="0" w:space="0" w:color="auto"/>
          </w:divBdr>
        </w:div>
        <w:div w:id="1048604293">
          <w:marLeft w:val="0"/>
          <w:marRight w:val="0"/>
          <w:marTop w:val="0"/>
          <w:marBottom w:val="0"/>
          <w:divBdr>
            <w:top w:val="none" w:sz="0" w:space="0" w:color="auto"/>
            <w:left w:val="none" w:sz="0" w:space="0" w:color="auto"/>
            <w:bottom w:val="none" w:sz="0" w:space="0" w:color="auto"/>
            <w:right w:val="none" w:sz="0" w:space="0" w:color="auto"/>
          </w:divBdr>
        </w:div>
      </w:divsChild>
    </w:div>
    <w:div w:id="2002342972">
      <w:bodyDiv w:val="1"/>
      <w:marLeft w:val="0"/>
      <w:marRight w:val="0"/>
      <w:marTop w:val="0"/>
      <w:marBottom w:val="0"/>
      <w:divBdr>
        <w:top w:val="none" w:sz="0" w:space="0" w:color="auto"/>
        <w:left w:val="none" w:sz="0" w:space="0" w:color="auto"/>
        <w:bottom w:val="none" w:sz="0" w:space="0" w:color="auto"/>
        <w:right w:val="none" w:sz="0" w:space="0" w:color="auto"/>
      </w:divBdr>
      <w:divsChild>
        <w:div w:id="688213037">
          <w:marLeft w:val="0"/>
          <w:marRight w:val="0"/>
          <w:marTop w:val="0"/>
          <w:marBottom w:val="0"/>
          <w:divBdr>
            <w:top w:val="none" w:sz="0" w:space="0" w:color="auto"/>
            <w:left w:val="none" w:sz="0" w:space="0" w:color="auto"/>
            <w:bottom w:val="none" w:sz="0" w:space="0" w:color="auto"/>
            <w:right w:val="none" w:sz="0" w:space="0" w:color="auto"/>
          </w:divBdr>
        </w:div>
        <w:div w:id="779687985">
          <w:marLeft w:val="0"/>
          <w:marRight w:val="0"/>
          <w:marTop w:val="0"/>
          <w:marBottom w:val="0"/>
          <w:divBdr>
            <w:top w:val="none" w:sz="0" w:space="0" w:color="auto"/>
            <w:left w:val="none" w:sz="0" w:space="0" w:color="auto"/>
            <w:bottom w:val="none" w:sz="0" w:space="0" w:color="auto"/>
            <w:right w:val="none" w:sz="0" w:space="0" w:color="auto"/>
          </w:divBdr>
        </w:div>
      </w:divsChild>
    </w:div>
    <w:div w:id="2097171509">
      <w:bodyDiv w:val="1"/>
      <w:marLeft w:val="0"/>
      <w:marRight w:val="0"/>
      <w:marTop w:val="0"/>
      <w:marBottom w:val="0"/>
      <w:divBdr>
        <w:top w:val="none" w:sz="0" w:space="0" w:color="auto"/>
        <w:left w:val="none" w:sz="0" w:space="0" w:color="auto"/>
        <w:bottom w:val="none" w:sz="0" w:space="0" w:color="auto"/>
        <w:right w:val="none" w:sz="0" w:space="0" w:color="auto"/>
      </w:divBdr>
      <w:divsChild>
        <w:div w:id="670261607">
          <w:marLeft w:val="0"/>
          <w:marRight w:val="0"/>
          <w:marTop w:val="15"/>
          <w:marBottom w:val="0"/>
          <w:divBdr>
            <w:top w:val="none" w:sz="0" w:space="0" w:color="auto"/>
            <w:left w:val="none" w:sz="0" w:space="0" w:color="auto"/>
            <w:bottom w:val="none" w:sz="0" w:space="0" w:color="auto"/>
            <w:right w:val="none" w:sz="0" w:space="0" w:color="auto"/>
          </w:divBdr>
          <w:divsChild>
            <w:div w:id="809447602">
              <w:marLeft w:val="0"/>
              <w:marRight w:val="0"/>
              <w:marTop w:val="0"/>
              <w:marBottom w:val="0"/>
              <w:divBdr>
                <w:top w:val="none" w:sz="0" w:space="0" w:color="auto"/>
                <w:left w:val="none" w:sz="0" w:space="0" w:color="auto"/>
                <w:bottom w:val="none" w:sz="0" w:space="0" w:color="auto"/>
                <w:right w:val="none" w:sz="0" w:space="0" w:color="auto"/>
              </w:divBdr>
              <w:divsChild>
                <w:div w:id="440298298">
                  <w:marLeft w:val="0"/>
                  <w:marRight w:val="0"/>
                  <w:marTop w:val="0"/>
                  <w:marBottom w:val="0"/>
                  <w:divBdr>
                    <w:top w:val="none" w:sz="0" w:space="0" w:color="auto"/>
                    <w:left w:val="none" w:sz="0" w:space="0" w:color="auto"/>
                    <w:bottom w:val="none" w:sz="0" w:space="0" w:color="auto"/>
                    <w:right w:val="none" w:sz="0" w:space="0" w:color="auto"/>
                  </w:divBdr>
                </w:div>
                <w:div w:id="884367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5.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s>
</file>

<file path=word/_rels/footnotes.xml.rels><?xml version="1.0" encoding="UTF-8" standalone="yes"?>
<Relationships xmlns="http://schemas.openxmlformats.org/package/2006/relationships"><Relationship Id="rId3" Type="http://schemas.openxmlformats.org/officeDocument/2006/relationships/hyperlink" Target="https://www.childabuseroyalcommission.gov.au/policy-and-research/our-policywork/criminal-justice" TargetMode="External"/><Relationship Id="rId2" Type="http://schemas.openxmlformats.org/officeDocument/2006/relationships/hyperlink" Target="https://www.childabuseroyalcommission.gov.au/impacts" TargetMode="External"/><Relationship Id="rId1" Type="http://schemas.openxmlformats.org/officeDocument/2006/relationships/hyperlink" Target="https://www.childabuseroyalcommission.gov.au/policy-and-research/our-policywork/criminal-justice"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3A092C83CAA749C5B34EA94F1A89E872"/>
        <w:category>
          <w:name w:val="General"/>
          <w:gallery w:val="placeholder"/>
        </w:category>
        <w:types>
          <w:type w:val="bbPlcHdr"/>
        </w:types>
        <w:behaviors>
          <w:behavior w:val="content"/>
        </w:behaviors>
        <w:guid w:val="{58BA9B40-C80B-4AA9-984D-0CD067CC5776}"/>
      </w:docPartPr>
      <w:docPartBody>
        <w:p w:rsidR="00E40E3C" w:rsidRDefault="00E40E3C" w:rsidP="00E40E3C">
          <w:pPr>
            <w:pStyle w:val="3A092C83CAA749C5B34EA94F1A89E872"/>
          </w:pPr>
          <w:r w:rsidRPr="004A13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New Roman"/>
    <w:panose1 w:val="02020603050405020304"/>
    <w:charset w:val="00"/>
    <w:family w:val="roman"/>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0002EFF" w:usb1="C000247B"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Arial">
    <w:altName w:val="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HelveticaNeueLT Pro 45 Lt">
    <w:altName w:val="Arial"/>
    <w:panose1 w:val="00000000000000000000"/>
    <w:charset w:val="00"/>
    <w:family w:val="swiss"/>
    <w:notTrueType/>
    <w:pitch w:val="default"/>
    <w:sig w:usb0="00000003" w:usb1="00000000" w:usb2="00000000" w:usb3="00000000" w:csb0="0000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0E3C"/>
    <w:rsid w:val="000649FB"/>
    <w:rsid w:val="00172A4B"/>
    <w:rsid w:val="00277716"/>
    <w:rsid w:val="00332A47"/>
    <w:rsid w:val="004D4736"/>
    <w:rsid w:val="00501A85"/>
    <w:rsid w:val="005A746B"/>
    <w:rsid w:val="006554DD"/>
    <w:rsid w:val="00781CC1"/>
    <w:rsid w:val="008A78FC"/>
    <w:rsid w:val="009B398B"/>
    <w:rsid w:val="00A36FD2"/>
    <w:rsid w:val="00B12374"/>
    <w:rsid w:val="00DA5535"/>
    <w:rsid w:val="00E40E3C"/>
    <w:rsid w:val="00E71B3C"/>
    <w:rsid w:val="00F719B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40E3C"/>
    <w:rPr>
      <w:color w:val="808080"/>
    </w:rPr>
  </w:style>
  <w:style w:type="paragraph" w:customStyle="1" w:styleId="3A092C83CAA749C5B34EA94F1A89E872">
    <w:name w:val="3A092C83CAA749C5B34EA94F1A89E872"/>
    <w:rsid w:val="00E40E3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FE54EF-F09E-41B6-A939-775F847CBC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38</Pages>
  <Words>13453</Words>
  <Characters>69850</Characters>
  <Application>Microsoft Office Word</Application>
  <DocSecurity>0</DocSecurity>
  <Lines>1132</Lines>
  <Paragraphs>352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83277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5</cp:revision>
  <cp:lastPrinted>2020-04-16T01:25:00Z</cp:lastPrinted>
  <dcterms:created xsi:type="dcterms:W3CDTF">2020-07-02T03:26:00Z</dcterms:created>
  <dcterms:modified xsi:type="dcterms:W3CDTF">2020-07-02T03:26:00Z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ID">
    <vt:lpwstr>1211013</vt:lpwstr>
  </property>
  <property fmtid="{D5CDD505-2E9C-101B-9397-08002B2CF9AE}" pid="3" name="CHECKEDOUTFROMJMS">
    <vt:lpwstr/>
  </property>
  <property fmtid="{D5CDD505-2E9C-101B-9397-08002B2CF9AE}" pid="4" name="JMSREQUIREDCHECKIN">
    <vt:lpwstr/>
  </property>
</Properties>
</file>