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549" w:rsidRDefault="002B5B59">
      <w:pPr>
        <w:pStyle w:val="BodyText"/>
        <w:spacing w:before="57"/>
        <w:ind w:left="160"/>
        <w:rPr>
          <w:rFonts w:ascii="Arial" w:hAnsi="Arial" w:cs="Arial"/>
        </w:rPr>
      </w:pPr>
      <w:bookmarkStart w:id="0" w:name="_GoBack"/>
      <w:bookmarkEnd w:id="0"/>
      <w:r>
        <w:rPr>
          <w:rFonts w:ascii="Arial"/>
          <w:spacing w:val="-1"/>
        </w:rPr>
        <w:t>Australian</w:t>
      </w:r>
      <w:r>
        <w:rPr>
          <w:rFonts w:ascii="Arial"/>
          <w:spacing w:val="1"/>
        </w:rPr>
        <w:t xml:space="preserve"> </w:t>
      </w:r>
      <w:r>
        <w:rPr>
          <w:rFonts w:ascii="Arial"/>
          <w:spacing w:val="-1"/>
        </w:rPr>
        <w:t>Capital</w:t>
      </w:r>
      <w:r>
        <w:rPr>
          <w:rFonts w:ascii="Arial"/>
          <w:spacing w:val="1"/>
        </w:rPr>
        <w:t xml:space="preserve"> </w:t>
      </w:r>
      <w:r>
        <w:rPr>
          <w:rFonts w:ascii="Arial"/>
          <w:spacing w:val="-1"/>
        </w:rPr>
        <w:t>Territory</w:t>
      </w:r>
    </w:p>
    <w:p w:rsidR="000B0549" w:rsidRDefault="000B0549">
      <w:pPr>
        <w:rPr>
          <w:rFonts w:ascii="Arial" w:hAnsi="Arial" w:cs="Arial"/>
          <w:sz w:val="24"/>
          <w:szCs w:val="24"/>
        </w:rPr>
      </w:pPr>
    </w:p>
    <w:p w:rsidR="000B0549" w:rsidRDefault="000B0549">
      <w:pPr>
        <w:rPr>
          <w:rFonts w:ascii="Arial" w:hAnsi="Arial" w:cs="Arial"/>
          <w:sz w:val="24"/>
          <w:szCs w:val="24"/>
        </w:rPr>
      </w:pPr>
    </w:p>
    <w:p w:rsidR="000B0549" w:rsidRDefault="002B5B59">
      <w:pPr>
        <w:spacing w:before="150"/>
        <w:ind w:left="160" w:right="248"/>
        <w:rPr>
          <w:rFonts w:ascii="Arial" w:hAnsi="Arial" w:cs="Arial"/>
          <w:sz w:val="40"/>
          <w:szCs w:val="40"/>
        </w:rPr>
      </w:pPr>
      <w:r>
        <w:rPr>
          <w:rFonts w:ascii="Arial"/>
          <w:b/>
          <w:sz w:val="40"/>
        </w:rPr>
        <w:t>Energy</w:t>
      </w:r>
      <w:r>
        <w:rPr>
          <w:rFonts w:ascii="Arial"/>
          <w:b/>
          <w:spacing w:val="-15"/>
          <w:sz w:val="40"/>
        </w:rPr>
        <w:t xml:space="preserve"> </w:t>
      </w:r>
      <w:r>
        <w:rPr>
          <w:rFonts w:ascii="Arial"/>
          <w:b/>
          <w:sz w:val="40"/>
        </w:rPr>
        <w:t>Efficiency</w:t>
      </w:r>
      <w:r>
        <w:rPr>
          <w:rFonts w:ascii="Arial"/>
          <w:b/>
          <w:spacing w:val="-15"/>
          <w:sz w:val="40"/>
        </w:rPr>
        <w:t xml:space="preserve"> </w:t>
      </w:r>
      <w:r>
        <w:rPr>
          <w:rFonts w:ascii="Arial"/>
          <w:b/>
          <w:sz w:val="40"/>
        </w:rPr>
        <w:t>(Cost</w:t>
      </w:r>
      <w:r>
        <w:rPr>
          <w:rFonts w:ascii="Arial"/>
          <w:b/>
          <w:spacing w:val="-15"/>
          <w:sz w:val="40"/>
        </w:rPr>
        <w:t xml:space="preserve"> </w:t>
      </w:r>
      <w:r>
        <w:rPr>
          <w:rFonts w:ascii="Arial"/>
          <w:b/>
          <w:sz w:val="40"/>
        </w:rPr>
        <w:t>of</w:t>
      </w:r>
      <w:r>
        <w:rPr>
          <w:rFonts w:ascii="Arial"/>
          <w:b/>
          <w:spacing w:val="-15"/>
          <w:sz w:val="40"/>
        </w:rPr>
        <w:t xml:space="preserve"> </w:t>
      </w:r>
      <w:r>
        <w:rPr>
          <w:rFonts w:ascii="Arial"/>
          <w:b/>
          <w:sz w:val="40"/>
        </w:rPr>
        <w:t>Living)</w:t>
      </w:r>
      <w:r>
        <w:rPr>
          <w:rFonts w:ascii="Arial"/>
          <w:b/>
          <w:w w:val="99"/>
          <w:sz w:val="40"/>
        </w:rPr>
        <w:t xml:space="preserve"> </w:t>
      </w:r>
      <w:r>
        <w:rPr>
          <w:rFonts w:ascii="Arial"/>
          <w:b/>
          <w:sz w:val="40"/>
        </w:rPr>
        <w:t>Improvement</w:t>
      </w:r>
      <w:r>
        <w:rPr>
          <w:rFonts w:ascii="Arial"/>
          <w:b/>
          <w:spacing w:val="-28"/>
          <w:sz w:val="40"/>
        </w:rPr>
        <w:t xml:space="preserve"> </w:t>
      </w:r>
      <w:r>
        <w:rPr>
          <w:rFonts w:ascii="Arial"/>
          <w:b/>
          <w:sz w:val="40"/>
        </w:rPr>
        <w:t>(Energy</w:t>
      </w:r>
      <w:r>
        <w:rPr>
          <w:rFonts w:ascii="Arial"/>
          <w:b/>
          <w:spacing w:val="-28"/>
          <w:sz w:val="40"/>
        </w:rPr>
        <w:t xml:space="preserve"> </w:t>
      </w:r>
      <w:r>
        <w:rPr>
          <w:rFonts w:ascii="Arial"/>
          <w:b/>
          <w:sz w:val="40"/>
        </w:rPr>
        <w:t>Savings</w:t>
      </w:r>
      <w:r>
        <w:rPr>
          <w:rFonts w:ascii="Arial"/>
          <w:b/>
          <w:w w:val="99"/>
          <w:sz w:val="40"/>
        </w:rPr>
        <w:t xml:space="preserve"> </w:t>
      </w:r>
      <w:r>
        <w:rPr>
          <w:rFonts w:ascii="Arial"/>
          <w:b/>
          <w:sz w:val="40"/>
        </w:rPr>
        <w:t>Contribution)</w:t>
      </w:r>
      <w:r>
        <w:rPr>
          <w:rFonts w:ascii="Arial"/>
          <w:b/>
          <w:spacing w:val="-18"/>
          <w:sz w:val="40"/>
        </w:rPr>
        <w:t xml:space="preserve"> </w:t>
      </w:r>
      <w:r>
        <w:rPr>
          <w:rFonts w:ascii="Arial"/>
          <w:b/>
          <w:sz w:val="40"/>
        </w:rPr>
        <w:t>Determination</w:t>
      </w:r>
      <w:r>
        <w:rPr>
          <w:rFonts w:ascii="Arial"/>
          <w:b/>
          <w:spacing w:val="-18"/>
          <w:sz w:val="40"/>
        </w:rPr>
        <w:t xml:space="preserve"> </w:t>
      </w:r>
      <w:r>
        <w:rPr>
          <w:rFonts w:ascii="Arial"/>
          <w:b/>
          <w:sz w:val="40"/>
        </w:rPr>
        <w:t>20</w:t>
      </w:r>
      <w:r w:rsidR="001A0D88">
        <w:rPr>
          <w:rFonts w:ascii="Arial"/>
          <w:b/>
          <w:sz w:val="40"/>
        </w:rPr>
        <w:t>20</w:t>
      </w:r>
      <w:r>
        <w:rPr>
          <w:rFonts w:ascii="Arial"/>
          <w:b/>
          <w:spacing w:val="-18"/>
          <w:sz w:val="40"/>
        </w:rPr>
        <w:t xml:space="preserve"> </w:t>
      </w:r>
      <w:r>
        <w:rPr>
          <w:rFonts w:ascii="Arial"/>
          <w:b/>
          <w:sz w:val="40"/>
        </w:rPr>
        <w:t>(No</w:t>
      </w:r>
      <w:r>
        <w:rPr>
          <w:rFonts w:ascii="Arial"/>
          <w:b/>
          <w:spacing w:val="-18"/>
          <w:sz w:val="40"/>
        </w:rPr>
        <w:t xml:space="preserve"> </w:t>
      </w:r>
      <w:r>
        <w:rPr>
          <w:rFonts w:ascii="Arial"/>
          <w:b/>
          <w:sz w:val="40"/>
        </w:rPr>
        <w:t>1)</w:t>
      </w:r>
    </w:p>
    <w:p w:rsidR="000B0549" w:rsidRDefault="002B5B59">
      <w:pPr>
        <w:pStyle w:val="Heading2"/>
        <w:spacing w:before="240"/>
        <w:rPr>
          <w:b w:val="0"/>
          <w:bCs w:val="0"/>
        </w:rPr>
      </w:pPr>
      <w:r>
        <w:rPr>
          <w:spacing w:val="-1"/>
        </w:rPr>
        <w:t>Disallowable</w:t>
      </w:r>
      <w:r>
        <w:t xml:space="preserve"> </w:t>
      </w:r>
      <w:r>
        <w:rPr>
          <w:spacing w:val="-1"/>
        </w:rPr>
        <w:t>Instrument</w:t>
      </w:r>
      <w:r>
        <w:t xml:space="preserve"> </w:t>
      </w:r>
      <w:r>
        <w:rPr>
          <w:spacing w:val="-1"/>
        </w:rPr>
        <w:t>DI20</w:t>
      </w:r>
      <w:r w:rsidR="001A0D88">
        <w:rPr>
          <w:spacing w:val="-1"/>
        </w:rPr>
        <w:t>20</w:t>
      </w:r>
      <w:r>
        <w:rPr>
          <w:spacing w:val="-1"/>
        </w:rPr>
        <w:t>–</w:t>
      </w:r>
      <w:r w:rsidR="00407323">
        <w:rPr>
          <w:spacing w:val="-1"/>
        </w:rPr>
        <w:t>220</w:t>
      </w:r>
    </w:p>
    <w:p w:rsidR="000B0549" w:rsidRDefault="000B0549">
      <w:pPr>
        <w:spacing w:before="7"/>
        <w:rPr>
          <w:rFonts w:ascii="Arial" w:hAnsi="Arial" w:cs="Arial"/>
          <w:b/>
          <w:bCs/>
          <w:sz w:val="20"/>
          <w:szCs w:val="20"/>
        </w:rPr>
      </w:pPr>
    </w:p>
    <w:p w:rsidR="000B0549" w:rsidRDefault="002B5B59">
      <w:pPr>
        <w:pStyle w:val="BodyText"/>
        <w:spacing w:before="0"/>
        <w:ind w:left="160"/>
      </w:pPr>
      <w:r>
        <w:rPr>
          <w:spacing w:val="-1"/>
        </w:rPr>
        <w:t xml:space="preserve">made </w:t>
      </w:r>
      <w:r>
        <w:t>under</w:t>
      </w:r>
      <w:r>
        <w:rPr>
          <w:spacing w:val="-1"/>
        </w:rPr>
        <w:t xml:space="preserve"> </w:t>
      </w:r>
      <w:r>
        <w:t>the</w:t>
      </w:r>
    </w:p>
    <w:p w:rsidR="000B0549" w:rsidRDefault="000B0549">
      <w:pPr>
        <w:spacing w:before="11"/>
        <w:rPr>
          <w:rFonts w:ascii="Times New Roman" w:hAnsi="Times New Roman"/>
          <w:sz w:val="20"/>
          <w:szCs w:val="20"/>
        </w:rPr>
      </w:pPr>
    </w:p>
    <w:p w:rsidR="000B0549" w:rsidRDefault="002B5B59" w:rsidP="00B33730">
      <w:pPr>
        <w:pStyle w:val="Heading2"/>
        <w:rPr>
          <w:rFonts w:cs="Arial"/>
          <w:sz w:val="20"/>
          <w:szCs w:val="20"/>
        </w:rPr>
      </w:pPr>
      <w:r w:rsidRPr="00B33730">
        <w:rPr>
          <w:sz w:val="20"/>
          <w:szCs w:val="20"/>
        </w:rPr>
        <w:t>Energy</w:t>
      </w:r>
      <w:r w:rsidRPr="00B33730">
        <w:rPr>
          <w:spacing w:val="-1"/>
          <w:sz w:val="20"/>
          <w:szCs w:val="20"/>
        </w:rPr>
        <w:t xml:space="preserve"> </w:t>
      </w:r>
      <w:r w:rsidRPr="00B33730">
        <w:rPr>
          <w:sz w:val="20"/>
          <w:szCs w:val="20"/>
        </w:rPr>
        <w:t>Efficiency</w:t>
      </w:r>
      <w:r w:rsidRPr="00B33730">
        <w:rPr>
          <w:spacing w:val="-3"/>
          <w:sz w:val="20"/>
          <w:szCs w:val="20"/>
        </w:rPr>
        <w:t xml:space="preserve"> </w:t>
      </w:r>
      <w:r w:rsidRPr="00B33730">
        <w:rPr>
          <w:sz w:val="20"/>
          <w:szCs w:val="20"/>
        </w:rPr>
        <w:t>(Cost of Living) Improvement Act 2012</w:t>
      </w:r>
      <w:r w:rsidR="00027CAE">
        <w:rPr>
          <w:sz w:val="20"/>
          <w:szCs w:val="20"/>
        </w:rPr>
        <w:t>,</w:t>
      </w:r>
      <w:r w:rsidR="00B33730">
        <w:rPr>
          <w:sz w:val="20"/>
          <w:szCs w:val="20"/>
        </w:rPr>
        <w:t xml:space="preserve"> </w:t>
      </w:r>
      <w:r w:rsidR="00B33730">
        <w:rPr>
          <w:spacing w:val="-1"/>
          <w:sz w:val="20"/>
        </w:rPr>
        <w:t>s</w:t>
      </w:r>
      <w:r>
        <w:rPr>
          <w:spacing w:val="-1"/>
          <w:sz w:val="20"/>
        </w:rPr>
        <w:t>11</w:t>
      </w:r>
      <w:r>
        <w:rPr>
          <w:spacing w:val="-2"/>
          <w:sz w:val="20"/>
        </w:rPr>
        <w:t xml:space="preserve"> </w:t>
      </w:r>
      <w:r>
        <w:rPr>
          <w:spacing w:val="-1"/>
          <w:sz w:val="20"/>
        </w:rPr>
        <w:t>(Energy</w:t>
      </w:r>
      <w:r>
        <w:rPr>
          <w:spacing w:val="-4"/>
          <w:sz w:val="20"/>
        </w:rPr>
        <w:t xml:space="preserve"> </w:t>
      </w:r>
      <w:r>
        <w:rPr>
          <w:spacing w:val="-1"/>
          <w:sz w:val="20"/>
        </w:rPr>
        <w:t xml:space="preserve">savings </w:t>
      </w:r>
      <w:r>
        <w:rPr>
          <w:spacing w:val="-2"/>
          <w:sz w:val="20"/>
        </w:rPr>
        <w:t>contribution)</w:t>
      </w:r>
    </w:p>
    <w:p w:rsidR="000B0549" w:rsidRDefault="000B0549">
      <w:pPr>
        <w:spacing w:before="7"/>
        <w:rPr>
          <w:rFonts w:ascii="Arial" w:hAnsi="Arial" w:cs="Arial"/>
          <w:b/>
          <w:bCs/>
          <w:sz w:val="25"/>
          <w:szCs w:val="25"/>
        </w:rPr>
      </w:pPr>
    </w:p>
    <w:p w:rsidR="000B0549" w:rsidRDefault="002B5B59">
      <w:pPr>
        <w:pStyle w:val="Heading2"/>
        <w:rPr>
          <w:b w:val="0"/>
          <w:bCs w:val="0"/>
        </w:rPr>
      </w:pPr>
      <w:r>
        <w:rPr>
          <w:spacing w:val="-1"/>
        </w:rPr>
        <w:t>EXPLANATORY</w:t>
      </w:r>
      <w:r>
        <w:t xml:space="preserve"> </w:t>
      </w:r>
      <w:r>
        <w:rPr>
          <w:spacing w:val="-1"/>
        </w:rPr>
        <w:t>STATEMENT</w:t>
      </w:r>
    </w:p>
    <w:p w:rsidR="000B0549" w:rsidRDefault="000B0549">
      <w:pPr>
        <w:spacing w:before="3"/>
        <w:rPr>
          <w:rFonts w:ascii="Arial" w:hAnsi="Arial" w:cs="Arial"/>
          <w:b/>
          <w:bCs/>
          <w:sz w:val="29"/>
          <w:szCs w:val="29"/>
        </w:rPr>
      </w:pPr>
    </w:p>
    <w:p w:rsidR="000B0549" w:rsidRDefault="00E27334">
      <w:pPr>
        <w:spacing w:line="30" w:lineRule="atLeast"/>
        <w:ind w:left="114"/>
        <w:rPr>
          <w:rFonts w:ascii="Arial" w:hAnsi="Arial" w:cs="Arial"/>
          <w:sz w:val="3"/>
          <w:szCs w:val="3"/>
        </w:rPr>
      </w:pPr>
      <w:r>
        <w:rPr>
          <w:noProof/>
        </w:rPr>
      </w:r>
      <w:r w:rsidR="008D5034">
        <w:rPr>
          <w:rFonts w:ascii="Arial" w:hAnsi="Arial" w:cs="Arial"/>
          <w:sz w:val="3"/>
          <w:szCs w:val="3"/>
        </w:rPr>
        <w:pict>
          <v:group id="_x0000_s1026" style="width:420pt;height:1.6pt;mso-position-horizontal-relative:char;mso-position-vertical-relative:line" coordsize="8400,32">
            <v:group id="_x0000_s1027" style="position:absolute;left:16;top:16;width:8368;height:2" coordorigin="16,16" coordsize="8368,2">
              <v:shape id="_x0000_s1028" style="position:absolute;left:16;top:16;width:8368;height:2" coordorigin="16,16" coordsize="8368,0" path="m16,16r8368,e" filled="f" strokeweight="1.6pt">
                <v:path arrowok="t"/>
              </v:shape>
            </v:group>
            <w10:anchorlock/>
          </v:group>
        </w:pict>
      </w:r>
    </w:p>
    <w:p w:rsidR="000B0549" w:rsidRDefault="000B0549">
      <w:pPr>
        <w:spacing w:before="10"/>
        <w:rPr>
          <w:rFonts w:ascii="Arial" w:hAnsi="Arial" w:cs="Arial"/>
          <w:b/>
          <w:bCs/>
          <w:sz w:val="29"/>
          <w:szCs w:val="29"/>
        </w:rPr>
      </w:pPr>
    </w:p>
    <w:p w:rsidR="00F348D7" w:rsidRPr="00EB2920" w:rsidRDefault="00F348D7" w:rsidP="0096768E">
      <w:pPr>
        <w:pStyle w:val="Heading1"/>
        <w:spacing w:before="123"/>
        <w:rPr>
          <w:b w:val="0"/>
          <w:bCs w:val="0"/>
        </w:rPr>
      </w:pPr>
      <w:r w:rsidRPr="00E116BE">
        <w:t>Introduction</w:t>
      </w:r>
    </w:p>
    <w:p w:rsidR="00F348D7" w:rsidRPr="00E116BE" w:rsidRDefault="00F348D7" w:rsidP="00E116BE">
      <w:pPr>
        <w:pStyle w:val="BodyText"/>
        <w:spacing w:before="56"/>
        <w:ind w:left="119" w:right="113"/>
        <w:jc w:val="both"/>
      </w:pPr>
      <w:r w:rsidRPr="0026206E">
        <w:t>This explanatory statement relates to the Energy Efficiency (Cost of Living) Improvement (E</w:t>
      </w:r>
      <w:r>
        <w:t>nergy Savings Contribution 2020</w:t>
      </w:r>
      <w:r w:rsidRPr="0026206E">
        <w:t>) Determination 2020 (No</w:t>
      </w:r>
      <w:r>
        <w:t>1</w:t>
      </w:r>
      <w:r w:rsidRPr="0026206E">
        <w:t xml:space="preserve">) (the Determination). It has been prepared in order to assist the reader of the Determination. It does not form part of the Determination and has not been endorsed by the Assembly. </w:t>
      </w:r>
    </w:p>
    <w:p w:rsidR="00F348D7" w:rsidRDefault="00F348D7" w:rsidP="00F348D7">
      <w:pPr>
        <w:pStyle w:val="BodyText"/>
        <w:spacing w:before="56"/>
        <w:ind w:left="119" w:right="113"/>
        <w:jc w:val="both"/>
      </w:pPr>
      <w:r w:rsidRPr="00E116BE">
        <w:t xml:space="preserve">This explanatory statement clarifies the intent of the Determination and must be read in conjunction with the Determination. It is not, and is not intended to be, a comprehensive description of the Determination. What is written about a provision is not to be taken as an authoritative guide to the meaning of a provision, this being a task for the courts. </w:t>
      </w:r>
    </w:p>
    <w:p w:rsidR="0033599B" w:rsidRPr="00E116BE" w:rsidRDefault="0033599B" w:rsidP="00E116BE">
      <w:pPr>
        <w:pStyle w:val="BodyText"/>
        <w:spacing w:before="56"/>
        <w:ind w:left="119" w:right="113"/>
        <w:jc w:val="both"/>
      </w:pPr>
    </w:p>
    <w:p w:rsidR="000B0549" w:rsidRDefault="002B5B59">
      <w:pPr>
        <w:pStyle w:val="Heading1"/>
        <w:spacing w:before="123"/>
        <w:rPr>
          <w:b w:val="0"/>
          <w:bCs w:val="0"/>
        </w:rPr>
      </w:pPr>
      <w:r>
        <w:t>Overview</w:t>
      </w:r>
    </w:p>
    <w:p w:rsidR="000B0549" w:rsidRDefault="002B5B59" w:rsidP="002B5B59">
      <w:pPr>
        <w:pStyle w:val="BodyText"/>
        <w:spacing w:before="56"/>
        <w:ind w:left="119" w:right="113"/>
        <w:jc w:val="both"/>
      </w:pPr>
      <w:r>
        <w:t>The</w:t>
      </w:r>
      <w:r>
        <w:rPr>
          <w:spacing w:val="2"/>
        </w:rPr>
        <w:t xml:space="preserve"> </w:t>
      </w:r>
      <w:r>
        <w:rPr>
          <w:i/>
        </w:rPr>
        <w:t>Energy</w:t>
      </w:r>
      <w:r>
        <w:rPr>
          <w:i/>
          <w:spacing w:val="2"/>
        </w:rPr>
        <w:t xml:space="preserve"> </w:t>
      </w:r>
      <w:r>
        <w:rPr>
          <w:i/>
          <w:spacing w:val="-1"/>
        </w:rPr>
        <w:t>Efficiency</w:t>
      </w:r>
      <w:r>
        <w:rPr>
          <w:i/>
          <w:spacing w:val="2"/>
        </w:rPr>
        <w:t xml:space="preserve"> </w:t>
      </w:r>
      <w:r>
        <w:rPr>
          <w:i/>
          <w:spacing w:val="-1"/>
        </w:rPr>
        <w:t>(Cost</w:t>
      </w:r>
      <w:r>
        <w:rPr>
          <w:i/>
          <w:spacing w:val="2"/>
        </w:rPr>
        <w:t xml:space="preserve"> </w:t>
      </w:r>
      <w:r>
        <w:rPr>
          <w:i/>
        </w:rPr>
        <w:t>of</w:t>
      </w:r>
      <w:r>
        <w:rPr>
          <w:i/>
          <w:spacing w:val="2"/>
        </w:rPr>
        <w:t xml:space="preserve"> </w:t>
      </w:r>
      <w:r>
        <w:rPr>
          <w:i/>
        </w:rPr>
        <w:t>Living) Improvement</w:t>
      </w:r>
      <w:r>
        <w:rPr>
          <w:i/>
          <w:spacing w:val="2"/>
        </w:rPr>
        <w:t xml:space="preserve"> </w:t>
      </w:r>
      <w:r>
        <w:rPr>
          <w:i/>
        </w:rPr>
        <w:t>Act</w:t>
      </w:r>
      <w:r>
        <w:rPr>
          <w:i/>
          <w:spacing w:val="2"/>
        </w:rPr>
        <w:t xml:space="preserve"> </w:t>
      </w:r>
      <w:r w:rsidRPr="00A706E4">
        <w:rPr>
          <w:i/>
          <w:spacing w:val="-1"/>
        </w:rPr>
        <w:t>2012</w:t>
      </w:r>
      <w:r>
        <w:rPr>
          <w:i/>
        </w:rPr>
        <w:t xml:space="preserve"> </w:t>
      </w:r>
      <w:r w:rsidR="00027CAE">
        <w:t xml:space="preserve">(the Act) </w:t>
      </w:r>
      <w:r>
        <w:t>provides</w:t>
      </w:r>
      <w:r>
        <w:rPr>
          <w:spacing w:val="2"/>
        </w:rPr>
        <w:t xml:space="preserve"> </w:t>
      </w:r>
      <w:r>
        <w:t>for</w:t>
      </w:r>
      <w:r>
        <w:rPr>
          <w:spacing w:val="2"/>
        </w:rPr>
        <w:t xml:space="preserve"> </w:t>
      </w:r>
      <w:r>
        <w:t>a</w:t>
      </w:r>
      <w:r>
        <w:rPr>
          <w:spacing w:val="2"/>
        </w:rPr>
        <w:t xml:space="preserve"> </w:t>
      </w:r>
      <w:r w:rsidR="006F72B8">
        <w:rPr>
          <w:spacing w:val="-1"/>
        </w:rPr>
        <w:t>NERL retailer</w:t>
      </w:r>
      <w:r>
        <w:t>-obligated</w:t>
      </w:r>
      <w:r>
        <w:rPr>
          <w:spacing w:val="39"/>
        </w:rPr>
        <w:t xml:space="preserve"> </w:t>
      </w:r>
      <w:r>
        <w:rPr>
          <w:spacing w:val="-1"/>
        </w:rPr>
        <w:t>energy</w:t>
      </w:r>
      <w:r>
        <w:rPr>
          <w:spacing w:val="39"/>
        </w:rPr>
        <w:t xml:space="preserve"> </w:t>
      </w:r>
      <w:r>
        <w:t>efficiency</w:t>
      </w:r>
      <w:r>
        <w:rPr>
          <w:spacing w:val="39"/>
        </w:rPr>
        <w:t xml:space="preserve"> </w:t>
      </w:r>
      <w:r>
        <w:rPr>
          <w:spacing w:val="-1"/>
        </w:rPr>
        <w:t>scheme</w:t>
      </w:r>
      <w:r>
        <w:rPr>
          <w:spacing w:val="41"/>
        </w:rPr>
        <w:t xml:space="preserve"> </w:t>
      </w:r>
      <w:r>
        <w:t>in</w:t>
      </w:r>
      <w:r>
        <w:rPr>
          <w:spacing w:val="39"/>
        </w:rPr>
        <w:t xml:space="preserve"> </w:t>
      </w:r>
      <w:r>
        <w:t>the</w:t>
      </w:r>
      <w:r>
        <w:rPr>
          <w:spacing w:val="39"/>
        </w:rPr>
        <w:t xml:space="preserve"> </w:t>
      </w:r>
      <w:r>
        <w:t>ACT</w:t>
      </w:r>
      <w:r>
        <w:rPr>
          <w:spacing w:val="39"/>
        </w:rPr>
        <w:t xml:space="preserve"> </w:t>
      </w:r>
      <w:r>
        <w:t>(the</w:t>
      </w:r>
      <w:r>
        <w:rPr>
          <w:spacing w:val="39"/>
        </w:rPr>
        <w:t xml:space="preserve"> </w:t>
      </w:r>
      <w:r>
        <w:rPr>
          <w:spacing w:val="-1"/>
        </w:rPr>
        <w:t>‘Scheme’).</w:t>
      </w:r>
      <w:r>
        <w:rPr>
          <w:spacing w:val="39"/>
        </w:rPr>
        <w:t xml:space="preserve"> </w:t>
      </w:r>
      <w:r>
        <w:t>The</w:t>
      </w:r>
      <w:r>
        <w:rPr>
          <w:spacing w:val="39"/>
        </w:rPr>
        <w:t xml:space="preserve"> </w:t>
      </w:r>
      <w:r>
        <w:t>Act</w:t>
      </w:r>
      <w:r>
        <w:rPr>
          <w:spacing w:val="39"/>
        </w:rPr>
        <w:t xml:space="preserve"> </w:t>
      </w:r>
      <w:r>
        <w:t>has</w:t>
      </w:r>
      <w:r>
        <w:rPr>
          <w:spacing w:val="39"/>
        </w:rPr>
        <w:t xml:space="preserve"> </w:t>
      </w:r>
      <w:r>
        <w:t>been</w:t>
      </w:r>
      <w:r>
        <w:rPr>
          <w:spacing w:val="29"/>
        </w:rPr>
        <w:t xml:space="preserve"> </w:t>
      </w:r>
      <w:r>
        <w:t>designed</w:t>
      </w:r>
      <w:r>
        <w:rPr>
          <w:spacing w:val="10"/>
        </w:rPr>
        <w:t xml:space="preserve"> </w:t>
      </w:r>
      <w:r>
        <w:t>to</w:t>
      </w:r>
      <w:r>
        <w:rPr>
          <w:spacing w:val="10"/>
        </w:rPr>
        <w:t xml:space="preserve"> </w:t>
      </w:r>
      <w:r>
        <w:t>ensure</w:t>
      </w:r>
      <w:r>
        <w:rPr>
          <w:spacing w:val="10"/>
        </w:rPr>
        <w:t xml:space="preserve"> </w:t>
      </w:r>
      <w:r>
        <w:t>that</w:t>
      </w:r>
      <w:r>
        <w:rPr>
          <w:spacing w:val="10"/>
        </w:rPr>
        <w:t xml:space="preserve"> </w:t>
      </w:r>
      <w:r>
        <w:t>the</w:t>
      </w:r>
      <w:r>
        <w:rPr>
          <w:spacing w:val="10"/>
        </w:rPr>
        <w:t xml:space="preserve"> </w:t>
      </w:r>
      <w:r>
        <w:rPr>
          <w:spacing w:val="-1"/>
        </w:rPr>
        <w:t>impact</w:t>
      </w:r>
      <w:r>
        <w:rPr>
          <w:spacing w:val="10"/>
        </w:rPr>
        <w:t xml:space="preserve"> </w:t>
      </w:r>
      <w:r>
        <w:t>of</w:t>
      </w:r>
      <w:r>
        <w:rPr>
          <w:spacing w:val="10"/>
        </w:rPr>
        <w:t xml:space="preserve"> </w:t>
      </w:r>
      <w:r>
        <w:t>the</w:t>
      </w:r>
      <w:r>
        <w:rPr>
          <w:spacing w:val="9"/>
        </w:rPr>
        <w:t xml:space="preserve"> </w:t>
      </w:r>
      <w:r>
        <w:rPr>
          <w:spacing w:val="-1"/>
        </w:rPr>
        <w:t>Scheme</w:t>
      </w:r>
      <w:r>
        <w:rPr>
          <w:spacing w:val="12"/>
        </w:rPr>
        <w:t xml:space="preserve"> </w:t>
      </w:r>
      <w:r>
        <w:t>on</w:t>
      </w:r>
      <w:r>
        <w:rPr>
          <w:spacing w:val="10"/>
        </w:rPr>
        <w:t xml:space="preserve"> </w:t>
      </w:r>
      <w:r w:rsidR="006F72B8">
        <w:rPr>
          <w:spacing w:val="-1"/>
        </w:rPr>
        <w:t xml:space="preserve">NERL retailers </w:t>
      </w:r>
      <w:r>
        <w:t>in</w:t>
      </w:r>
      <w:r>
        <w:rPr>
          <w:spacing w:val="10"/>
        </w:rPr>
        <w:t xml:space="preserve"> </w:t>
      </w:r>
      <w:r>
        <w:t>the</w:t>
      </w:r>
      <w:r>
        <w:rPr>
          <w:spacing w:val="10"/>
        </w:rPr>
        <w:t xml:space="preserve"> </w:t>
      </w:r>
      <w:r>
        <w:t>ACT,</w:t>
      </w:r>
      <w:r>
        <w:rPr>
          <w:spacing w:val="28"/>
        </w:rPr>
        <w:t xml:space="preserve"> </w:t>
      </w:r>
      <w:r>
        <w:t>especially</w:t>
      </w:r>
      <w:r>
        <w:rPr>
          <w:spacing w:val="-1"/>
        </w:rPr>
        <w:t xml:space="preserve"> </w:t>
      </w:r>
      <w:r w:rsidRPr="002B5B59">
        <w:t>smaller</w:t>
      </w:r>
      <w:r>
        <w:rPr>
          <w:spacing w:val="-1"/>
        </w:rPr>
        <w:t xml:space="preserve"> </w:t>
      </w:r>
      <w:r w:rsidR="006F72B8">
        <w:rPr>
          <w:spacing w:val="-1"/>
        </w:rPr>
        <w:t xml:space="preserve">NERL retailers </w:t>
      </w:r>
      <w:r>
        <w:t>and</w:t>
      </w:r>
      <w:r>
        <w:rPr>
          <w:spacing w:val="-1"/>
        </w:rPr>
        <w:t xml:space="preserve"> </w:t>
      </w:r>
      <w:r>
        <w:t xml:space="preserve">new </w:t>
      </w:r>
      <w:r>
        <w:rPr>
          <w:spacing w:val="-1"/>
        </w:rPr>
        <w:t>market</w:t>
      </w:r>
      <w:r>
        <w:t xml:space="preserve"> entrants, is </w:t>
      </w:r>
      <w:r>
        <w:rPr>
          <w:spacing w:val="-1"/>
        </w:rPr>
        <w:t>minimised.</w:t>
      </w:r>
    </w:p>
    <w:p w:rsidR="000B0549" w:rsidRPr="008B289B" w:rsidRDefault="002B5B59" w:rsidP="008B289B">
      <w:pPr>
        <w:pStyle w:val="BodyText"/>
        <w:ind w:left="119" w:right="113"/>
        <w:jc w:val="both"/>
        <w:rPr>
          <w:spacing w:val="15"/>
        </w:rPr>
      </w:pPr>
      <w:r>
        <w:t>A</w:t>
      </w:r>
      <w:r w:rsidRPr="008B289B">
        <w:t xml:space="preserve"> </w:t>
      </w:r>
      <w:r>
        <w:t>key</w:t>
      </w:r>
      <w:r w:rsidRPr="008B289B">
        <w:t xml:space="preserve"> </w:t>
      </w:r>
      <w:r>
        <w:t>design</w:t>
      </w:r>
      <w:r w:rsidRPr="008B289B">
        <w:t xml:space="preserve"> element </w:t>
      </w:r>
      <w:r>
        <w:t>of</w:t>
      </w:r>
      <w:r w:rsidRPr="008B289B">
        <w:t xml:space="preserve"> </w:t>
      </w:r>
      <w:r>
        <w:t>the</w:t>
      </w:r>
      <w:r w:rsidRPr="008B289B">
        <w:t xml:space="preserve"> </w:t>
      </w:r>
      <w:r>
        <w:t>Act</w:t>
      </w:r>
      <w:r w:rsidRPr="008B289B">
        <w:t xml:space="preserve"> </w:t>
      </w:r>
      <w:r>
        <w:t>developed</w:t>
      </w:r>
      <w:r w:rsidRPr="008B289B">
        <w:t xml:space="preserve"> </w:t>
      </w:r>
      <w:r>
        <w:t>to</w:t>
      </w:r>
      <w:r w:rsidRPr="008B289B">
        <w:t xml:space="preserve"> </w:t>
      </w:r>
      <w:r>
        <w:t>address</w:t>
      </w:r>
      <w:r w:rsidRPr="008B289B">
        <w:t xml:space="preserve"> </w:t>
      </w:r>
      <w:r>
        <w:t>this</w:t>
      </w:r>
      <w:r w:rsidRPr="008B289B">
        <w:t xml:space="preserve"> </w:t>
      </w:r>
      <w:r>
        <w:t>issue</w:t>
      </w:r>
      <w:r w:rsidRPr="008B289B">
        <w:t xml:space="preserve"> </w:t>
      </w:r>
      <w:r>
        <w:t>is</w:t>
      </w:r>
      <w:r w:rsidRPr="008B289B">
        <w:t xml:space="preserve"> </w:t>
      </w:r>
      <w:r>
        <w:t>the</w:t>
      </w:r>
      <w:r w:rsidRPr="008B289B">
        <w:t xml:space="preserve"> ‘Energy </w:t>
      </w:r>
      <w:r>
        <w:t>Savings</w:t>
      </w:r>
      <w:r w:rsidRPr="008B289B">
        <w:t xml:space="preserve"> </w:t>
      </w:r>
      <w:r>
        <w:t>Contribution’</w:t>
      </w:r>
      <w:r w:rsidRPr="008B289B">
        <w:t xml:space="preserve"> </w:t>
      </w:r>
      <w:r>
        <w:t>(ESC).</w:t>
      </w:r>
      <w:r w:rsidRPr="008B289B">
        <w:t xml:space="preserve"> </w:t>
      </w:r>
      <w:r w:rsidR="00C579BE" w:rsidRPr="008B289B">
        <w:t xml:space="preserve">Section 11 of the Act requires the Minister to determine a contribution payable by </w:t>
      </w:r>
      <w:r w:rsidR="002D0E25" w:rsidRPr="008B289B">
        <w:t xml:space="preserve">smaller </w:t>
      </w:r>
      <w:r w:rsidR="008B289B">
        <w:t>‘T</w:t>
      </w:r>
      <w:r w:rsidR="00C579BE" w:rsidRPr="008B289B">
        <w:t xml:space="preserve">ier </w:t>
      </w:r>
      <w:r w:rsidR="002D0E25" w:rsidRPr="008B289B">
        <w:t>2</w:t>
      </w:r>
      <w:r w:rsidR="008B289B">
        <w:t>’</w:t>
      </w:r>
      <w:r w:rsidR="002D0E25" w:rsidRPr="008B289B">
        <w:t xml:space="preserve"> retailers for a compliance period in place of the retailer’s requirement to achieve a </w:t>
      </w:r>
      <w:r w:rsidR="002D0E25" w:rsidRPr="002D0E25">
        <w:rPr>
          <w:spacing w:val="15"/>
        </w:rPr>
        <w:t>retailer’s</w:t>
      </w:r>
      <w:r w:rsidR="002D0E25">
        <w:rPr>
          <w:spacing w:val="15"/>
        </w:rPr>
        <w:t xml:space="preserve"> </w:t>
      </w:r>
      <w:r w:rsidR="002D0E25" w:rsidRPr="002D0E25">
        <w:rPr>
          <w:spacing w:val="15"/>
        </w:rPr>
        <w:t>energy savings obligation</w:t>
      </w:r>
      <w:r w:rsidR="002D0E25">
        <w:rPr>
          <w:spacing w:val="15"/>
        </w:rPr>
        <w:t xml:space="preserve"> </w:t>
      </w:r>
      <w:r w:rsidR="002D0E25" w:rsidRPr="002D0E25">
        <w:rPr>
          <w:spacing w:val="15"/>
        </w:rPr>
        <w:t>for the</w:t>
      </w:r>
      <w:r w:rsidR="002D0E25">
        <w:rPr>
          <w:spacing w:val="15"/>
        </w:rPr>
        <w:t xml:space="preserve"> </w:t>
      </w:r>
      <w:r w:rsidR="002D0E25" w:rsidRPr="002D0E25">
        <w:rPr>
          <w:spacing w:val="15"/>
        </w:rPr>
        <w:t>period</w:t>
      </w:r>
      <w:r w:rsidR="002D0E25">
        <w:rPr>
          <w:spacing w:val="15"/>
        </w:rPr>
        <w:t xml:space="preserve">. </w:t>
      </w:r>
      <w:r>
        <w:rPr>
          <w:spacing w:val="-1"/>
        </w:rPr>
        <w:t>Smaller</w:t>
      </w:r>
      <w:r>
        <w:rPr>
          <w:spacing w:val="15"/>
        </w:rPr>
        <w:t xml:space="preserve"> </w:t>
      </w:r>
      <w:r>
        <w:rPr>
          <w:spacing w:val="-1"/>
        </w:rPr>
        <w:t>‘Tier</w:t>
      </w:r>
      <w:r>
        <w:rPr>
          <w:spacing w:val="15"/>
        </w:rPr>
        <w:t xml:space="preserve"> </w:t>
      </w:r>
      <w:r>
        <w:rPr>
          <w:spacing w:val="-1"/>
        </w:rPr>
        <w:t>2’</w:t>
      </w:r>
      <w:r>
        <w:rPr>
          <w:spacing w:val="15"/>
        </w:rPr>
        <w:t xml:space="preserve"> </w:t>
      </w:r>
      <w:r w:rsidR="006F72B8">
        <w:rPr>
          <w:spacing w:val="-1"/>
        </w:rPr>
        <w:t xml:space="preserve">NERL retailers </w:t>
      </w:r>
      <w:r>
        <w:rPr>
          <w:spacing w:val="-1"/>
        </w:rPr>
        <w:t>may</w:t>
      </w:r>
      <w:r>
        <w:rPr>
          <w:spacing w:val="15"/>
        </w:rPr>
        <w:t xml:space="preserve"> </w:t>
      </w:r>
      <w:r>
        <w:rPr>
          <w:spacing w:val="-1"/>
        </w:rPr>
        <w:t>choose</w:t>
      </w:r>
      <w:r>
        <w:rPr>
          <w:spacing w:val="15"/>
        </w:rPr>
        <w:t xml:space="preserve"> </w:t>
      </w:r>
      <w:r>
        <w:rPr>
          <w:spacing w:val="-1"/>
        </w:rPr>
        <w:t>to</w:t>
      </w:r>
      <w:r>
        <w:rPr>
          <w:spacing w:val="15"/>
        </w:rPr>
        <w:t xml:space="preserve"> </w:t>
      </w:r>
      <w:r>
        <w:rPr>
          <w:spacing w:val="-1"/>
        </w:rPr>
        <w:t>pay</w:t>
      </w:r>
      <w:r>
        <w:rPr>
          <w:spacing w:val="15"/>
        </w:rPr>
        <w:t xml:space="preserve"> </w:t>
      </w:r>
      <w:r>
        <w:rPr>
          <w:spacing w:val="-1"/>
        </w:rPr>
        <w:t>the</w:t>
      </w:r>
      <w:r>
        <w:rPr>
          <w:spacing w:val="15"/>
        </w:rPr>
        <w:t xml:space="preserve"> </w:t>
      </w:r>
      <w:r>
        <w:rPr>
          <w:spacing w:val="-1"/>
        </w:rPr>
        <w:t>ESC</w:t>
      </w:r>
      <w:r>
        <w:rPr>
          <w:spacing w:val="26"/>
        </w:rPr>
        <w:t xml:space="preserve"> </w:t>
      </w:r>
      <w:r>
        <w:t>to</w:t>
      </w:r>
      <w:r>
        <w:rPr>
          <w:spacing w:val="13"/>
        </w:rPr>
        <w:t xml:space="preserve"> </w:t>
      </w:r>
      <w:r>
        <w:rPr>
          <w:spacing w:val="-1"/>
        </w:rPr>
        <w:t>meet</w:t>
      </w:r>
      <w:r>
        <w:rPr>
          <w:spacing w:val="13"/>
        </w:rPr>
        <w:t xml:space="preserve"> </w:t>
      </w:r>
      <w:r>
        <w:t>their</w:t>
      </w:r>
      <w:r>
        <w:rPr>
          <w:spacing w:val="13"/>
        </w:rPr>
        <w:t xml:space="preserve"> </w:t>
      </w:r>
      <w:r>
        <w:t>obligations</w:t>
      </w:r>
      <w:r>
        <w:rPr>
          <w:spacing w:val="13"/>
        </w:rPr>
        <w:t xml:space="preserve"> </w:t>
      </w:r>
      <w:r>
        <w:rPr>
          <w:spacing w:val="-1"/>
        </w:rPr>
        <w:t>(determined</w:t>
      </w:r>
      <w:r>
        <w:rPr>
          <w:spacing w:val="13"/>
        </w:rPr>
        <w:t xml:space="preserve"> </w:t>
      </w:r>
      <w:r>
        <w:t>by</w:t>
      </w:r>
      <w:r>
        <w:rPr>
          <w:spacing w:val="13"/>
        </w:rPr>
        <w:t xml:space="preserve"> </w:t>
      </w:r>
      <w:r>
        <w:rPr>
          <w:spacing w:val="-1"/>
        </w:rPr>
        <w:t>their</w:t>
      </w:r>
      <w:r>
        <w:rPr>
          <w:spacing w:val="13"/>
        </w:rPr>
        <w:t xml:space="preserve"> </w:t>
      </w:r>
      <w:r>
        <w:t>market</w:t>
      </w:r>
      <w:r>
        <w:rPr>
          <w:spacing w:val="13"/>
        </w:rPr>
        <w:t xml:space="preserve"> </w:t>
      </w:r>
      <w:r>
        <w:t>share</w:t>
      </w:r>
      <w:r>
        <w:rPr>
          <w:spacing w:val="13"/>
        </w:rPr>
        <w:t xml:space="preserve"> </w:t>
      </w:r>
      <w:r>
        <w:t>of</w:t>
      </w:r>
      <w:r>
        <w:rPr>
          <w:spacing w:val="13"/>
        </w:rPr>
        <w:t xml:space="preserve"> </w:t>
      </w:r>
      <w:r>
        <w:t>electricity</w:t>
      </w:r>
      <w:r>
        <w:rPr>
          <w:spacing w:val="13"/>
        </w:rPr>
        <w:t xml:space="preserve"> </w:t>
      </w:r>
      <w:r>
        <w:t>sales)</w:t>
      </w:r>
      <w:r>
        <w:rPr>
          <w:spacing w:val="13"/>
        </w:rPr>
        <w:t xml:space="preserve"> </w:t>
      </w:r>
      <w:r>
        <w:rPr>
          <w:spacing w:val="-1"/>
        </w:rPr>
        <w:t>under</w:t>
      </w:r>
      <w:r>
        <w:rPr>
          <w:spacing w:val="37"/>
        </w:rPr>
        <w:t xml:space="preserve"> </w:t>
      </w:r>
      <w:r>
        <w:t>the</w:t>
      </w:r>
      <w:r>
        <w:rPr>
          <w:spacing w:val="26"/>
        </w:rPr>
        <w:t xml:space="preserve"> </w:t>
      </w:r>
      <w:r>
        <w:rPr>
          <w:spacing w:val="-1"/>
        </w:rPr>
        <w:t>Scheme</w:t>
      </w:r>
      <w:r>
        <w:rPr>
          <w:spacing w:val="26"/>
        </w:rPr>
        <w:t xml:space="preserve"> </w:t>
      </w:r>
      <w:r>
        <w:t>rather</w:t>
      </w:r>
      <w:r>
        <w:rPr>
          <w:spacing w:val="26"/>
        </w:rPr>
        <w:t xml:space="preserve"> </w:t>
      </w:r>
      <w:r>
        <w:t>than</w:t>
      </w:r>
      <w:r>
        <w:rPr>
          <w:spacing w:val="26"/>
        </w:rPr>
        <w:t xml:space="preserve"> </w:t>
      </w:r>
      <w:r>
        <w:t>undertaking</w:t>
      </w:r>
      <w:r>
        <w:rPr>
          <w:spacing w:val="26"/>
        </w:rPr>
        <w:t xml:space="preserve"> </w:t>
      </w:r>
      <w:r>
        <w:t>energy</w:t>
      </w:r>
      <w:r>
        <w:rPr>
          <w:spacing w:val="26"/>
        </w:rPr>
        <w:t xml:space="preserve"> </w:t>
      </w:r>
      <w:r>
        <w:t>saving</w:t>
      </w:r>
      <w:r>
        <w:rPr>
          <w:spacing w:val="26"/>
        </w:rPr>
        <w:t xml:space="preserve"> </w:t>
      </w:r>
      <w:r>
        <w:t>activities.</w:t>
      </w:r>
      <w:r>
        <w:rPr>
          <w:spacing w:val="26"/>
        </w:rPr>
        <w:t xml:space="preserve"> </w:t>
      </w:r>
      <w:r>
        <w:t>This</w:t>
      </w:r>
      <w:r>
        <w:rPr>
          <w:spacing w:val="26"/>
        </w:rPr>
        <w:t xml:space="preserve"> </w:t>
      </w:r>
      <w:r>
        <w:t>is</w:t>
      </w:r>
      <w:r>
        <w:rPr>
          <w:spacing w:val="26"/>
        </w:rPr>
        <w:t xml:space="preserve"> </w:t>
      </w:r>
      <w:r>
        <w:t>consistent</w:t>
      </w:r>
      <w:r>
        <w:rPr>
          <w:spacing w:val="26"/>
        </w:rPr>
        <w:t xml:space="preserve"> </w:t>
      </w:r>
      <w:r>
        <w:t>with</w:t>
      </w:r>
      <w:r>
        <w:rPr>
          <w:spacing w:val="24"/>
        </w:rPr>
        <w:t xml:space="preserve"> </w:t>
      </w:r>
      <w:r>
        <w:t>the</w:t>
      </w:r>
      <w:r>
        <w:rPr>
          <w:spacing w:val="43"/>
        </w:rPr>
        <w:t xml:space="preserve"> </w:t>
      </w:r>
      <w:r>
        <w:t>ACT</w:t>
      </w:r>
      <w:r>
        <w:rPr>
          <w:spacing w:val="43"/>
        </w:rPr>
        <w:t xml:space="preserve"> </w:t>
      </w:r>
      <w:r>
        <w:rPr>
          <w:spacing w:val="-1"/>
        </w:rPr>
        <w:t>Government’s</w:t>
      </w:r>
      <w:r>
        <w:rPr>
          <w:spacing w:val="43"/>
        </w:rPr>
        <w:t xml:space="preserve"> </w:t>
      </w:r>
      <w:r>
        <w:t>objective</w:t>
      </w:r>
      <w:r>
        <w:rPr>
          <w:spacing w:val="43"/>
        </w:rPr>
        <w:t xml:space="preserve"> </w:t>
      </w:r>
      <w:r>
        <w:rPr>
          <w:spacing w:val="-1"/>
        </w:rPr>
        <w:t>of</w:t>
      </w:r>
      <w:r>
        <w:rPr>
          <w:spacing w:val="42"/>
        </w:rPr>
        <w:t xml:space="preserve"> </w:t>
      </w:r>
      <w:r>
        <w:rPr>
          <w:spacing w:val="-1"/>
        </w:rPr>
        <w:t>supporting</w:t>
      </w:r>
      <w:r>
        <w:rPr>
          <w:spacing w:val="41"/>
        </w:rPr>
        <w:t xml:space="preserve"> </w:t>
      </w:r>
      <w:r>
        <w:t>enhanced</w:t>
      </w:r>
      <w:r>
        <w:rPr>
          <w:spacing w:val="42"/>
        </w:rPr>
        <w:t xml:space="preserve"> </w:t>
      </w:r>
      <w:r>
        <w:t>retail</w:t>
      </w:r>
      <w:r>
        <w:rPr>
          <w:spacing w:val="42"/>
        </w:rPr>
        <w:t xml:space="preserve"> </w:t>
      </w:r>
      <w:r>
        <w:rPr>
          <w:spacing w:val="-1"/>
        </w:rPr>
        <w:t>competition</w:t>
      </w:r>
      <w:r>
        <w:rPr>
          <w:spacing w:val="41"/>
        </w:rPr>
        <w:t xml:space="preserve"> </w:t>
      </w:r>
      <w:r>
        <w:t>in</w:t>
      </w:r>
      <w:r>
        <w:rPr>
          <w:spacing w:val="42"/>
        </w:rPr>
        <w:t xml:space="preserve"> </w:t>
      </w:r>
      <w:r>
        <w:t>the</w:t>
      </w:r>
      <w:r>
        <w:rPr>
          <w:spacing w:val="53"/>
        </w:rPr>
        <w:t xml:space="preserve"> </w:t>
      </w:r>
      <w:r>
        <w:t>Territory.</w:t>
      </w:r>
    </w:p>
    <w:p w:rsidR="00407323" w:rsidRDefault="00407323">
      <w:pPr>
        <w:rPr>
          <w:rFonts w:ascii="Times New Roman" w:hAnsi="Times New Roman"/>
          <w:sz w:val="24"/>
          <w:szCs w:val="24"/>
        </w:rPr>
      </w:pPr>
      <w:r>
        <w:br w:type="page"/>
      </w:r>
    </w:p>
    <w:p w:rsidR="000B0549" w:rsidRDefault="00B33730" w:rsidP="002B5B59">
      <w:pPr>
        <w:pStyle w:val="BodyText"/>
        <w:ind w:left="119" w:right="113"/>
        <w:jc w:val="both"/>
        <w:rPr>
          <w:spacing w:val="-1"/>
        </w:rPr>
      </w:pPr>
      <w:r w:rsidRPr="002166B1">
        <w:lastRenderedPageBreak/>
        <w:t>The</w:t>
      </w:r>
      <w:r w:rsidRPr="002166B1">
        <w:rPr>
          <w:spacing w:val="14"/>
        </w:rPr>
        <w:t xml:space="preserve"> </w:t>
      </w:r>
      <w:r w:rsidRPr="002166B1">
        <w:t xml:space="preserve">fee, to be applied for the period from 1 January </w:t>
      </w:r>
      <w:r w:rsidR="002B6CA6">
        <w:t>2021</w:t>
      </w:r>
      <w:r w:rsidRPr="002166B1">
        <w:t>,</w:t>
      </w:r>
      <w:r w:rsidRPr="002166B1">
        <w:rPr>
          <w:spacing w:val="14"/>
        </w:rPr>
        <w:t xml:space="preserve"> </w:t>
      </w:r>
      <w:r w:rsidRPr="002166B1">
        <w:t>has</w:t>
      </w:r>
      <w:r w:rsidRPr="002166B1">
        <w:rPr>
          <w:spacing w:val="14"/>
        </w:rPr>
        <w:t xml:space="preserve"> </w:t>
      </w:r>
      <w:r w:rsidR="002B5B59" w:rsidRPr="002166B1">
        <w:t>been</w:t>
      </w:r>
      <w:r w:rsidR="002B5B59" w:rsidRPr="002166B1">
        <w:rPr>
          <w:spacing w:val="14"/>
        </w:rPr>
        <w:t xml:space="preserve"> </w:t>
      </w:r>
      <w:r w:rsidRPr="002166B1">
        <w:t>determined</w:t>
      </w:r>
      <w:r w:rsidR="002B5B59" w:rsidRPr="002166B1">
        <w:rPr>
          <w:spacing w:val="14"/>
        </w:rPr>
        <w:t xml:space="preserve"> </w:t>
      </w:r>
      <w:r w:rsidR="002B5B59" w:rsidRPr="002166B1">
        <w:t>at</w:t>
      </w:r>
      <w:r w:rsidR="002B5B59" w:rsidRPr="002166B1">
        <w:rPr>
          <w:spacing w:val="14"/>
        </w:rPr>
        <w:t xml:space="preserve"> </w:t>
      </w:r>
      <w:r w:rsidR="002B5B59" w:rsidRPr="002166B1">
        <w:t>the</w:t>
      </w:r>
      <w:r w:rsidR="002B5B59" w:rsidRPr="002166B1">
        <w:rPr>
          <w:spacing w:val="14"/>
        </w:rPr>
        <w:t xml:space="preserve"> </w:t>
      </w:r>
      <w:r w:rsidR="002B5B59" w:rsidRPr="002166B1">
        <w:rPr>
          <w:spacing w:val="-1"/>
        </w:rPr>
        <w:t>modelled</w:t>
      </w:r>
      <w:r w:rsidR="002B5B59" w:rsidRPr="002166B1">
        <w:rPr>
          <w:spacing w:val="14"/>
        </w:rPr>
        <w:t xml:space="preserve"> </w:t>
      </w:r>
      <w:r w:rsidR="002B5B59" w:rsidRPr="002166B1">
        <w:t>expected</w:t>
      </w:r>
      <w:r w:rsidR="002B5B59" w:rsidRPr="002166B1">
        <w:rPr>
          <w:spacing w:val="12"/>
        </w:rPr>
        <w:t xml:space="preserve"> </w:t>
      </w:r>
      <w:r w:rsidR="002B5B59" w:rsidRPr="002166B1">
        <w:rPr>
          <w:spacing w:val="-1"/>
        </w:rPr>
        <w:t>average</w:t>
      </w:r>
      <w:r w:rsidR="002B5B59" w:rsidRPr="002166B1">
        <w:rPr>
          <w:spacing w:val="14"/>
        </w:rPr>
        <w:t xml:space="preserve"> </w:t>
      </w:r>
      <w:r w:rsidR="002B5B59" w:rsidRPr="002166B1">
        <w:t>cost</w:t>
      </w:r>
      <w:r w:rsidR="002B5B59" w:rsidRPr="002166B1">
        <w:rPr>
          <w:spacing w:val="14"/>
        </w:rPr>
        <w:t xml:space="preserve"> </w:t>
      </w:r>
      <w:r w:rsidR="002B5B59" w:rsidRPr="002166B1">
        <w:rPr>
          <w:spacing w:val="-1"/>
        </w:rPr>
        <w:t>of</w:t>
      </w:r>
      <w:r w:rsidR="002B5B59" w:rsidRPr="002166B1">
        <w:rPr>
          <w:spacing w:val="13"/>
        </w:rPr>
        <w:t xml:space="preserve"> </w:t>
      </w:r>
      <w:r w:rsidR="002B5B59" w:rsidRPr="002166B1">
        <w:rPr>
          <w:spacing w:val="-1"/>
        </w:rPr>
        <w:t>abatement</w:t>
      </w:r>
      <w:r w:rsidR="002B5B59" w:rsidRPr="002166B1">
        <w:rPr>
          <w:spacing w:val="14"/>
        </w:rPr>
        <w:t xml:space="preserve"> </w:t>
      </w:r>
      <w:r w:rsidR="002B5B59" w:rsidRPr="002166B1">
        <w:t>to</w:t>
      </w:r>
      <w:r w:rsidR="002B5B59" w:rsidRPr="002166B1">
        <w:rPr>
          <w:spacing w:val="14"/>
        </w:rPr>
        <w:t xml:space="preserve"> </w:t>
      </w:r>
      <w:r w:rsidR="002B5B59" w:rsidRPr="002166B1">
        <w:t>be</w:t>
      </w:r>
      <w:r w:rsidR="002B5B59" w:rsidRPr="002166B1">
        <w:rPr>
          <w:spacing w:val="14"/>
        </w:rPr>
        <w:t xml:space="preserve"> </w:t>
      </w:r>
      <w:r w:rsidR="002B5B59" w:rsidRPr="002166B1">
        <w:rPr>
          <w:spacing w:val="-1"/>
        </w:rPr>
        <w:t>borne</w:t>
      </w:r>
      <w:r w:rsidR="002B5B59" w:rsidRPr="002166B1">
        <w:rPr>
          <w:spacing w:val="43"/>
        </w:rPr>
        <w:t xml:space="preserve"> </w:t>
      </w:r>
      <w:r w:rsidR="002B5B59" w:rsidRPr="002166B1">
        <w:t>by</w:t>
      </w:r>
      <w:r w:rsidR="002B5B59" w:rsidRPr="002166B1">
        <w:rPr>
          <w:spacing w:val="15"/>
        </w:rPr>
        <w:t xml:space="preserve"> </w:t>
      </w:r>
      <w:r w:rsidR="002B5B59" w:rsidRPr="002166B1">
        <w:t>Tier</w:t>
      </w:r>
      <w:r w:rsidR="002B5B59" w:rsidRPr="002166B1">
        <w:rPr>
          <w:spacing w:val="15"/>
        </w:rPr>
        <w:t xml:space="preserve"> </w:t>
      </w:r>
      <w:r w:rsidR="002B5B59" w:rsidRPr="002166B1">
        <w:t>1</w:t>
      </w:r>
      <w:r w:rsidR="002B5B59" w:rsidRPr="002166B1">
        <w:rPr>
          <w:spacing w:val="15"/>
        </w:rPr>
        <w:t xml:space="preserve"> </w:t>
      </w:r>
      <w:r w:rsidR="006F72B8" w:rsidRPr="002166B1">
        <w:rPr>
          <w:spacing w:val="-1"/>
        </w:rPr>
        <w:t xml:space="preserve">NERL retailers </w:t>
      </w:r>
      <w:r w:rsidR="002B5B59" w:rsidRPr="002166B1">
        <w:t>of</w:t>
      </w:r>
      <w:r w:rsidR="002B5B59" w:rsidRPr="002166B1">
        <w:rPr>
          <w:spacing w:val="15"/>
        </w:rPr>
        <w:t xml:space="preserve"> </w:t>
      </w:r>
      <w:r w:rsidR="002B5B59" w:rsidRPr="002166B1">
        <w:t>$</w:t>
      </w:r>
      <w:r w:rsidR="002B6CA6">
        <w:t xml:space="preserve">46.50 per MWh </w:t>
      </w:r>
      <w:r w:rsidR="002B5B59" w:rsidRPr="002166B1">
        <w:t>of</w:t>
      </w:r>
      <w:r w:rsidR="002B5B59" w:rsidRPr="002166B1">
        <w:rPr>
          <w:spacing w:val="1"/>
        </w:rPr>
        <w:t xml:space="preserve"> </w:t>
      </w:r>
      <w:r w:rsidR="002B5B59" w:rsidRPr="002166B1">
        <w:t>the</w:t>
      </w:r>
      <w:r w:rsidR="002B5B59" w:rsidRPr="002166B1">
        <w:rPr>
          <w:spacing w:val="1"/>
        </w:rPr>
        <w:t xml:space="preserve"> </w:t>
      </w:r>
      <w:r w:rsidR="002B5B59" w:rsidRPr="002166B1">
        <w:t>Tier</w:t>
      </w:r>
      <w:r w:rsidR="002B5B59" w:rsidRPr="002166B1">
        <w:rPr>
          <w:spacing w:val="1"/>
        </w:rPr>
        <w:t xml:space="preserve"> </w:t>
      </w:r>
      <w:r w:rsidR="002B5B59" w:rsidRPr="002166B1">
        <w:t>2</w:t>
      </w:r>
      <w:r w:rsidR="002B5B59" w:rsidRPr="002166B1">
        <w:rPr>
          <w:spacing w:val="1"/>
        </w:rPr>
        <w:t xml:space="preserve"> </w:t>
      </w:r>
      <w:r w:rsidR="006F72B8" w:rsidRPr="002166B1">
        <w:rPr>
          <w:spacing w:val="-1"/>
        </w:rPr>
        <w:t xml:space="preserve">NERL retailer’s </w:t>
      </w:r>
      <w:r w:rsidR="002B5B59" w:rsidRPr="002166B1">
        <w:rPr>
          <w:b/>
          <w:bCs/>
          <w:i/>
          <w:spacing w:val="-1"/>
        </w:rPr>
        <w:t>energy</w:t>
      </w:r>
      <w:r w:rsidR="002B5B59" w:rsidRPr="002166B1">
        <w:rPr>
          <w:b/>
          <w:bCs/>
          <w:i/>
          <w:spacing w:val="1"/>
        </w:rPr>
        <w:t xml:space="preserve"> </w:t>
      </w:r>
      <w:r w:rsidR="002B5B59" w:rsidRPr="002166B1">
        <w:rPr>
          <w:b/>
          <w:bCs/>
          <w:i/>
        </w:rPr>
        <w:t>savings</w:t>
      </w:r>
      <w:r w:rsidR="002B5B59" w:rsidRPr="002166B1">
        <w:rPr>
          <w:b/>
          <w:bCs/>
          <w:i/>
          <w:spacing w:val="1"/>
        </w:rPr>
        <w:t xml:space="preserve"> </w:t>
      </w:r>
      <w:r w:rsidR="002B5B59" w:rsidRPr="002166B1">
        <w:rPr>
          <w:b/>
          <w:bCs/>
          <w:i/>
          <w:spacing w:val="-1"/>
        </w:rPr>
        <w:t>obligation</w:t>
      </w:r>
      <w:r w:rsidR="002B5B59" w:rsidRPr="002166B1">
        <w:rPr>
          <w:spacing w:val="-1"/>
        </w:rPr>
        <w:t>.</w:t>
      </w:r>
      <w:r w:rsidR="002B5B59" w:rsidRPr="002166B1">
        <w:rPr>
          <w:spacing w:val="1"/>
        </w:rPr>
        <w:t xml:space="preserve"> </w:t>
      </w:r>
      <w:r w:rsidR="002B5B59" w:rsidRPr="002166B1">
        <w:t>This</w:t>
      </w:r>
      <w:r w:rsidR="002B5B59" w:rsidRPr="002166B1">
        <w:rPr>
          <w:spacing w:val="1"/>
        </w:rPr>
        <w:t xml:space="preserve"> </w:t>
      </w:r>
      <w:r w:rsidR="002B5B59" w:rsidRPr="002166B1">
        <w:t>is</w:t>
      </w:r>
      <w:r w:rsidR="002B5B59" w:rsidRPr="002166B1">
        <w:rPr>
          <w:spacing w:val="1"/>
        </w:rPr>
        <w:t xml:space="preserve"> </w:t>
      </w:r>
      <w:r w:rsidR="002B5B59" w:rsidRPr="002166B1">
        <w:rPr>
          <w:spacing w:val="-1"/>
        </w:rPr>
        <w:t>intended</w:t>
      </w:r>
      <w:r w:rsidR="002B5B59" w:rsidRPr="002166B1">
        <w:rPr>
          <w:spacing w:val="1"/>
        </w:rPr>
        <w:t xml:space="preserve"> </w:t>
      </w:r>
      <w:r w:rsidR="002B5B59" w:rsidRPr="002166B1">
        <w:t>to</w:t>
      </w:r>
      <w:r w:rsidR="002B5B59" w:rsidRPr="002166B1">
        <w:rPr>
          <w:spacing w:val="1"/>
        </w:rPr>
        <w:t xml:space="preserve"> </w:t>
      </w:r>
      <w:r w:rsidR="002B5B59" w:rsidRPr="002166B1">
        <w:rPr>
          <w:spacing w:val="-1"/>
        </w:rPr>
        <w:t>offset</w:t>
      </w:r>
      <w:r w:rsidR="002B5B59" w:rsidRPr="002166B1">
        <w:rPr>
          <w:spacing w:val="59"/>
        </w:rPr>
        <w:t xml:space="preserve"> </w:t>
      </w:r>
      <w:r w:rsidR="002B5B59" w:rsidRPr="002166B1">
        <w:t>the</w:t>
      </w:r>
      <w:r w:rsidR="002B5B59" w:rsidRPr="002166B1">
        <w:rPr>
          <w:spacing w:val="15"/>
        </w:rPr>
        <w:t xml:space="preserve"> </w:t>
      </w:r>
      <w:r w:rsidR="002B5B59" w:rsidRPr="002166B1">
        <w:rPr>
          <w:spacing w:val="-1"/>
        </w:rPr>
        <w:t>cost</w:t>
      </w:r>
      <w:r w:rsidR="002B5B59" w:rsidRPr="002166B1">
        <w:rPr>
          <w:spacing w:val="15"/>
        </w:rPr>
        <w:t xml:space="preserve"> </w:t>
      </w:r>
      <w:r w:rsidR="002B5B59" w:rsidRPr="002166B1">
        <w:rPr>
          <w:spacing w:val="-1"/>
        </w:rPr>
        <w:t>advantage</w:t>
      </w:r>
      <w:r w:rsidR="002B5B59" w:rsidRPr="002166B1">
        <w:rPr>
          <w:spacing w:val="15"/>
        </w:rPr>
        <w:t xml:space="preserve"> </w:t>
      </w:r>
      <w:r w:rsidR="002B5B59" w:rsidRPr="002166B1">
        <w:t>a</w:t>
      </w:r>
      <w:r w:rsidR="002B5B59" w:rsidRPr="002166B1">
        <w:rPr>
          <w:spacing w:val="15"/>
        </w:rPr>
        <w:t xml:space="preserve"> </w:t>
      </w:r>
      <w:r w:rsidR="002B5B59" w:rsidRPr="002166B1">
        <w:t>Tier</w:t>
      </w:r>
      <w:r w:rsidR="002B5B59" w:rsidRPr="002166B1">
        <w:rPr>
          <w:spacing w:val="15"/>
        </w:rPr>
        <w:t xml:space="preserve"> </w:t>
      </w:r>
      <w:r w:rsidR="002B5B59" w:rsidRPr="002166B1">
        <w:t>1</w:t>
      </w:r>
      <w:r w:rsidR="002B5B59" w:rsidRPr="002166B1">
        <w:rPr>
          <w:spacing w:val="14"/>
        </w:rPr>
        <w:t xml:space="preserve"> </w:t>
      </w:r>
      <w:r w:rsidR="006F72B8" w:rsidRPr="002166B1">
        <w:rPr>
          <w:spacing w:val="-1"/>
        </w:rPr>
        <w:t xml:space="preserve">NERL retailer </w:t>
      </w:r>
      <w:r w:rsidR="002B5B59" w:rsidRPr="002166B1">
        <w:rPr>
          <w:spacing w:val="-1"/>
        </w:rPr>
        <w:t>would</w:t>
      </w:r>
      <w:r w:rsidR="002B5B59" w:rsidRPr="002166B1">
        <w:rPr>
          <w:spacing w:val="15"/>
        </w:rPr>
        <w:t xml:space="preserve"> </w:t>
      </w:r>
      <w:r w:rsidR="002B5B59" w:rsidRPr="002166B1">
        <w:rPr>
          <w:spacing w:val="-1"/>
        </w:rPr>
        <w:t>have</w:t>
      </w:r>
      <w:r w:rsidR="002B5B59" w:rsidRPr="002166B1">
        <w:rPr>
          <w:spacing w:val="15"/>
        </w:rPr>
        <w:t xml:space="preserve"> </w:t>
      </w:r>
      <w:r w:rsidR="002B5B59" w:rsidRPr="002166B1">
        <w:rPr>
          <w:spacing w:val="-1"/>
        </w:rPr>
        <w:t>if</w:t>
      </w:r>
      <w:r w:rsidR="002B5B59" w:rsidRPr="002166B1">
        <w:rPr>
          <w:spacing w:val="15"/>
        </w:rPr>
        <w:t xml:space="preserve"> </w:t>
      </w:r>
      <w:r w:rsidR="002B5B59" w:rsidRPr="002166B1">
        <w:t>a</w:t>
      </w:r>
      <w:r w:rsidR="002B5B59" w:rsidRPr="002166B1">
        <w:rPr>
          <w:spacing w:val="15"/>
        </w:rPr>
        <w:t xml:space="preserve"> </w:t>
      </w:r>
      <w:r w:rsidR="002B5B59" w:rsidRPr="002166B1">
        <w:rPr>
          <w:spacing w:val="-1"/>
        </w:rPr>
        <w:t>Tier</w:t>
      </w:r>
      <w:r w:rsidR="002B5B59" w:rsidRPr="002166B1">
        <w:rPr>
          <w:spacing w:val="15"/>
        </w:rPr>
        <w:t xml:space="preserve"> </w:t>
      </w:r>
      <w:r w:rsidR="002B5B59" w:rsidRPr="002166B1">
        <w:t>2</w:t>
      </w:r>
      <w:r w:rsidR="002B5B59" w:rsidRPr="002166B1">
        <w:rPr>
          <w:spacing w:val="15"/>
        </w:rPr>
        <w:t xml:space="preserve"> </w:t>
      </w:r>
      <w:r w:rsidR="006F72B8" w:rsidRPr="002166B1">
        <w:rPr>
          <w:spacing w:val="-1"/>
        </w:rPr>
        <w:t xml:space="preserve">NERL retailer </w:t>
      </w:r>
      <w:r w:rsidR="002B5B59" w:rsidRPr="002166B1">
        <w:t>were</w:t>
      </w:r>
      <w:r w:rsidR="002B5B59" w:rsidRPr="002166B1">
        <w:rPr>
          <w:spacing w:val="13"/>
        </w:rPr>
        <w:t xml:space="preserve"> </w:t>
      </w:r>
      <w:r w:rsidR="002B5B59" w:rsidRPr="002166B1">
        <w:t>required</w:t>
      </w:r>
      <w:r w:rsidR="002B5B59" w:rsidRPr="002166B1">
        <w:rPr>
          <w:spacing w:val="15"/>
        </w:rPr>
        <w:t xml:space="preserve"> </w:t>
      </w:r>
      <w:r w:rsidR="002B5B59" w:rsidRPr="002166B1">
        <w:t>to</w:t>
      </w:r>
      <w:r w:rsidR="002B5B59" w:rsidRPr="002166B1">
        <w:rPr>
          <w:spacing w:val="29"/>
        </w:rPr>
        <w:t xml:space="preserve"> </w:t>
      </w:r>
      <w:r w:rsidR="002B5B59" w:rsidRPr="002166B1">
        <w:t>set</w:t>
      </w:r>
      <w:r w:rsidR="002B5B59" w:rsidRPr="002166B1">
        <w:rPr>
          <w:spacing w:val="10"/>
        </w:rPr>
        <w:t xml:space="preserve"> </w:t>
      </w:r>
      <w:r w:rsidR="002B5B59" w:rsidRPr="002166B1">
        <w:t>up</w:t>
      </w:r>
      <w:r w:rsidR="002B5B59" w:rsidRPr="002166B1">
        <w:rPr>
          <w:spacing w:val="10"/>
        </w:rPr>
        <w:t xml:space="preserve"> </w:t>
      </w:r>
      <w:r w:rsidR="002B5B59" w:rsidRPr="002166B1">
        <w:t>and</w:t>
      </w:r>
      <w:r w:rsidR="002B5B59" w:rsidRPr="002166B1">
        <w:rPr>
          <w:spacing w:val="10"/>
        </w:rPr>
        <w:t xml:space="preserve"> </w:t>
      </w:r>
      <w:r w:rsidR="002B5B59" w:rsidRPr="002166B1">
        <w:rPr>
          <w:spacing w:val="-1"/>
        </w:rPr>
        <w:t>deliver</w:t>
      </w:r>
      <w:r w:rsidR="002B5B59" w:rsidRPr="002166B1">
        <w:rPr>
          <w:spacing w:val="10"/>
        </w:rPr>
        <w:t xml:space="preserve"> </w:t>
      </w:r>
      <w:r w:rsidR="002B5B59" w:rsidRPr="002166B1">
        <w:rPr>
          <w:spacing w:val="-1"/>
        </w:rPr>
        <w:t>energy</w:t>
      </w:r>
      <w:r w:rsidR="002B5B59" w:rsidRPr="0088303B">
        <w:rPr>
          <w:spacing w:val="-1"/>
        </w:rPr>
        <w:t xml:space="preserve"> efficiency services </w:t>
      </w:r>
      <w:r w:rsidR="002B5B59" w:rsidRPr="002B1453">
        <w:rPr>
          <w:spacing w:val="-1"/>
        </w:rPr>
        <w:t>–</w:t>
      </w:r>
      <w:r w:rsidR="002B5B59" w:rsidRPr="0088303B">
        <w:rPr>
          <w:spacing w:val="-1"/>
        </w:rPr>
        <w:t xml:space="preserve"> with such a cost </w:t>
      </w:r>
      <w:r w:rsidR="002B5B59" w:rsidRPr="002166B1">
        <w:rPr>
          <w:spacing w:val="-1"/>
        </w:rPr>
        <w:t>advantage</w:t>
      </w:r>
      <w:r w:rsidR="002B5B59" w:rsidRPr="0088303B">
        <w:rPr>
          <w:spacing w:val="-1"/>
        </w:rPr>
        <w:t xml:space="preserve"> potentially </w:t>
      </w:r>
      <w:r w:rsidR="002B5B59" w:rsidRPr="002166B1">
        <w:rPr>
          <w:spacing w:val="-1"/>
        </w:rPr>
        <w:t>discouraging</w:t>
      </w:r>
      <w:r w:rsidR="002B5B59" w:rsidRPr="0088303B">
        <w:rPr>
          <w:spacing w:val="-1"/>
        </w:rPr>
        <w:t xml:space="preserve"> </w:t>
      </w:r>
      <w:r w:rsidR="002B5B59" w:rsidRPr="002166B1">
        <w:rPr>
          <w:spacing w:val="-1"/>
        </w:rPr>
        <w:t>competition</w:t>
      </w:r>
      <w:r w:rsidR="002B5B59" w:rsidRPr="0088303B">
        <w:rPr>
          <w:spacing w:val="-1"/>
        </w:rPr>
        <w:t xml:space="preserve"> in the ACT retail </w:t>
      </w:r>
      <w:r w:rsidR="002B5B59" w:rsidRPr="002166B1">
        <w:rPr>
          <w:spacing w:val="-1"/>
        </w:rPr>
        <w:t>electricity</w:t>
      </w:r>
      <w:r w:rsidR="002B5B59" w:rsidRPr="0088303B">
        <w:rPr>
          <w:spacing w:val="-1"/>
        </w:rPr>
        <w:t xml:space="preserve"> </w:t>
      </w:r>
      <w:r w:rsidR="002B5B59">
        <w:rPr>
          <w:spacing w:val="-1"/>
        </w:rPr>
        <w:t>market.</w:t>
      </w:r>
      <w:r w:rsidR="002B5B59" w:rsidRPr="0088303B">
        <w:rPr>
          <w:spacing w:val="-1"/>
        </w:rPr>
        <w:t xml:space="preserve"> </w:t>
      </w:r>
      <w:r w:rsidR="002B5B59">
        <w:rPr>
          <w:spacing w:val="-1"/>
        </w:rPr>
        <w:t>This</w:t>
      </w:r>
      <w:r w:rsidR="002B5B59" w:rsidRPr="0088303B">
        <w:rPr>
          <w:spacing w:val="-1"/>
        </w:rPr>
        <w:t xml:space="preserve"> </w:t>
      </w:r>
      <w:r w:rsidR="002B5B59">
        <w:rPr>
          <w:spacing w:val="-1"/>
        </w:rPr>
        <w:t>simplified</w:t>
      </w:r>
      <w:r w:rsidR="002B5B59" w:rsidRPr="0088303B">
        <w:rPr>
          <w:spacing w:val="-1"/>
        </w:rPr>
        <w:t xml:space="preserve"> </w:t>
      </w:r>
      <w:r w:rsidR="002B5B59">
        <w:rPr>
          <w:spacing w:val="-1"/>
        </w:rPr>
        <w:t>obligation</w:t>
      </w:r>
      <w:r w:rsidR="002B5B59" w:rsidRPr="0088303B">
        <w:rPr>
          <w:spacing w:val="-1"/>
        </w:rPr>
        <w:t xml:space="preserve"> </w:t>
      </w:r>
      <w:r w:rsidR="002166B1" w:rsidRPr="0088303B">
        <w:rPr>
          <w:spacing w:val="-1"/>
        </w:rPr>
        <w:t xml:space="preserve">considers the impact of the Act on competition and </w:t>
      </w:r>
      <w:r w:rsidR="002B5B59">
        <w:rPr>
          <w:spacing w:val="-1"/>
        </w:rPr>
        <w:t>reduces</w:t>
      </w:r>
      <w:r w:rsidR="002B5B59" w:rsidRPr="0088303B">
        <w:rPr>
          <w:spacing w:val="-1"/>
        </w:rPr>
        <w:t xml:space="preserve"> the risk </w:t>
      </w:r>
      <w:r w:rsidR="002B5B59">
        <w:rPr>
          <w:spacing w:val="-1"/>
        </w:rPr>
        <w:t>that</w:t>
      </w:r>
      <w:r w:rsidR="002B5B59" w:rsidRPr="0088303B">
        <w:rPr>
          <w:spacing w:val="-1"/>
        </w:rPr>
        <w:t xml:space="preserve"> </w:t>
      </w:r>
      <w:r w:rsidR="002B5B59">
        <w:rPr>
          <w:spacing w:val="-1"/>
        </w:rPr>
        <w:t>compliance</w:t>
      </w:r>
      <w:r w:rsidR="002B5B59" w:rsidRPr="0088303B">
        <w:rPr>
          <w:spacing w:val="-1"/>
        </w:rPr>
        <w:t xml:space="preserve"> costs </w:t>
      </w:r>
      <w:r w:rsidR="002B5B59">
        <w:rPr>
          <w:spacing w:val="-1"/>
        </w:rPr>
        <w:t>may</w:t>
      </w:r>
      <w:r w:rsidR="002B5B59" w:rsidRPr="0088303B">
        <w:rPr>
          <w:spacing w:val="-1"/>
        </w:rPr>
        <w:t xml:space="preserve"> lead to a </w:t>
      </w:r>
      <w:r w:rsidR="002B5B59">
        <w:rPr>
          <w:spacing w:val="-1"/>
        </w:rPr>
        <w:t>competitive</w:t>
      </w:r>
      <w:r w:rsidR="002B5B59" w:rsidRPr="0088303B">
        <w:rPr>
          <w:spacing w:val="-1"/>
        </w:rPr>
        <w:t xml:space="preserve"> </w:t>
      </w:r>
      <w:r w:rsidR="002B5B59">
        <w:rPr>
          <w:spacing w:val="-1"/>
        </w:rPr>
        <w:t>disadvantage</w:t>
      </w:r>
      <w:r w:rsidR="002B5B59" w:rsidRPr="0088303B">
        <w:rPr>
          <w:spacing w:val="-1"/>
        </w:rPr>
        <w:t xml:space="preserve"> for </w:t>
      </w:r>
      <w:r w:rsidR="002B5B59">
        <w:rPr>
          <w:spacing w:val="-1"/>
        </w:rPr>
        <w:t>smaller</w:t>
      </w:r>
      <w:r w:rsidR="002B5B59" w:rsidRPr="0088303B">
        <w:rPr>
          <w:spacing w:val="-1"/>
        </w:rPr>
        <w:t xml:space="preserve"> </w:t>
      </w:r>
      <w:r w:rsidR="006F72B8">
        <w:rPr>
          <w:spacing w:val="-1"/>
        </w:rPr>
        <w:t xml:space="preserve">NERL retailers </w:t>
      </w:r>
      <w:r w:rsidR="002B5B59" w:rsidRPr="0088303B">
        <w:rPr>
          <w:spacing w:val="-1"/>
        </w:rPr>
        <w:t xml:space="preserve">in </w:t>
      </w:r>
      <w:r w:rsidR="002B5B59">
        <w:rPr>
          <w:spacing w:val="-1"/>
        </w:rPr>
        <w:t>electricity</w:t>
      </w:r>
      <w:r w:rsidR="002B5B59" w:rsidRPr="0088303B">
        <w:rPr>
          <w:spacing w:val="-1"/>
        </w:rPr>
        <w:t xml:space="preserve"> </w:t>
      </w:r>
      <w:r w:rsidR="002B5B59">
        <w:rPr>
          <w:spacing w:val="-1"/>
        </w:rPr>
        <w:t>retail</w:t>
      </w:r>
      <w:r w:rsidR="002B5B59" w:rsidRPr="0088303B">
        <w:rPr>
          <w:spacing w:val="-1"/>
        </w:rPr>
        <w:t xml:space="preserve"> markets, </w:t>
      </w:r>
      <w:r w:rsidR="002B5B59">
        <w:rPr>
          <w:spacing w:val="-1"/>
        </w:rPr>
        <w:t>thereby</w:t>
      </w:r>
      <w:r w:rsidR="002B5B59" w:rsidRPr="0088303B">
        <w:rPr>
          <w:spacing w:val="-1"/>
        </w:rPr>
        <w:t xml:space="preserve"> </w:t>
      </w:r>
      <w:r w:rsidR="002B5B59">
        <w:rPr>
          <w:spacing w:val="-1"/>
        </w:rPr>
        <w:t>reducing</w:t>
      </w:r>
      <w:r w:rsidR="002B5B59" w:rsidRPr="0088303B">
        <w:rPr>
          <w:spacing w:val="-1"/>
        </w:rPr>
        <w:t xml:space="preserve"> </w:t>
      </w:r>
      <w:r w:rsidR="002B5B59">
        <w:rPr>
          <w:spacing w:val="-1"/>
        </w:rPr>
        <w:t>competition.</w:t>
      </w:r>
    </w:p>
    <w:p w:rsidR="006F72B8" w:rsidRDefault="006F72B8" w:rsidP="002B5B59">
      <w:pPr>
        <w:pStyle w:val="BodyText"/>
        <w:ind w:left="119" w:right="113"/>
        <w:jc w:val="both"/>
      </w:pPr>
      <w:r>
        <w:rPr>
          <w:spacing w:val="-1"/>
        </w:rPr>
        <w:t xml:space="preserve">The ESC </w:t>
      </w:r>
      <w:r w:rsidR="002166B1">
        <w:rPr>
          <w:spacing w:val="-1"/>
        </w:rPr>
        <w:t>ha</w:t>
      </w:r>
      <w:r>
        <w:rPr>
          <w:spacing w:val="-1"/>
        </w:rPr>
        <w:t xml:space="preserve">s </w:t>
      </w:r>
      <w:r w:rsidR="002166B1">
        <w:rPr>
          <w:spacing w:val="-1"/>
        </w:rPr>
        <w:t xml:space="preserve">been </w:t>
      </w:r>
      <w:r>
        <w:rPr>
          <w:spacing w:val="-1"/>
        </w:rPr>
        <w:t xml:space="preserve">set </w:t>
      </w:r>
      <w:r w:rsidR="002166B1">
        <w:rPr>
          <w:spacing w:val="-1"/>
        </w:rPr>
        <w:t>at</w:t>
      </w:r>
      <w:r>
        <w:rPr>
          <w:spacing w:val="-1"/>
        </w:rPr>
        <w:t xml:space="preserve"> the </w:t>
      </w:r>
      <w:r w:rsidR="002166B1">
        <w:rPr>
          <w:spacing w:val="-1"/>
        </w:rPr>
        <w:t>mode</w:t>
      </w:r>
      <w:r w:rsidR="00C8703A">
        <w:rPr>
          <w:spacing w:val="-1"/>
        </w:rPr>
        <w:t>l</w:t>
      </w:r>
      <w:r w:rsidR="002166B1">
        <w:rPr>
          <w:spacing w:val="-1"/>
        </w:rPr>
        <w:t xml:space="preserve">led </w:t>
      </w:r>
      <w:r>
        <w:rPr>
          <w:spacing w:val="-1"/>
        </w:rPr>
        <w:t>average cost of comp</w:t>
      </w:r>
      <w:r w:rsidR="002166B1">
        <w:rPr>
          <w:spacing w:val="-1"/>
        </w:rPr>
        <w:t>liance for Tier 1 NERL retailer</w:t>
      </w:r>
      <w:r>
        <w:rPr>
          <w:spacing w:val="-1"/>
        </w:rPr>
        <w:t>.</w:t>
      </w:r>
      <w:r w:rsidR="002166B1">
        <w:rPr>
          <w:spacing w:val="-1"/>
        </w:rPr>
        <w:t xml:space="preserve"> Tier 1 retailer participation in the EEIS is mode</w:t>
      </w:r>
      <w:r w:rsidR="00C8703A">
        <w:rPr>
          <w:spacing w:val="-1"/>
        </w:rPr>
        <w:t>l</w:t>
      </w:r>
      <w:r w:rsidR="002166B1">
        <w:rPr>
          <w:spacing w:val="-1"/>
        </w:rPr>
        <w:t>led to have</w:t>
      </w:r>
      <w:r>
        <w:rPr>
          <w:spacing w:val="-1"/>
        </w:rPr>
        <w:t xml:space="preserve"> </w:t>
      </w:r>
      <w:r w:rsidR="002166B1">
        <w:rPr>
          <w:spacing w:val="-1"/>
        </w:rPr>
        <w:t xml:space="preserve">an overall net economic benefit to the Territory, at a negative cost of abatement. </w:t>
      </w:r>
      <w:r>
        <w:rPr>
          <w:spacing w:val="-1"/>
        </w:rPr>
        <w:t xml:space="preserve">Under the Act, the Tier 2 contributions </w:t>
      </w:r>
      <w:r w:rsidR="002166B1">
        <w:rPr>
          <w:spacing w:val="-1"/>
        </w:rPr>
        <w:t xml:space="preserve">must be used to </w:t>
      </w:r>
      <w:r>
        <w:rPr>
          <w:spacing w:val="-1"/>
        </w:rPr>
        <w:t>support the Objects of the Act. To date, these have been used to support Scheme administration and ACT Government Programs, which have been reviewed for cost effectiveness.</w:t>
      </w:r>
    </w:p>
    <w:p w:rsidR="000B0549" w:rsidRDefault="002B5B59" w:rsidP="002166B1">
      <w:pPr>
        <w:pStyle w:val="BodyText"/>
        <w:keepNext/>
        <w:keepLines/>
        <w:ind w:left="119" w:right="113"/>
        <w:jc w:val="both"/>
      </w:pPr>
      <w:r>
        <w:t>Section</w:t>
      </w:r>
      <w:r>
        <w:rPr>
          <w:spacing w:val="9"/>
        </w:rPr>
        <w:t xml:space="preserve"> </w:t>
      </w:r>
      <w:r>
        <w:t>28</w:t>
      </w:r>
      <w:r>
        <w:rPr>
          <w:spacing w:val="9"/>
        </w:rPr>
        <w:t xml:space="preserve"> </w:t>
      </w:r>
      <w:r>
        <w:t>of</w:t>
      </w:r>
      <w:r>
        <w:rPr>
          <w:spacing w:val="9"/>
        </w:rPr>
        <w:t xml:space="preserve"> </w:t>
      </w:r>
      <w:r>
        <w:t>the</w:t>
      </w:r>
      <w:r>
        <w:rPr>
          <w:spacing w:val="9"/>
        </w:rPr>
        <w:t xml:space="preserve"> </w:t>
      </w:r>
      <w:r>
        <w:t>Act</w:t>
      </w:r>
      <w:r>
        <w:rPr>
          <w:spacing w:val="9"/>
        </w:rPr>
        <w:t xml:space="preserve"> </w:t>
      </w:r>
      <w:r>
        <w:t>provides</w:t>
      </w:r>
      <w:r>
        <w:rPr>
          <w:spacing w:val="9"/>
        </w:rPr>
        <w:t xml:space="preserve"> </w:t>
      </w:r>
      <w:r>
        <w:t>that</w:t>
      </w:r>
      <w:r>
        <w:rPr>
          <w:spacing w:val="9"/>
        </w:rPr>
        <w:t xml:space="preserve"> </w:t>
      </w:r>
      <w:r>
        <w:t>the</w:t>
      </w:r>
      <w:r>
        <w:rPr>
          <w:spacing w:val="8"/>
        </w:rPr>
        <w:t xml:space="preserve"> </w:t>
      </w:r>
      <w:r>
        <w:rPr>
          <w:spacing w:val="-1"/>
        </w:rPr>
        <w:t>ESC</w:t>
      </w:r>
      <w:r>
        <w:rPr>
          <w:spacing w:val="9"/>
        </w:rPr>
        <w:t xml:space="preserve"> </w:t>
      </w:r>
      <w:r>
        <w:t>is</w:t>
      </w:r>
      <w:r>
        <w:rPr>
          <w:spacing w:val="9"/>
        </w:rPr>
        <w:t xml:space="preserve"> </w:t>
      </w:r>
      <w:r>
        <w:t>to</w:t>
      </w:r>
      <w:r>
        <w:rPr>
          <w:spacing w:val="9"/>
        </w:rPr>
        <w:t xml:space="preserve"> </w:t>
      </w:r>
      <w:r>
        <w:t>‘be</w:t>
      </w:r>
      <w:r>
        <w:rPr>
          <w:spacing w:val="9"/>
        </w:rPr>
        <w:t xml:space="preserve"> </w:t>
      </w:r>
      <w:r>
        <w:t>appropriated</w:t>
      </w:r>
      <w:r>
        <w:rPr>
          <w:spacing w:val="9"/>
        </w:rPr>
        <w:t xml:space="preserve"> </w:t>
      </w:r>
      <w:r>
        <w:t>to</w:t>
      </w:r>
      <w:r>
        <w:rPr>
          <w:spacing w:val="9"/>
        </w:rPr>
        <w:t xml:space="preserve"> </w:t>
      </w:r>
      <w:r>
        <w:t>support</w:t>
      </w:r>
      <w:r>
        <w:rPr>
          <w:spacing w:val="21"/>
        </w:rPr>
        <w:t xml:space="preserve"> </w:t>
      </w:r>
      <w:r>
        <w:t>initiatives</w:t>
      </w:r>
      <w:r>
        <w:rPr>
          <w:spacing w:val="32"/>
        </w:rPr>
        <w:t xml:space="preserve"> </w:t>
      </w:r>
      <w:r>
        <w:t>or</w:t>
      </w:r>
      <w:r>
        <w:rPr>
          <w:spacing w:val="32"/>
        </w:rPr>
        <w:t xml:space="preserve"> </w:t>
      </w:r>
      <w:r>
        <w:t>undertake</w:t>
      </w:r>
      <w:r>
        <w:rPr>
          <w:spacing w:val="32"/>
        </w:rPr>
        <w:t xml:space="preserve"> </w:t>
      </w:r>
      <w:r>
        <w:rPr>
          <w:spacing w:val="-1"/>
        </w:rPr>
        <w:t>activities</w:t>
      </w:r>
      <w:r>
        <w:rPr>
          <w:spacing w:val="32"/>
        </w:rPr>
        <w:t xml:space="preserve"> </w:t>
      </w:r>
      <w:r>
        <w:t>consistent</w:t>
      </w:r>
      <w:r>
        <w:rPr>
          <w:spacing w:val="32"/>
        </w:rPr>
        <w:t xml:space="preserve"> </w:t>
      </w:r>
      <w:r>
        <w:t>with</w:t>
      </w:r>
      <w:r>
        <w:rPr>
          <w:spacing w:val="32"/>
        </w:rPr>
        <w:t xml:space="preserve"> </w:t>
      </w:r>
      <w:r>
        <w:t>the</w:t>
      </w:r>
      <w:r>
        <w:rPr>
          <w:spacing w:val="32"/>
        </w:rPr>
        <w:t xml:space="preserve"> </w:t>
      </w:r>
      <w:r>
        <w:t>Objects</w:t>
      </w:r>
      <w:r>
        <w:rPr>
          <w:spacing w:val="32"/>
        </w:rPr>
        <w:t xml:space="preserve"> </w:t>
      </w:r>
      <w:r>
        <w:t>of</w:t>
      </w:r>
      <w:r>
        <w:rPr>
          <w:spacing w:val="32"/>
        </w:rPr>
        <w:t xml:space="preserve"> </w:t>
      </w:r>
      <w:r>
        <w:t>the</w:t>
      </w:r>
      <w:r>
        <w:rPr>
          <w:spacing w:val="32"/>
        </w:rPr>
        <w:t xml:space="preserve"> </w:t>
      </w:r>
      <w:r>
        <w:t>Act’.</w:t>
      </w:r>
      <w:r>
        <w:rPr>
          <w:spacing w:val="32"/>
        </w:rPr>
        <w:t xml:space="preserve"> </w:t>
      </w:r>
      <w:r>
        <w:t>This</w:t>
      </w:r>
      <w:r>
        <w:rPr>
          <w:spacing w:val="32"/>
        </w:rPr>
        <w:t xml:space="preserve"> </w:t>
      </w:r>
      <w:r>
        <w:rPr>
          <w:spacing w:val="-1"/>
        </w:rPr>
        <w:t>may</w:t>
      </w:r>
      <w:r>
        <w:rPr>
          <w:spacing w:val="22"/>
        </w:rPr>
        <w:t xml:space="preserve"> </w:t>
      </w:r>
      <w:r>
        <w:t>include</w:t>
      </w:r>
      <w:r>
        <w:rPr>
          <w:spacing w:val="29"/>
        </w:rPr>
        <w:t xml:space="preserve"> </w:t>
      </w:r>
      <w:r>
        <w:rPr>
          <w:spacing w:val="-1"/>
        </w:rPr>
        <w:t>covering</w:t>
      </w:r>
      <w:r>
        <w:rPr>
          <w:spacing w:val="29"/>
        </w:rPr>
        <w:t xml:space="preserve"> </w:t>
      </w:r>
      <w:r>
        <w:t>costs</w:t>
      </w:r>
      <w:r>
        <w:rPr>
          <w:spacing w:val="28"/>
        </w:rPr>
        <w:t xml:space="preserve"> </w:t>
      </w:r>
      <w:r>
        <w:t>associated</w:t>
      </w:r>
      <w:r>
        <w:rPr>
          <w:spacing w:val="29"/>
        </w:rPr>
        <w:t xml:space="preserve"> </w:t>
      </w:r>
      <w:r>
        <w:t>with</w:t>
      </w:r>
      <w:r>
        <w:rPr>
          <w:spacing w:val="29"/>
        </w:rPr>
        <w:t xml:space="preserve"> </w:t>
      </w:r>
      <w:r>
        <w:t>the</w:t>
      </w:r>
      <w:r>
        <w:rPr>
          <w:spacing w:val="30"/>
        </w:rPr>
        <w:t xml:space="preserve"> </w:t>
      </w:r>
      <w:r>
        <w:rPr>
          <w:spacing w:val="-1"/>
        </w:rPr>
        <w:t>administration</w:t>
      </w:r>
      <w:r>
        <w:rPr>
          <w:spacing w:val="28"/>
        </w:rPr>
        <w:t xml:space="preserve"> </w:t>
      </w:r>
      <w:r>
        <w:t>of</w:t>
      </w:r>
      <w:r>
        <w:rPr>
          <w:spacing w:val="29"/>
        </w:rPr>
        <w:t xml:space="preserve"> </w:t>
      </w:r>
      <w:r>
        <w:t>the</w:t>
      </w:r>
      <w:r>
        <w:rPr>
          <w:spacing w:val="30"/>
        </w:rPr>
        <w:t xml:space="preserve"> </w:t>
      </w:r>
      <w:r>
        <w:rPr>
          <w:spacing w:val="-1"/>
        </w:rPr>
        <w:t>Scheme.</w:t>
      </w:r>
      <w:r>
        <w:t xml:space="preserve"> This</w:t>
      </w:r>
      <w:r>
        <w:rPr>
          <w:spacing w:val="30"/>
        </w:rPr>
        <w:t xml:space="preserve"> </w:t>
      </w:r>
      <w:r>
        <w:t>will</w:t>
      </w:r>
      <w:r>
        <w:rPr>
          <w:spacing w:val="39"/>
        </w:rPr>
        <w:t xml:space="preserve"> </w:t>
      </w:r>
      <w:r>
        <w:t>occur</w:t>
      </w:r>
      <w:r>
        <w:rPr>
          <w:spacing w:val="50"/>
        </w:rPr>
        <w:t xml:space="preserve"> </w:t>
      </w:r>
      <w:r>
        <w:rPr>
          <w:spacing w:val="-1"/>
        </w:rPr>
        <w:t>through</w:t>
      </w:r>
      <w:r>
        <w:rPr>
          <w:spacing w:val="50"/>
        </w:rPr>
        <w:t xml:space="preserve"> </w:t>
      </w:r>
      <w:r>
        <w:t>the</w:t>
      </w:r>
      <w:r>
        <w:rPr>
          <w:spacing w:val="50"/>
        </w:rPr>
        <w:t xml:space="preserve"> </w:t>
      </w:r>
      <w:r>
        <w:rPr>
          <w:spacing w:val="-1"/>
        </w:rPr>
        <w:t>normal</w:t>
      </w:r>
      <w:r>
        <w:rPr>
          <w:spacing w:val="50"/>
        </w:rPr>
        <w:t xml:space="preserve"> </w:t>
      </w:r>
      <w:r>
        <w:t>annual</w:t>
      </w:r>
      <w:r>
        <w:rPr>
          <w:spacing w:val="50"/>
        </w:rPr>
        <w:t xml:space="preserve"> </w:t>
      </w:r>
      <w:r>
        <w:t>budget</w:t>
      </w:r>
      <w:r>
        <w:rPr>
          <w:spacing w:val="50"/>
        </w:rPr>
        <w:t xml:space="preserve"> </w:t>
      </w:r>
      <w:r>
        <w:rPr>
          <w:spacing w:val="-1"/>
        </w:rPr>
        <w:t>appropriations</w:t>
      </w:r>
      <w:r>
        <w:rPr>
          <w:spacing w:val="50"/>
        </w:rPr>
        <w:t xml:space="preserve"> </w:t>
      </w:r>
      <w:r>
        <w:rPr>
          <w:spacing w:val="-1"/>
        </w:rPr>
        <w:t>process,</w:t>
      </w:r>
      <w:r>
        <w:rPr>
          <w:spacing w:val="50"/>
        </w:rPr>
        <w:t xml:space="preserve"> </w:t>
      </w:r>
      <w:r>
        <w:t>which</w:t>
      </w:r>
      <w:r>
        <w:rPr>
          <w:spacing w:val="50"/>
        </w:rPr>
        <w:t xml:space="preserve"> </w:t>
      </w:r>
      <w:r>
        <w:t>will</w:t>
      </w:r>
      <w:r>
        <w:rPr>
          <w:spacing w:val="50"/>
        </w:rPr>
        <w:t xml:space="preserve"> </w:t>
      </w:r>
      <w:r>
        <w:rPr>
          <w:spacing w:val="-1"/>
        </w:rPr>
        <w:t>allow</w:t>
      </w:r>
      <w:r>
        <w:rPr>
          <w:spacing w:val="55"/>
        </w:rPr>
        <w:t xml:space="preserve"> </w:t>
      </w:r>
      <w:r>
        <w:t>regular scrutiny and appropriate</w:t>
      </w:r>
      <w:r>
        <w:rPr>
          <w:spacing w:val="-1"/>
        </w:rPr>
        <w:t xml:space="preserve"> priority setting by Cabinet.</w:t>
      </w:r>
    </w:p>
    <w:p w:rsidR="000B0549" w:rsidRDefault="00B33730">
      <w:pPr>
        <w:pStyle w:val="BodyText"/>
        <w:jc w:val="both"/>
      </w:pPr>
      <w:r>
        <w:t xml:space="preserve">This instrument </w:t>
      </w:r>
      <w:r>
        <w:rPr>
          <w:spacing w:val="-1"/>
        </w:rPr>
        <w:t xml:space="preserve">commences on </w:t>
      </w:r>
      <w:r w:rsidR="002B5B59">
        <w:t>the day after notification.</w:t>
      </w:r>
    </w:p>
    <w:p w:rsidR="00B33730" w:rsidRDefault="001A0D88" w:rsidP="00B33730">
      <w:pPr>
        <w:pStyle w:val="BodyText"/>
      </w:pPr>
      <w:r>
        <w:rPr>
          <w:iCs/>
        </w:rPr>
        <w:t xml:space="preserve">The </w:t>
      </w:r>
      <w:r w:rsidR="00B33730">
        <w:rPr>
          <w:i/>
        </w:rPr>
        <w:t>Energy Efficiency (Cost of Living) Improvement (Energy Savings Contribution) Determination 201</w:t>
      </w:r>
      <w:r w:rsidR="002B6CA6">
        <w:rPr>
          <w:i/>
        </w:rPr>
        <w:t>5</w:t>
      </w:r>
      <w:r w:rsidR="00B33730">
        <w:rPr>
          <w:i/>
        </w:rPr>
        <w:t xml:space="preserve"> (No 1) </w:t>
      </w:r>
      <w:r w:rsidR="00B33730">
        <w:t>(DI201</w:t>
      </w:r>
      <w:r w:rsidR="002B6CA6">
        <w:t>5</w:t>
      </w:r>
      <w:r w:rsidR="00B33730">
        <w:t>-</w:t>
      </w:r>
      <w:r w:rsidR="002B6CA6">
        <w:t>271</w:t>
      </w:r>
      <w:r w:rsidR="00B33730">
        <w:t>) remains in effect to permit auditing compliance.</w:t>
      </w:r>
    </w:p>
    <w:p w:rsidR="001A0D88" w:rsidRDefault="001A0D88" w:rsidP="00B33730">
      <w:pPr>
        <w:pStyle w:val="BodyText"/>
        <w:rPr>
          <w:iCs/>
        </w:rPr>
      </w:pPr>
      <w:r>
        <w:rPr>
          <w:iCs/>
        </w:rPr>
        <w:t xml:space="preserve">This Determination does not engage human rights under the </w:t>
      </w:r>
      <w:r w:rsidRPr="008B289B">
        <w:rPr>
          <w:i/>
        </w:rPr>
        <w:t>Human Rights Act 2004</w:t>
      </w:r>
      <w:r>
        <w:rPr>
          <w:iCs/>
        </w:rPr>
        <w:t xml:space="preserve">. </w:t>
      </w:r>
      <w:r w:rsidR="002D0E25">
        <w:rPr>
          <w:iCs/>
        </w:rPr>
        <w:t xml:space="preserve">A regulatory impact statement has been prepared for the Determination. </w:t>
      </w:r>
    </w:p>
    <w:p w:rsidR="00C579BE" w:rsidRDefault="00C579BE" w:rsidP="00B33730">
      <w:pPr>
        <w:pStyle w:val="BodyText"/>
        <w:rPr>
          <w:iCs/>
        </w:rPr>
      </w:pPr>
    </w:p>
    <w:p w:rsidR="002D0E25" w:rsidRDefault="00C579BE" w:rsidP="008B289B">
      <w:pPr>
        <w:pStyle w:val="Heading1"/>
        <w:spacing w:before="123"/>
        <w:ind w:left="0"/>
        <w:rPr>
          <w:b w:val="0"/>
          <w:bCs w:val="0"/>
        </w:rPr>
      </w:pPr>
      <w:r>
        <w:t>Clause Notes</w:t>
      </w:r>
    </w:p>
    <w:p w:rsidR="008B289B" w:rsidRDefault="008B289B" w:rsidP="004B6C9E">
      <w:pPr>
        <w:rPr>
          <w:rFonts w:ascii="Times New Roman" w:hAnsi="Times New Roman"/>
          <w:b/>
          <w:bCs/>
          <w:sz w:val="24"/>
          <w:szCs w:val="24"/>
        </w:rPr>
      </w:pPr>
    </w:p>
    <w:p w:rsidR="004B6C9E" w:rsidRPr="00151B69" w:rsidRDefault="004B6C9E" w:rsidP="004B6C9E">
      <w:pPr>
        <w:rPr>
          <w:rFonts w:ascii="Times New Roman" w:hAnsi="Times New Roman"/>
          <w:sz w:val="24"/>
          <w:szCs w:val="24"/>
        </w:rPr>
      </w:pPr>
      <w:r w:rsidRPr="00151B69">
        <w:rPr>
          <w:rFonts w:ascii="Times New Roman" w:hAnsi="Times New Roman"/>
          <w:b/>
          <w:bCs/>
          <w:sz w:val="24"/>
          <w:szCs w:val="24"/>
        </w:rPr>
        <w:t>Clause 1</w:t>
      </w:r>
      <w:r w:rsidRPr="00151B69">
        <w:rPr>
          <w:rFonts w:ascii="Times New Roman" w:hAnsi="Times New Roman"/>
          <w:sz w:val="24"/>
          <w:szCs w:val="24"/>
        </w:rPr>
        <w:t xml:space="preserve"> names the instrument.</w:t>
      </w:r>
    </w:p>
    <w:p w:rsidR="004B6C9E" w:rsidRPr="00EB2920" w:rsidRDefault="004B6C9E" w:rsidP="004B6C9E">
      <w:pPr>
        <w:rPr>
          <w:szCs w:val="24"/>
        </w:rPr>
      </w:pPr>
    </w:p>
    <w:p w:rsidR="004B6C9E" w:rsidRDefault="004B6C9E" w:rsidP="004B6C9E">
      <w:pPr>
        <w:pStyle w:val="BodyText"/>
        <w:ind w:left="0"/>
      </w:pPr>
      <w:r w:rsidRPr="00EB2920">
        <w:rPr>
          <w:b/>
          <w:bCs/>
        </w:rPr>
        <w:t>Clause 2</w:t>
      </w:r>
      <w:r w:rsidRPr="00EB2920">
        <w:t xml:space="preserve"> indicates the time of commencement.</w:t>
      </w:r>
      <w:r>
        <w:t xml:space="preserve"> </w:t>
      </w:r>
    </w:p>
    <w:p w:rsidR="004B6C9E" w:rsidRDefault="004B6C9E" w:rsidP="004B6C9E">
      <w:pPr>
        <w:pStyle w:val="BodyText"/>
        <w:ind w:left="0"/>
        <w:jc w:val="both"/>
        <w:rPr>
          <w:b/>
          <w:bCs/>
        </w:rPr>
      </w:pPr>
    </w:p>
    <w:p w:rsidR="004B6C9E" w:rsidRDefault="004B6C9E" w:rsidP="004B6C9E">
      <w:pPr>
        <w:pStyle w:val="BodyText"/>
        <w:ind w:left="0"/>
      </w:pPr>
      <w:r w:rsidRPr="00EB2920">
        <w:rPr>
          <w:b/>
          <w:bCs/>
        </w:rPr>
        <w:t>Clause 3</w:t>
      </w:r>
      <w:r w:rsidRPr="00EB2920">
        <w:t xml:space="preserve"> </w:t>
      </w:r>
      <w:r>
        <w:t xml:space="preserve">provides that </w:t>
      </w:r>
      <w:r>
        <w:rPr>
          <w:spacing w:val="-1"/>
        </w:rPr>
        <w:t>the Energy Contribution Target is</w:t>
      </w:r>
      <w:r w:rsidR="006633F2">
        <w:rPr>
          <w:spacing w:val="-1"/>
        </w:rPr>
        <w:t xml:space="preserve"> </w:t>
      </w:r>
      <w:r w:rsidR="006633F2">
        <w:rPr>
          <w:szCs w:val="22"/>
        </w:rPr>
        <w:t xml:space="preserve">$46.50 per MWh </w:t>
      </w:r>
      <w:r w:rsidR="00E116BE">
        <w:rPr>
          <w:szCs w:val="22"/>
        </w:rPr>
        <w:t>the</w:t>
      </w:r>
      <w:r w:rsidR="006633F2">
        <w:rPr>
          <w:szCs w:val="22"/>
        </w:rPr>
        <w:t xml:space="preserve"> compliance period </w:t>
      </w:r>
      <w:r w:rsidR="00E116BE">
        <w:rPr>
          <w:szCs w:val="22"/>
        </w:rPr>
        <w:t>beginning</w:t>
      </w:r>
      <w:r w:rsidR="006633F2">
        <w:rPr>
          <w:szCs w:val="22"/>
        </w:rPr>
        <w:t xml:space="preserve"> </w:t>
      </w:r>
      <w:r w:rsidR="00E116BE">
        <w:rPr>
          <w:szCs w:val="22"/>
        </w:rPr>
        <w:t xml:space="preserve">on </w:t>
      </w:r>
      <w:r w:rsidR="006633F2">
        <w:rPr>
          <w:szCs w:val="22"/>
        </w:rPr>
        <w:t xml:space="preserve">1 January 2021 </w:t>
      </w:r>
      <w:r w:rsidR="00E116BE">
        <w:rPr>
          <w:szCs w:val="22"/>
        </w:rPr>
        <w:t xml:space="preserve">and ending on </w:t>
      </w:r>
      <w:r w:rsidR="006633F2">
        <w:rPr>
          <w:szCs w:val="22"/>
        </w:rPr>
        <w:t>31 December 202</w:t>
      </w:r>
      <w:r w:rsidR="0033599B">
        <w:rPr>
          <w:szCs w:val="22"/>
        </w:rPr>
        <w:t>1</w:t>
      </w:r>
      <w:r w:rsidR="006633F2">
        <w:rPr>
          <w:szCs w:val="22"/>
        </w:rPr>
        <w:t>.</w:t>
      </w:r>
    </w:p>
    <w:p w:rsidR="004B6C9E" w:rsidRDefault="004B6C9E" w:rsidP="004B6C9E">
      <w:pPr>
        <w:pStyle w:val="BodyText"/>
        <w:ind w:left="0"/>
        <w:jc w:val="both"/>
      </w:pPr>
    </w:p>
    <w:p w:rsidR="006633F2" w:rsidRPr="0088303B" w:rsidRDefault="006633F2" w:rsidP="006633F2">
      <w:pPr>
        <w:rPr>
          <w:rFonts w:ascii="Times New Roman" w:hAnsi="Times New Roman"/>
          <w:sz w:val="24"/>
          <w:szCs w:val="24"/>
          <w:lang w:eastAsia="en-AU"/>
        </w:rPr>
      </w:pPr>
      <w:r w:rsidRPr="00C17B1A">
        <w:rPr>
          <w:rFonts w:ascii="Times New Roman" w:hAnsi="Times New Roman"/>
          <w:b/>
          <w:bCs/>
          <w:sz w:val="24"/>
          <w:szCs w:val="24"/>
        </w:rPr>
        <w:t>Clause 4</w:t>
      </w:r>
      <w:r w:rsidRPr="0088303B">
        <w:rPr>
          <w:rFonts w:ascii="Times New Roman" w:hAnsi="Times New Roman"/>
          <w:sz w:val="24"/>
          <w:szCs w:val="24"/>
        </w:rPr>
        <w:t xml:space="preserve"> </w:t>
      </w:r>
      <w:r w:rsidR="00C579BE">
        <w:rPr>
          <w:rFonts w:ascii="Times New Roman" w:hAnsi="Times New Roman"/>
          <w:iCs/>
          <w:color w:val="000000"/>
          <w:sz w:val="24"/>
          <w:szCs w:val="24"/>
        </w:rPr>
        <w:t>determines</w:t>
      </w:r>
      <w:r w:rsidRPr="0088303B">
        <w:rPr>
          <w:rFonts w:ascii="Times New Roman" w:hAnsi="Times New Roman"/>
          <w:iCs/>
          <w:color w:val="000000"/>
          <w:sz w:val="24"/>
          <w:szCs w:val="24"/>
        </w:rPr>
        <w:t xml:space="preserve"> that section 81(6) of the </w:t>
      </w:r>
      <w:r w:rsidRPr="0088303B">
        <w:rPr>
          <w:rFonts w:ascii="Times New Roman" w:hAnsi="Times New Roman"/>
          <w:i/>
          <w:color w:val="000000"/>
          <w:sz w:val="24"/>
          <w:szCs w:val="24"/>
        </w:rPr>
        <w:t>Legislation Act 2001</w:t>
      </w:r>
      <w:r w:rsidRPr="0088303B">
        <w:rPr>
          <w:rFonts w:ascii="Times New Roman" w:hAnsi="Times New Roman"/>
          <w:iCs/>
          <w:color w:val="000000"/>
          <w:sz w:val="24"/>
          <w:szCs w:val="24"/>
        </w:rPr>
        <w:t xml:space="preserve"> applies. Section 11 of the Act is </w:t>
      </w:r>
      <w:r w:rsidRPr="0088303B">
        <w:rPr>
          <w:rFonts w:ascii="Times New Roman" w:hAnsi="Times New Roman"/>
          <w:sz w:val="24"/>
          <w:szCs w:val="24"/>
        </w:rPr>
        <w:t xml:space="preserve">amended by section 12 and section 13 of the </w:t>
      </w:r>
      <w:r w:rsidRPr="0088303B">
        <w:rPr>
          <w:rFonts w:ascii="Times New Roman" w:hAnsi="Times New Roman"/>
          <w:bCs/>
          <w:i/>
          <w:sz w:val="24"/>
          <w:szCs w:val="24"/>
        </w:rPr>
        <w:t xml:space="preserve">Energy Efficiency (Cost of Living) Improvement Amendment Act 2019 </w:t>
      </w:r>
      <w:r w:rsidRPr="008B289B">
        <w:rPr>
          <w:rFonts w:ascii="Times New Roman" w:hAnsi="Times New Roman"/>
          <w:bCs/>
          <w:iCs/>
          <w:sz w:val="24"/>
          <w:szCs w:val="24"/>
        </w:rPr>
        <w:t>(Amendment Act)</w:t>
      </w:r>
      <w:r w:rsidRPr="0088303B">
        <w:rPr>
          <w:rFonts w:ascii="Times New Roman" w:hAnsi="Times New Roman"/>
          <w:bCs/>
          <w:i/>
          <w:sz w:val="24"/>
          <w:szCs w:val="24"/>
        </w:rPr>
        <w:t xml:space="preserve">.  </w:t>
      </w:r>
      <w:r w:rsidR="001A0D88">
        <w:rPr>
          <w:rFonts w:ascii="Times New Roman" w:hAnsi="Times New Roman"/>
          <w:bCs/>
          <w:iCs/>
          <w:sz w:val="24"/>
          <w:szCs w:val="24"/>
        </w:rPr>
        <w:t xml:space="preserve">The Amendment Act was notified on 3 October 2019. </w:t>
      </w:r>
      <w:r w:rsidRPr="0088303B">
        <w:rPr>
          <w:rFonts w:ascii="Times New Roman" w:hAnsi="Times New Roman"/>
          <w:bCs/>
          <w:iCs/>
          <w:sz w:val="24"/>
          <w:szCs w:val="24"/>
        </w:rPr>
        <w:t>Section 12 and section 13 of the Amendment Act are uncommenced provision</w:t>
      </w:r>
      <w:r w:rsidR="001A0D88">
        <w:rPr>
          <w:rFonts w:ascii="Times New Roman" w:hAnsi="Times New Roman"/>
          <w:bCs/>
          <w:iCs/>
          <w:sz w:val="24"/>
          <w:szCs w:val="24"/>
        </w:rPr>
        <w:t>s</w:t>
      </w:r>
      <w:r w:rsidRPr="0088303B">
        <w:rPr>
          <w:rFonts w:ascii="Times New Roman" w:hAnsi="Times New Roman"/>
          <w:bCs/>
          <w:iCs/>
          <w:sz w:val="24"/>
          <w:szCs w:val="24"/>
        </w:rPr>
        <w:t xml:space="preserve"> that will commence on 1 January 2021.</w:t>
      </w:r>
    </w:p>
    <w:p w:rsidR="006633F2" w:rsidRDefault="006633F2" w:rsidP="004B6C9E">
      <w:pPr>
        <w:pStyle w:val="BodyText"/>
        <w:ind w:left="0"/>
        <w:jc w:val="both"/>
      </w:pPr>
    </w:p>
    <w:p w:rsidR="006633F2" w:rsidRDefault="006633F2" w:rsidP="0088303B">
      <w:pPr>
        <w:pStyle w:val="BodyText"/>
        <w:ind w:left="0"/>
        <w:jc w:val="both"/>
      </w:pPr>
    </w:p>
    <w:sectPr w:rsidR="006633F2" w:rsidSect="000B0549">
      <w:headerReference w:type="even" r:id="rId8"/>
      <w:headerReference w:type="default" r:id="rId9"/>
      <w:footerReference w:type="even" r:id="rId10"/>
      <w:footerReference w:type="default" r:id="rId11"/>
      <w:headerReference w:type="first" r:id="rId12"/>
      <w:footerReference w:type="first" r:id="rId13"/>
      <w:pgSz w:w="11910" w:h="16840"/>
      <w:pgMar w:top="1380" w:right="1680" w:bottom="980" w:left="168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83E" w:rsidRDefault="002F383E" w:rsidP="000B0549">
      <w:r>
        <w:separator/>
      </w:r>
    </w:p>
  </w:endnote>
  <w:endnote w:type="continuationSeparator" w:id="0">
    <w:p w:rsidR="002F383E" w:rsidRDefault="002F383E" w:rsidP="000B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99" w:rsidRDefault="00600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99" w:rsidRPr="00CC0DD4" w:rsidRDefault="00CC0DD4" w:rsidP="00CC0DD4">
    <w:pPr>
      <w:pStyle w:val="Footer"/>
      <w:jc w:val="center"/>
      <w:rPr>
        <w:rFonts w:ascii="Arial" w:hAnsi="Arial" w:cs="Arial"/>
        <w:sz w:val="14"/>
      </w:rPr>
    </w:pPr>
    <w:r w:rsidRPr="00CC0DD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99" w:rsidRDefault="00600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83E" w:rsidRDefault="002F383E" w:rsidP="000B0549">
      <w:r>
        <w:separator/>
      </w:r>
    </w:p>
  </w:footnote>
  <w:footnote w:type="continuationSeparator" w:id="0">
    <w:p w:rsidR="002F383E" w:rsidRDefault="002F383E" w:rsidP="000B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99" w:rsidRDefault="00600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99" w:rsidRDefault="00600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99" w:rsidRDefault="00600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504EF"/>
    <w:multiLevelType w:val="hybridMultilevel"/>
    <w:tmpl w:val="4A8430D6"/>
    <w:lvl w:ilvl="0" w:tplc="CBD43798">
      <w:start w:val="1"/>
      <w:numFmt w:val="lowerLetter"/>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0"/>
  </w:compat>
  <w:rsids>
    <w:rsidRoot w:val="000B0549"/>
    <w:rsid w:val="00027CAE"/>
    <w:rsid w:val="00070CE4"/>
    <w:rsid w:val="000B0549"/>
    <w:rsid w:val="000D79D9"/>
    <w:rsid w:val="001513C8"/>
    <w:rsid w:val="00151B69"/>
    <w:rsid w:val="00154A98"/>
    <w:rsid w:val="001A0D88"/>
    <w:rsid w:val="00202B00"/>
    <w:rsid w:val="002166B1"/>
    <w:rsid w:val="0026206E"/>
    <w:rsid w:val="002A3E9F"/>
    <w:rsid w:val="002B1453"/>
    <w:rsid w:val="002B585D"/>
    <w:rsid w:val="002B5B59"/>
    <w:rsid w:val="002B6CA6"/>
    <w:rsid w:val="002D0E25"/>
    <w:rsid w:val="002F383E"/>
    <w:rsid w:val="00332A0E"/>
    <w:rsid w:val="0033599B"/>
    <w:rsid w:val="003C42E2"/>
    <w:rsid w:val="0040064C"/>
    <w:rsid w:val="00400E81"/>
    <w:rsid w:val="00407323"/>
    <w:rsid w:val="004B094B"/>
    <w:rsid w:val="004B6C9E"/>
    <w:rsid w:val="004C27BF"/>
    <w:rsid w:val="00505010"/>
    <w:rsid w:val="0052639E"/>
    <w:rsid w:val="00574011"/>
    <w:rsid w:val="00600499"/>
    <w:rsid w:val="0062643F"/>
    <w:rsid w:val="006633F2"/>
    <w:rsid w:val="006C7596"/>
    <w:rsid w:val="006F72B8"/>
    <w:rsid w:val="006F7958"/>
    <w:rsid w:val="0070260C"/>
    <w:rsid w:val="00747327"/>
    <w:rsid w:val="007B344B"/>
    <w:rsid w:val="007D48FA"/>
    <w:rsid w:val="008333C7"/>
    <w:rsid w:val="0086013A"/>
    <w:rsid w:val="0088303B"/>
    <w:rsid w:val="008B289B"/>
    <w:rsid w:val="008B7CFD"/>
    <w:rsid w:val="008D5034"/>
    <w:rsid w:val="00925DEA"/>
    <w:rsid w:val="0093560E"/>
    <w:rsid w:val="0096768E"/>
    <w:rsid w:val="009D6129"/>
    <w:rsid w:val="009E6EBE"/>
    <w:rsid w:val="009F7D29"/>
    <w:rsid w:val="00A640C6"/>
    <w:rsid w:val="00A706E4"/>
    <w:rsid w:val="00AC5D1B"/>
    <w:rsid w:val="00AE3D45"/>
    <w:rsid w:val="00B33730"/>
    <w:rsid w:val="00B40343"/>
    <w:rsid w:val="00B964DD"/>
    <w:rsid w:val="00BA374C"/>
    <w:rsid w:val="00C17B1A"/>
    <w:rsid w:val="00C579BE"/>
    <w:rsid w:val="00C629F3"/>
    <w:rsid w:val="00C657DC"/>
    <w:rsid w:val="00C8703A"/>
    <w:rsid w:val="00CC0DD4"/>
    <w:rsid w:val="00D120F1"/>
    <w:rsid w:val="00D12F5A"/>
    <w:rsid w:val="00E116BE"/>
    <w:rsid w:val="00E21D2F"/>
    <w:rsid w:val="00E27334"/>
    <w:rsid w:val="00E55062"/>
    <w:rsid w:val="00EA3124"/>
    <w:rsid w:val="00EB2920"/>
    <w:rsid w:val="00ED3CC6"/>
    <w:rsid w:val="00F347F1"/>
    <w:rsid w:val="00F348D7"/>
    <w:rsid w:val="00F37B88"/>
    <w:rsid w:val="00F931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CBC9CDF1-F5FF-47AE-9F1B-24EC8A78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Body Tex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0549"/>
    <w:rPr>
      <w:rFonts w:cs="Times New Roman"/>
    </w:rPr>
  </w:style>
  <w:style w:type="paragraph" w:styleId="Heading1">
    <w:name w:val="heading 1"/>
    <w:basedOn w:val="Normal"/>
    <w:link w:val="Heading1Char"/>
    <w:uiPriority w:val="1"/>
    <w:qFormat/>
    <w:rsid w:val="000B0549"/>
    <w:pPr>
      <w:spacing w:before="63"/>
      <w:ind w:left="160"/>
      <w:outlineLvl w:val="0"/>
    </w:pPr>
    <w:rPr>
      <w:rFonts w:ascii="Times New Roman" w:hAnsi="Times New Roman"/>
      <w:b/>
      <w:bCs/>
      <w:sz w:val="28"/>
      <w:szCs w:val="28"/>
    </w:rPr>
  </w:style>
  <w:style w:type="paragraph" w:styleId="Heading2">
    <w:name w:val="heading 2"/>
    <w:basedOn w:val="Normal"/>
    <w:link w:val="Heading2Char"/>
    <w:uiPriority w:val="1"/>
    <w:qFormat/>
    <w:rsid w:val="000B0549"/>
    <w:pPr>
      <w:ind w:left="160"/>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sid w:val="000B0549"/>
    <w:pPr>
      <w:spacing w:before="120"/>
      <w:ind w:left="120"/>
    </w:pPr>
    <w:rPr>
      <w:rFonts w:ascii="Times New Roman" w:hAnsi="Times New Roman"/>
      <w:sz w:val="24"/>
      <w:szCs w:val="24"/>
    </w:rPr>
  </w:style>
  <w:style w:type="character" w:customStyle="1" w:styleId="BodyTextChar">
    <w:name w:val="Body Text Char"/>
    <w:basedOn w:val="DefaultParagraphFont"/>
    <w:link w:val="BodyText"/>
    <w:uiPriority w:val="99"/>
    <w:semiHidden/>
    <w:locked/>
    <w:rPr>
      <w:rFonts w:cs="Times New Roman"/>
    </w:rPr>
  </w:style>
  <w:style w:type="paragraph" w:styleId="ListParagraph">
    <w:name w:val="List Paragraph"/>
    <w:basedOn w:val="Normal"/>
    <w:uiPriority w:val="1"/>
    <w:qFormat/>
    <w:rsid w:val="000B0549"/>
  </w:style>
  <w:style w:type="paragraph" w:customStyle="1" w:styleId="TableParagraph">
    <w:name w:val="Table Paragraph"/>
    <w:basedOn w:val="Normal"/>
    <w:uiPriority w:val="1"/>
    <w:qFormat/>
    <w:rsid w:val="000B0549"/>
  </w:style>
  <w:style w:type="paragraph" w:styleId="Header">
    <w:name w:val="header"/>
    <w:basedOn w:val="Normal"/>
    <w:link w:val="HeaderChar"/>
    <w:uiPriority w:val="99"/>
    <w:semiHidden/>
    <w:unhideWhenUsed/>
    <w:rsid w:val="009D6129"/>
    <w:pPr>
      <w:tabs>
        <w:tab w:val="center" w:pos="4513"/>
        <w:tab w:val="right" w:pos="9026"/>
      </w:tabs>
    </w:pPr>
  </w:style>
  <w:style w:type="character" w:customStyle="1" w:styleId="HeaderChar">
    <w:name w:val="Header Char"/>
    <w:basedOn w:val="DefaultParagraphFont"/>
    <w:link w:val="Header"/>
    <w:uiPriority w:val="99"/>
    <w:semiHidden/>
    <w:locked/>
    <w:rsid w:val="009D6129"/>
    <w:rPr>
      <w:rFonts w:cs="Times New Roman"/>
    </w:rPr>
  </w:style>
  <w:style w:type="paragraph" w:styleId="Footer">
    <w:name w:val="footer"/>
    <w:basedOn w:val="Normal"/>
    <w:link w:val="FooterChar"/>
    <w:uiPriority w:val="99"/>
    <w:semiHidden/>
    <w:unhideWhenUsed/>
    <w:rsid w:val="009D6129"/>
    <w:pPr>
      <w:tabs>
        <w:tab w:val="center" w:pos="4513"/>
        <w:tab w:val="right" w:pos="9026"/>
      </w:tabs>
    </w:pPr>
  </w:style>
  <w:style w:type="character" w:customStyle="1" w:styleId="FooterChar">
    <w:name w:val="Footer Char"/>
    <w:basedOn w:val="DefaultParagraphFont"/>
    <w:link w:val="Footer"/>
    <w:uiPriority w:val="99"/>
    <w:semiHidden/>
    <w:locked/>
    <w:rsid w:val="009D6129"/>
    <w:rPr>
      <w:rFonts w:cs="Times New Roman"/>
    </w:rPr>
  </w:style>
  <w:style w:type="character" w:styleId="CommentReference">
    <w:name w:val="annotation reference"/>
    <w:basedOn w:val="DefaultParagraphFont"/>
    <w:uiPriority w:val="99"/>
    <w:semiHidden/>
    <w:unhideWhenUsed/>
    <w:rsid w:val="00B33730"/>
    <w:rPr>
      <w:rFonts w:cs="Times New Roman"/>
      <w:sz w:val="16"/>
      <w:szCs w:val="16"/>
    </w:rPr>
  </w:style>
  <w:style w:type="paragraph" w:styleId="CommentText">
    <w:name w:val="annotation text"/>
    <w:basedOn w:val="Normal"/>
    <w:link w:val="CommentTextChar"/>
    <w:uiPriority w:val="99"/>
    <w:semiHidden/>
    <w:unhideWhenUsed/>
    <w:rsid w:val="00B33730"/>
    <w:rPr>
      <w:sz w:val="20"/>
      <w:szCs w:val="20"/>
    </w:rPr>
  </w:style>
  <w:style w:type="character" w:customStyle="1" w:styleId="CommentTextChar">
    <w:name w:val="Comment Text Char"/>
    <w:basedOn w:val="DefaultParagraphFont"/>
    <w:link w:val="CommentText"/>
    <w:uiPriority w:val="99"/>
    <w:semiHidden/>
    <w:locked/>
    <w:rsid w:val="00B33730"/>
    <w:rPr>
      <w:rFonts w:cs="Times New Roman"/>
      <w:sz w:val="20"/>
      <w:szCs w:val="20"/>
    </w:rPr>
  </w:style>
  <w:style w:type="paragraph" w:styleId="CommentSubject">
    <w:name w:val="annotation subject"/>
    <w:basedOn w:val="CommentText"/>
    <w:next w:val="CommentText"/>
    <w:link w:val="CommentSubjectChar"/>
    <w:uiPriority w:val="99"/>
    <w:semiHidden/>
    <w:unhideWhenUsed/>
    <w:rsid w:val="00B33730"/>
    <w:rPr>
      <w:b/>
      <w:bCs/>
    </w:rPr>
  </w:style>
  <w:style w:type="character" w:customStyle="1" w:styleId="CommentSubjectChar">
    <w:name w:val="Comment Subject Char"/>
    <w:basedOn w:val="CommentTextChar"/>
    <w:link w:val="CommentSubject"/>
    <w:uiPriority w:val="99"/>
    <w:semiHidden/>
    <w:locked/>
    <w:rsid w:val="00B33730"/>
    <w:rPr>
      <w:rFonts w:cs="Times New Roman"/>
      <w:b/>
      <w:bCs/>
      <w:sz w:val="20"/>
      <w:szCs w:val="20"/>
    </w:rPr>
  </w:style>
  <w:style w:type="paragraph" w:styleId="BalloonText">
    <w:name w:val="Balloon Text"/>
    <w:basedOn w:val="Normal"/>
    <w:link w:val="BalloonTextChar"/>
    <w:uiPriority w:val="99"/>
    <w:semiHidden/>
    <w:unhideWhenUsed/>
    <w:rsid w:val="00B337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3730"/>
    <w:rPr>
      <w:rFonts w:ascii="Tahoma" w:hAnsi="Tahoma" w:cs="Tahoma"/>
      <w:sz w:val="16"/>
      <w:szCs w:val="16"/>
    </w:rPr>
  </w:style>
  <w:style w:type="paragraph" w:customStyle="1" w:styleId="Default">
    <w:name w:val="Default"/>
    <w:rsid w:val="00F348D7"/>
    <w:pPr>
      <w:widowControl/>
      <w:autoSpaceDE w:val="0"/>
      <w:autoSpaceDN w:val="0"/>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41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11907-BF3F-4EE2-B47C-26BA707A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3996</Characters>
  <Application>Microsoft Office Word</Application>
  <DocSecurity>0</DocSecurity>
  <Lines>148</Lines>
  <Paragraphs>97</Paragraphs>
  <ScaleCrop>false</ScaleCrop>
  <Company>ACT Government</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2</cp:revision>
  <cp:lastPrinted>2015-08-19T06:52:00Z</cp:lastPrinted>
  <dcterms:created xsi:type="dcterms:W3CDTF">2020-07-27T02:28:00Z</dcterms:created>
  <dcterms:modified xsi:type="dcterms:W3CDTF">2020-07-27T02:28:00Z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2012-05-12T14:00:00Z</vt:filetime>
  </property>
  <property fmtid="{D5CDD505-2E9C-101B-9397-08002B2CF9AE}" pid="3" name="LastSaved">
    <vt:filetime>2015-03-26T14:00:00Z</vt:filetime>
  </property>
  <property fmtid="{D5CDD505-2E9C-101B-9397-08002B2CF9AE}" pid="4" name="Objective-Id">
    <vt:lpwstr>A11072534</vt:lpwstr>
  </property>
  <property fmtid="{D5CDD505-2E9C-101B-9397-08002B2CF9AE}" pid="5" name="Objective-Title">
    <vt:lpwstr>Attachment G - ES - Energy Savings Contribution</vt:lpwstr>
  </property>
  <property fmtid="{D5CDD505-2E9C-101B-9397-08002B2CF9AE}" pid="6" name="Objective-Comment">
    <vt:lpwstr/>
  </property>
  <property fmtid="{D5CDD505-2E9C-101B-9397-08002B2CF9AE}" pid="7" name="Objective-CreationStamp">
    <vt:filetime>2015-07-30T14:00:00Z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2015-08-07T14:00:00Z</vt:filetime>
  </property>
  <property fmtid="{D5CDD505-2E9C-101B-9397-08002B2CF9AE}" pid="11" name="Objective-ModificationStamp">
    <vt:filetime>2015-08-07T14:00:00Z</vt:filetime>
  </property>
  <property fmtid="{D5CDD505-2E9C-101B-9397-08002B2CF9AE}" pid="12" name="Objective-Owner">
    <vt:lpwstr>Robyn Porter</vt:lpwstr>
  </property>
  <property fmtid="{D5CDD505-2E9C-101B-9397-08002B2CF9AE}" pid="13" name="Objective-Path">
    <vt:lpwstr>Whole of ACT Government:EPD - Environment and Planning Directorate:07. Ministerial, Cabinet and Government Relations:06. Ministerials:2015 - Ministerial and Chief Ministerial Correspondence:Sustainability and Climate Change:SCC - Information Briefs:15/100</vt:lpwstr>
  </property>
  <property fmtid="{D5CDD505-2E9C-101B-9397-08002B2CF9AE}" pid="14" name="Objective-Parent">
    <vt:lpwstr>15/10338 - EEIS Brief to Minister - amendment to DI Code of Practice and NI Determination - lighting and electric boosted SHW</vt:lpwstr>
  </property>
  <property fmtid="{D5CDD505-2E9C-101B-9397-08002B2CF9AE}" pid="15" name="Objective-State">
    <vt:lpwstr>Published</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Amendments requested by Legal</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system]">
    <vt:lpwstr>EPD</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ies>
</file>