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1895C" w14:textId="77777777" w:rsidR="00C17FAB" w:rsidRPr="00860EA5" w:rsidRDefault="00C17FAB">
      <w:pPr>
        <w:spacing w:before="120"/>
      </w:pPr>
      <w:bookmarkStart w:id="0" w:name="_Toc44738651"/>
      <w:bookmarkStart w:id="1" w:name="_GoBack"/>
      <w:bookmarkEnd w:id="1"/>
      <w:r w:rsidRPr="00860EA5">
        <w:t>Australian Capital Territory</w:t>
      </w:r>
    </w:p>
    <w:p w14:paraId="031F6D96" w14:textId="546640FB" w:rsidR="00C17FAB" w:rsidRPr="00860EA5" w:rsidRDefault="005E2760">
      <w:pPr>
        <w:pStyle w:val="Billname"/>
        <w:spacing w:before="700"/>
        <w:rPr>
          <w:rFonts w:ascii="Times New Roman" w:hAnsi="Times New Roman"/>
        </w:rPr>
      </w:pPr>
      <w:r w:rsidRPr="00860EA5">
        <w:rPr>
          <w:rFonts w:ascii="Times New Roman" w:hAnsi="Times New Roman"/>
        </w:rPr>
        <w:t>Public Heal</w:t>
      </w:r>
      <w:r w:rsidR="00A77F08" w:rsidRPr="00860EA5">
        <w:rPr>
          <w:rFonts w:ascii="Times New Roman" w:hAnsi="Times New Roman"/>
        </w:rPr>
        <w:t>t</w:t>
      </w:r>
      <w:r w:rsidRPr="00860EA5">
        <w:rPr>
          <w:rFonts w:ascii="Times New Roman" w:hAnsi="Times New Roman"/>
        </w:rPr>
        <w:t>h</w:t>
      </w:r>
      <w:r w:rsidR="00FD75CE" w:rsidRPr="00860EA5">
        <w:rPr>
          <w:rFonts w:ascii="Times New Roman" w:hAnsi="Times New Roman"/>
        </w:rPr>
        <w:t xml:space="preserve"> (</w:t>
      </w:r>
      <w:r w:rsidRPr="00860EA5">
        <w:rPr>
          <w:rFonts w:ascii="Times New Roman" w:hAnsi="Times New Roman"/>
        </w:rPr>
        <w:t>Quarantine Fees</w:t>
      </w:r>
      <w:r w:rsidR="00FD75CE" w:rsidRPr="00860EA5">
        <w:rPr>
          <w:rFonts w:ascii="Times New Roman" w:hAnsi="Times New Roman"/>
        </w:rPr>
        <w:t>) Determination</w:t>
      </w:r>
      <w:r w:rsidRPr="00860EA5">
        <w:rPr>
          <w:rFonts w:ascii="Times New Roman" w:hAnsi="Times New Roman"/>
        </w:rPr>
        <w:t xml:space="preserve"> 2020</w:t>
      </w:r>
    </w:p>
    <w:p w14:paraId="67BBBAD4" w14:textId="771CEB68" w:rsidR="00C17FAB" w:rsidRPr="00860EA5" w:rsidRDefault="002D7C60" w:rsidP="00DA3B00">
      <w:pPr>
        <w:spacing w:before="340"/>
        <w:rPr>
          <w:b/>
          <w:bCs/>
        </w:rPr>
      </w:pPr>
      <w:r w:rsidRPr="00860EA5">
        <w:rPr>
          <w:b/>
          <w:bCs/>
        </w:rPr>
        <w:t>Disallowable instrument DI</w:t>
      </w:r>
      <w:r w:rsidR="00A35F53" w:rsidRPr="00860EA5">
        <w:rPr>
          <w:b/>
          <w:bCs/>
        </w:rPr>
        <w:t>2020</w:t>
      </w:r>
      <w:r w:rsidR="00C17FAB" w:rsidRPr="00860EA5">
        <w:rPr>
          <w:b/>
          <w:bCs/>
        </w:rPr>
        <w:t>–</w:t>
      </w:r>
      <w:r w:rsidR="001C350E">
        <w:rPr>
          <w:b/>
          <w:bCs/>
        </w:rPr>
        <w:t>239</w:t>
      </w:r>
    </w:p>
    <w:p w14:paraId="27FB3EB8" w14:textId="77777777" w:rsidR="00C17FAB" w:rsidRPr="00E96F90" w:rsidRDefault="00C17FAB" w:rsidP="00DA3B00">
      <w:pPr>
        <w:pStyle w:val="madeunder"/>
        <w:spacing w:before="300" w:after="0"/>
      </w:pPr>
      <w:r w:rsidRPr="00E96F90">
        <w:t xml:space="preserve">made under the  </w:t>
      </w:r>
    </w:p>
    <w:p w14:paraId="6CA1F24E" w14:textId="08A5A3EA" w:rsidR="00C17FAB" w:rsidRPr="00860EA5" w:rsidRDefault="00A77F08" w:rsidP="00DA3B00">
      <w:pPr>
        <w:pStyle w:val="CoverActName"/>
        <w:spacing w:before="320" w:after="0"/>
        <w:rPr>
          <w:rFonts w:ascii="Times New Roman" w:hAnsi="Times New Roman"/>
          <w:sz w:val="20"/>
        </w:rPr>
      </w:pPr>
      <w:r w:rsidRPr="00860EA5">
        <w:rPr>
          <w:rFonts w:ascii="Times New Roman" w:hAnsi="Times New Roman"/>
          <w:i/>
          <w:iCs/>
          <w:sz w:val="20"/>
        </w:rPr>
        <w:t>Public Health Act 1997</w:t>
      </w:r>
      <w:r w:rsidR="00C17FAB" w:rsidRPr="00860EA5">
        <w:rPr>
          <w:rFonts w:ascii="Times New Roman" w:hAnsi="Times New Roman"/>
          <w:sz w:val="20"/>
        </w:rPr>
        <w:t xml:space="preserve">, </w:t>
      </w:r>
      <w:r w:rsidRPr="00860EA5">
        <w:rPr>
          <w:rFonts w:ascii="Times New Roman" w:hAnsi="Times New Roman"/>
          <w:sz w:val="20"/>
        </w:rPr>
        <w:t>s 137</w:t>
      </w:r>
      <w:r w:rsidR="00C17FAB" w:rsidRPr="00860EA5">
        <w:rPr>
          <w:rFonts w:ascii="Times New Roman" w:hAnsi="Times New Roman"/>
          <w:sz w:val="20"/>
        </w:rPr>
        <w:t xml:space="preserve"> (</w:t>
      </w:r>
      <w:r w:rsidRPr="00860EA5">
        <w:rPr>
          <w:rFonts w:ascii="Times New Roman" w:hAnsi="Times New Roman"/>
          <w:sz w:val="20"/>
        </w:rPr>
        <w:t>Determination of fees</w:t>
      </w:r>
      <w:r w:rsidR="00C17FAB" w:rsidRPr="00860EA5">
        <w:rPr>
          <w:rFonts w:ascii="Times New Roman" w:hAnsi="Times New Roman"/>
          <w:sz w:val="20"/>
        </w:rPr>
        <w:t>)</w:t>
      </w:r>
    </w:p>
    <w:p w14:paraId="1BD995E5" w14:textId="77777777" w:rsidR="00C17FAB" w:rsidRPr="00860EA5" w:rsidRDefault="00C17FAB">
      <w:pPr>
        <w:spacing w:before="360"/>
        <w:ind w:right="565"/>
        <w:rPr>
          <w:b/>
          <w:bCs/>
          <w:sz w:val="28"/>
          <w:szCs w:val="28"/>
        </w:rPr>
      </w:pPr>
      <w:r w:rsidRPr="00860EA5">
        <w:rPr>
          <w:b/>
          <w:bCs/>
          <w:sz w:val="28"/>
          <w:szCs w:val="28"/>
        </w:rPr>
        <w:t>EXPLANATORY STATEMENT</w:t>
      </w:r>
    </w:p>
    <w:p w14:paraId="055839E7" w14:textId="77777777" w:rsidR="00C17FAB" w:rsidRPr="00E96F90" w:rsidRDefault="00C17FAB">
      <w:pPr>
        <w:pStyle w:val="N-line3"/>
        <w:pBdr>
          <w:bottom w:val="none" w:sz="0" w:space="0" w:color="auto"/>
        </w:pBdr>
      </w:pPr>
    </w:p>
    <w:p w14:paraId="24B1FFE0" w14:textId="77777777" w:rsidR="00C17FAB" w:rsidRPr="00E96F90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5BB20D9D" w14:textId="797CA3FC" w:rsidR="00C17FAB" w:rsidRPr="00E96F90" w:rsidRDefault="00A60FBC">
      <w:r w:rsidRPr="00E96F90">
        <w:t xml:space="preserve">Section 137 of the </w:t>
      </w:r>
      <w:r w:rsidRPr="00E96F90">
        <w:rPr>
          <w:i/>
          <w:iCs/>
        </w:rPr>
        <w:t>Public Health Act 1997</w:t>
      </w:r>
      <w:r w:rsidRPr="00E96F90">
        <w:t xml:space="preserve"> (the Act) establishes the power for the Minister to determine fees for the Act. Section 137 (</w:t>
      </w:r>
      <w:r w:rsidR="0092549A" w:rsidRPr="00E96F90">
        <w:t>2</w:t>
      </w:r>
      <w:r w:rsidRPr="00E96F90">
        <w:t>) establishes the Minister’s power to determine a quarantine fee scheme for the Territory.</w:t>
      </w:r>
    </w:p>
    <w:p w14:paraId="6D049F51" w14:textId="3A4F46E7" w:rsidR="0086455F" w:rsidRPr="00E96F90" w:rsidRDefault="0086455F"/>
    <w:p w14:paraId="0E5FDE6B" w14:textId="65DD854B" w:rsidR="0086455F" w:rsidRPr="00E96F90" w:rsidRDefault="0086455F">
      <w:r w:rsidRPr="00E96F90">
        <w:t xml:space="preserve">The requirement </w:t>
      </w:r>
      <w:r w:rsidR="004075AC" w:rsidRPr="00E96F90">
        <w:t>for mandatory</w:t>
      </w:r>
      <w:r w:rsidRPr="00E96F90">
        <w:t xml:space="preserve"> quarantine</w:t>
      </w:r>
      <w:r w:rsidR="00A35F53" w:rsidRPr="00E96F90">
        <w:t xml:space="preserve"> i</w:t>
      </w:r>
      <w:r w:rsidR="004075AC" w:rsidRPr="00E96F90">
        <w:t>s established</w:t>
      </w:r>
      <w:r w:rsidR="00A35F53" w:rsidRPr="00E96F90">
        <w:t xml:space="preserve"> under</w:t>
      </w:r>
      <w:r w:rsidRPr="00E96F90">
        <w:t xml:space="preserve"> the </w:t>
      </w:r>
      <w:r w:rsidRPr="00E96F90">
        <w:rPr>
          <w:i/>
          <w:iCs/>
        </w:rPr>
        <w:t>Public Health (Returned Travellers) Emergency Direction 2020</w:t>
      </w:r>
      <w:r w:rsidRPr="00E96F90">
        <w:t xml:space="preserve"> (No 6) and </w:t>
      </w:r>
      <w:r w:rsidR="007C11DB" w:rsidRPr="00E96F90">
        <w:t xml:space="preserve">any </w:t>
      </w:r>
      <w:r w:rsidRPr="00E96F90">
        <w:t>subsequent</w:t>
      </w:r>
      <w:r w:rsidR="007C11DB" w:rsidRPr="00E96F90">
        <w:t xml:space="preserve"> instruments</w:t>
      </w:r>
      <w:r w:rsidRPr="00E96F90">
        <w:t>.</w:t>
      </w:r>
      <w:r w:rsidR="006A741B" w:rsidRPr="00E96F90">
        <w:t xml:space="preserve"> </w:t>
      </w:r>
      <w:r w:rsidR="004075AC" w:rsidRPr="00E96F90">
        <w:t xml:space="preserve">The Government’s approach is consistent with </w:t>
      </w:r>
      <w:r w:rsidR="00404FFC" w:rsidRPr="00E96F90">
        <w:t>n</w:t>
      </w:r>
      <w:r w:rsidR="004075AC" w:rsidRPr="00E96F90">
        <w:t>ational commitment</w:t>
      </w:r>
      <w:r w:rsidR="00404FFC" w:rsidRPr="00E96F90">
        <w:t>s</w:t>
      </w:r>
      <w:r w:rsidR="004075AC" w:rsidRPr="00E96F90">
        <w:t xml:space="preserve"> that anyone arriving in Australia from overseas must undertake mandatory quarantine for a period of 14 days in a hotel or other government authorised premises. </w:t>
      </w:r>
    </w:p>
    <w:p w14:paraId="7BBA2541" w14:textId="2F343B2E" w:rsidR="006A741B" w:rsidRPr="00E96F90" w:rsidRDefault="006A741B"/>
    <w:p w14:paraId="01CF2443" w14:textId="7E4F79D7" w:rsidR="006A741B" w:rsidRPr="00E96F90" w:rsidRDefault="00404FFC">
      <w:r w:rsidRPr="00E96F90">
        <w:t>In view of the continuing impact of the COVID-19 pandemic, it is anticipated that i</w:t>
      </w:r>
      <w:r w:rsidR="006A741B" w:rsidRPr="00E96F90">
        <w:t>nternational repatriation flights</w:t>
      </w:r>
      <w:r w:rsidRPr="00E96F90">
        <w:t xml:space="preserve"> will</w:t>
      </w:r>
      <w:r w:rsidR="006A741B" w:rsidRPr="00E96F90">
        <w:t xml:space="preserve"> continue with a</w:t>
      </w:r>
      <w:r w:rsidR="00005CEB" w:rsidRPr="00E96F90">
        <w:t>n ongoing</w:t>
      </w:r>
      <w:r w:rsidR="006A741B" w:rsidRPr="00E96F90">
        <w:t xml:space="preserve"> requirement for mandatory quarantine on arrival in the ACT. </w:t>
      </w:r>
      <w:r w:rsidRPr="00E96F90">
        <w:t xml:space="preserve">The recovery of costs will alleviate the full burden of quarantine costs on ACT </w:t>
      </w:r>
      <w:r w:rsidR="007C11DB" w:rsidRPr="00E96F90">
        <w:t>tax</w:t>
      </w:r>
      <w:r w:rsidRPr="00E96F90">
        <w:t>payers and is consistent with measures in place in other jurisdictions. The</w:t>
      </w:r>
      <w:r w:rsidR="006A741B" w:rsidRPr="00E96F90">
        <w:t xml:space="preserve"> portion of</w:t>
      </w:r>
      <w:r w:rsidRPr="00E96F90">
        <w:t xml:space="preserve"> recovered</w:t>
      </w:r>
      <w:r w:rsidR="006A741B" w:rsidRPr="00E96F90">
        <w:t xml:space="preserve"> costs will allow the Government to direct resources to crucial areas such as health care</w:t>
      </w:r>
      <w:r w:rsidRPr="00E96F90">
        <w:t xml:space="preserve"> </w:t>
      </w:r>
      <w:r w:rsidR="006A741B" w:rsidRPr="00E96F90">
        <w:t>and public health safety campaigns to assist with the response to the COVID-19 pandemic.</w:t>
      </w:r>
    </w:p>
    <w:p w14:paraId="7BE6C77E" w14:textId="5F802555" w:rsidR="0086455F" w:rsidRPr="00E96F90" w:rsidRDefault="0086455F"/>
    <w:p w14:paraId="593DFCCD" w14:textId="36D693F5" w:rsidR="006A741B" w:rsidRPr="00E96F90" w:rsidRDefault="006A741B" w:rsidP="006A741B">
      <w:r w:rsidRPr="00E96F90">
        <w:t xml:space="preserve">The Determination imposes the payment of a quarantine fee for returned travellers who are required to quarantine in a place outside of their home within the ACT. The Determination </w:t>
      </w:r>
      <w:r w:rsidR="00FA7899" w:rsidRPr="00E96F90">
        <w:t xml:space="preserve">operates </w:t>
      </w:r>
      <w:r w:rsidR="00897AF0" w:rsidRPr="00E96F90">
        <w:t>while there is a public health emergency (</w:t>
      </w:r>
      <w:r w:rsidR="00897AF0" w:rsidRPr="00E96F90">
        <w:rPr>
          <w:i/>
          <w:iCs/>
        </w:rPr>
        <w:t>Public Health (Emergency) Declaration 2020 (No 1)</w:t>
      </w:r>
      <w:r w:rsidR="000D55FF" w:rsidRPr="00E96F90">
        <w:rPr>
          <w:i/>
          <w:iCs/>
        </w:rPr>
        <w:t xml:space="preserve"> </w:t>
      </w:r>
      <w:r w:rsidR="000D55FF" w:rsidRPr="00E96F90">
        <w:t>[NI 2020-153]</w:t>
      </w:r>
      <w:r w:rsidR="000D55FF" w:rsidRPr="00E96F90">
        <w:rPr>
          <w:i/>
          <w:iCs/>
        </w:rPr>
        <w:t xml:space="preserve"> </w:t>
      </w:r>
      <w:r w:rsidR="000D55FF" w:rsidRPr="00E96F90">
        <w:t>(including any extension or subsequent extensions</w:t>
      </w:r>
      <w:r w:rsidR="00897AF0" w:rsidRPr="00E96F90">
        <w:t>) and if</w:t>
      </w:r>
      <w:r w:rsidR="00FA7899" w:rsidRPr="00E96F90">
        <w:t xml:space="preserve"> a direction </w:t>
      </w:r>
      <w:r w:rsidR="00897AF0" w:rsidRPr="00E96F90">
        <w:t xml:space="preserve">to quarantine </w:t>
      </w:r>
      <w:r w:rsidR="00FA7899" w:rsidRPr="00E96F90">
        <w:t xml:space="preserve">under section 120 (1) of the Act </w:t>
      </w:r>
      <w:r w:rsidR="00897AF0" w:rsidRPr="00E96F90">
        <w:t>is in force</w:t>
      </w:r>
      <w:r w:rsidR="000D55FF" w:rsidRPr="00E96F90">
        <w:t xml:space="preserve"> </w:t>
      </w:r>
      <w:r w:rsidR="007C11DB" w:rsidRPr="00E96F90">
        <w:t xml:space="preserve">defined as </w:t>
      </w:r>
      <w:r w:rsidR="000D55FF" w:rsidRPr="00E96F90">
        <w:t xml:space="preserve">the </w:t>
      </w:r>
      <w:r w:rsidR="00897AF0" w:rsidRPr="00E96F90">
        <w:rPr>
          <w:i/>
          <w:iCs/>
        </w:rPr>
        <w:t>Public Health (Returned Travellers) Emergency Direction 2020 (No 6)</w:t>
      </w:r>
      <w:r w:rsidR="000D55FF" w:rsidRPr="00E96F90">
        <w:t xml:space="preserve"> or any later direction </w:t>
      </w:r>
      <w:r w:rsidR="007C11DB" w:rsidRPr="00E96F90">
        <w:t>to quarantine on entering the ACT following a flight that originated outside of Australia.</w:t>
      </w:r>
    </w:p>
    <w:p w14:paraId="29936F71" w14:textId="18270929" w:rsidR="0092549A" w:rsidRPr="00E96F90" w:rsidRDefault="0092549A" w:rsidP="006A741B"/>
    <w:p w14:paraId="1256A6C5" w14:textId="7C3BBA66" w:rsidR="00B0255A" w:rsidRPr="00E96F90" w:rsidRDefault="0092549A">
      <w:r w:rsidRPr="00E96F90">
        <w:t>The fees are calculated based on the total cost of accommodation, food and personal costs, and are in-line with the charging arrangements in NSW based on room occupancy.</w:t>
      </w:r>
    </w:p>
    <w:p w14:paraId="75A28BFA" w14:textId="3DABFAF9" w:rsidR="00B0255A" w:rsidRPr="00E96F90" w:rsidRDefault="00B0255A">
      <w:r w:rsidRPr="00E96F90">
        <w:lastRenderedPageBreak/>
        <w:t xml:space="preserve">The Determination </w:t>
      </w:r>
      <w:r w:rsidR="00404FFC" w:rsidRPr="00E96F90">
        <w:t xml:space="preserve">provides </w:t>
      </w:r>
      <w:r w:rsidRPr="00E96F90">
        <w:t>for hardship</w:t>
      </w:r>
      <w:r w:rsidR="00404FFC" w:rsidRPr="00E96F90">
        <w:t xml:space="preserve"> provisions</w:t>
      </w:r>
      <w:r w:rsidRPr="00E96F90">
        <w:t>, allow</w:t>
      </w:r>
      <w:r w:rsidR="00404FFC" w:rsidRPr="00E96F90">
        <w:t>ing</w:t>
      </w:r>
      <w:r w:rsidRPr="00E96F90">
        <w:t xml:space="preserve"> an individual to apply to the Minister for a payment plan, deferral of payment and a waiver of the fee. This is in-line with the requirements under section 137 (</w:t>
      </w:r>
      <w:r w:rsidR="0092549A" w:rsidRPr="00E96F90">
        <w:t>3</w:t>
      </w:r>
      <w:r w:rsidRPr="00E96F90">
        <w:t>) of the Act.</w:t>
      </w:r>
    </w:p>
    <w:p w14:paraId="7CA14E51" w14:textId="62DEC856" w:rsidR="00A35F53" w:rsidRPr="00E96F90" w:rsidRDefault="00A35F53"/>
    <w:p w14:paraId="5F8F44B9" w14:textId="2406C34C" w:rsidR="00440C2C" w:rsidRDefault="005B0ED2">
      <w:r w:rsidRPr="00E96F90">
        <w:t xml:space="preserve">Under the </w:t>
      </w:r>
      <w:r w:rsidRPr="00E96F90">
        <w:rPr>
          <w:i/>
          <w:iCs/>
        </w:rPr>
        <w:t>Public Health (Returned Travellers) Emergency Direction 2020 (No 6)</w:t>
      </w:r>
      <w:r w:rsidRPr="00E96F90">
        <w:t xml:space="preserve">, </w:t>
      </w:r>
      <w:r w:rsidR="00221B2D" w:rsidRPr="00E96F90">
        <w:t>a person</w:t>
      </w:r>
      <w:r w:rsidR="00647849">
        <w:t xml:space="preserve"> who is</w:t>
      </w:r>
      <w:r w:rsidR="00D959B0" w:rsidRPr="00E96F90" w:rsidDel="0092549A">
        <w:t xml:space="preserve"> </w:t>
      </w:r>
      <w:r w:rsidRPr="00E96F90">
        <w:t xml:space="preserve">subject </w:t>
      </w:r>
      <w:r w:rsidR="006A740C">
        <w:t>to</w:t>
      </w:r>
      <w:r w:rsidRPr="00E96F90">
        <w:t xml:space="preserve"> quarantine</w:t>
      </w:r>
      <w:r w:rsidR="006A740C">
        <w:t xml:space="preserve"> under the</w:t>
      </w:r>
      <w:r w:rsidRPr="00E96F90">
        <w:t xml:space="preserve"> direction </w:t>
      </w:r>
      <w:r w:rsidR="00647849">
        <w:t>is</w:t>
      </w:r>
      <w:r w:rsidR="00647849" w:rsidRPr="00E96F90" w:rsidDel="0092549A">
        <w:t xml:space="preserve"> </w:t>
      </w:r>
      <w:r w:rsidR="00D959B0" w:rsidRPr="00E96F90" w:rsidDel="0092549A">
        <w:t xml:space="preserve">required to undergo COVID-19 testing and return negative </w:t>
      </w:r>
      <w:r w:rsidR="007C11DB" w:rsidRPr="00E96F90">
        <w:t xml:space="preserve">test </w:t>
      </w:r>
      <w:r w:rsidR="00D959B0" w:rsidRPr="00E96F90" w:rsidDel="0092549A">
        <w:t>result</w:t>
      </w:r>
      <w:r w:rsidR="007C11DB" w:rsidRPr="00E96F90">
        <w:t>s</w:t>
      </w:r>
      <w:r w:rsidR="00D959B0" w:rsidRPr="00E96F90" w:rsidDel="0092549A">
        <w:t xml:space="preserve"> before the </w:t>
      </w:r>
      <w:r w:rsidRPr="00E96F90">
        <w:t xml:space="preserve">standard </w:t>
      </w:r>
      <w:r w:rsidR="00D959B0" w:rsidRPr="00E96F90" w:rsidDel="0092549A">
        <w:t xml:space="preserve">quarantine </w:t>
      </w:r>
      <w:r w:rsidR="00204FDB">
        <w:t>duration</w:t>
      </w:r>
      <w:r w:rsidR="00204FDB" w:rsidRPr="00E96F90" w:rsidDel="0092549A">
        <w:t xml:space="preserve"> </w:t>
      </w:r>
      <w:r w:rsidRPr="00E96F90">
        <w:t xml:space="preserve">(14 days) </w:t>
      </w:r>
      <w:r w:rsidR="00D959B0" w:rsidRPr="00E96F90" w:rsidDel="0092549A">
        <w:t>ends.</w:t>
      </w:r>
      <w:r w:rsidR="00D959B0" w:rsidRPr="00E96F90">
        <w:t xml:space="preserve"> </w:t>
      </w:r>
      <w:r w:rsidR="00221B2D" w:rsidRPr="00E96F90">
        <w:t>A person</w:t>
      </w:r>
      <w:r w:rsidR="0012410D" w:rsidRPr="00E96F90" w:rsidDel="0092549A">
        <w:t xml:space="preserve"> who elect</w:t>
      </w:r>
      <w:r w:rsidR="00221B2D" w:rsidRPr="00E96F90">
        <w:t>s</w:t>
      </w:r>
      <w:r w:rsidR="0012410D" w:rsidRPr="00E96F90" w:rsidDel="0092549A">
        <w:t xml:space="preserve"> not to </w:t>
      </w:r>
      <w:r w:rsidRPr="00E96F90">
        <w:t xml:space="preserve">undergo COVID-19 testing </w:t>
      </w:r>
      <w:r w:rsidR="0012410D" w:rsidRPr="00E96F90" w:rsidDel="0092549A">
        <w:t xml:space="preserve">will be required to </w:t>
      </w:r>
      <w:r w:rsidR="007C11DB" w:rsidRPr="00E96F90">
        <w:t>remain</w:t>
      </w:r>
      <w:r w:rsidR="0012410D" w:rsidRPr="00E96F90" w:rsidDel="0092549A">
        <w:t xml:space="preserve"> in quarantine </w:t>
      </w:r>
      <w:r w:rsidR="007C11DB" w:rsidRPr="00E96F90">
        <w:t>for a</w:t>
      </w:r>
      <w:r w:rsidR="00440C2C">
        <w:t xml:space="preserve"> supplementary quarantine period of a</w:t>
      </w:r>
      <w:r w:rsidR="007C11DB" w:rsidRPr="00E96F90">
        <w:t xml:space="preserve"> further 10 days</w:t>
      </w:r>
      <w:r w:rsidR="00647849">
        <w:t xml:space="preserve"> </w:t>
      </w:r>
      <w:r w:rsidR="00F73C48">
        <w:t xml:space="preserve">and </w:t>
      </w:r>
      <w:r w:rsidR="00204FDB">
        <w:t xml:space="preserve">is responsible for </w:t>
      </w:r>
      <w:r w:rsidR="00F73C48">
        <w:t>pay</w:t>
      </w:r>
      <w:r w:rsidR="00204FDB">
        <w:t>ment of</w:t>
      </w:r>
      <w:r w:rsidR="00F73C48">
        <w:t xml:space="preserve"> their accommodation costs directly to the accommodation provider</w:t>
      </w:r>
      <w:r w:rsidR="00404FFC" w:rsidRPr="00E96F90" w:rsidDel="0092549A">
        <w:t>.</w:t>
      </w:r>
      <w:r w:rsidR="00204FDB">
        <w:t xml:space="preserve"> </w:t>
      </w:r>
      <w:r w:rsidR="00440C2C">
        <w:t xml:space="preserve"> </w:t>
      </w:r>
    </w:p>
    <w:p w14:paraId="28AA6BE3" w14:textId="7D5C7EF7" w:rsidR="0012410D" w:rsidRPr="00E96F90" w:rsidRDefault="0012410D"/>
    <w:p w14:paraId="6076343D" w14:textId="19D2B90A" w:rsidR="003E4E08" w:rsidRPr="00E96F90" w:rsidRDefault="003E4E08" w:rsidP="003E4E08">
      <w:r w:rsidRPr="00E96F90">
        <w:t>The Determination does not apply to a person who is a member of an international flight crew, air ambulance or medevac crew.</w:t>
      </w:r>
    </w:p>
    <w:p w14:paraId="3D76E4D3" w14:textId="77777777" w:rsidR="003E4E08" w:rsidRPr="00E96F90" w:rsidRDefault="003E4E08"/>
    <w:p w14:paraId="4EA14AAB" w14:textId="586C5BD0" w:rsidR="00A35F53" w:rsidRPr="00E96F90" w:rsidRDefault="009F251C">
      <w:r>
        <w:t>T</w:t>
      </w:r>
      <w:r w:rsidR="00A35F53" w:rsidRPr="00E96F90">
        <w:t>his Determination is a disallowable instrument</w:t>
      </w:r>
      <w:r>
        <w:t xml:space="preserve"> under section 137 (1)</w:t>
      </w:r>
      <w:r w:rsidR="00A35F53" w:rsidRPr="00E96F90">
        <w:t>.</w:t>
      </w:r>
    </w:p>
    <w:p w14:paraId="2B353CED" w14:textId="346F158F" w:rsidR="00A60FBC" w:rsidRPr="00E96F90" w:rsidRDefault="00A60FBC"/>
    <w:p w14:paraId="249AD10A" w14:textId="64B3FCCF" w:rsidR="00A60FBC" w:rsidRPr="00860EA5" w:rsidRDefault="007C11DB">
      <w:pPr>
        <w:rPr>
          <w:b/>
          <w:bCs/>
        </w:rPr>
      </w:pPr>
      <w:r w:rsidRPr="00E96F90">
        <w:rPr>
          <w:b/>
          <w:bCs/>
        </w:rPr>
        <w:t xml:space="preserve">Section </w:t>
      </w:r>
      <w:r w:rsidR="005B0ED2" w:rsidRPr="00860EA5">
        <w:rPr>
          <w:b/>
          <w:bCs/>
        </w:rPr>
        <w:t>1 – Name of instrument</w:t>
      </w:r>
    </w:p>
    <w:p w14:paraId="13B1B58A" w14:textId="7AF0C584" w:rsidR="005B0ED2" w:rsidRPr="00E96F90" w:rsidRDefault="005B0ED2" w:rsidP="005B0ED2">
      <w:r w:rsidRPr="00E96F90">
        <w:t xml:space="preserve">This </w:t>
      </w:r>
      <w:r w:rsidR="007C11DB" w:rsidRPr="00E96F90">
        <w:t xml:space="preserve">section </w:t>
      </w:r>
      <w:r w:rsidRPr="00E96F90">
        <w:t xml:space="preserve">identifies the name of the instrument as the </w:t>
      </w:r>
      <w:r w:rsidRPr="00860EA5">
        <w:rPr>
          <w:i/>
          <w:iCs/>
        </w:rPr>
        <w:t>Public Health (Quarantine Fees) Determination 2020</w:t>
      </w:r>
      <w:r w:rsidRPr="00E96F90">
        <w:t>.</w:t>
      </w:r>
    </w:p>
    <w:p w14:paraId="36823477" w14:textId="3C2381E9" w:rsidR="005B0ED2" w:rsidRPr="00E96F90" w:rsidRDefault="005B0ED2" w:rsidP="005B0ED2"/>
    <w:p w14:paraId="54EB0E18" w14:textId="70FF0C63" w:rsidR="005B0ED2" w:rsidRPr="00E96F90" w:rsidRDefault="007C11DB" w:rsidP="005B0ED2">
      <w:pPr>
        <w:rPr>
          <w:b/>
          <w:bCs/>
        </w:rPr>
      </w:pPr>
      <w:r w:rsidRPr="00E96F90">
        <w:rPr>
          <w:b/>
          <w:bCs/>
        </w:rPr>
        <w:t xml:space="preserve">Section </w:t>
      </w:r>
      <w:r w:rsidR="005B0ED2" w:rsidRPr="00E96F90">
        <w:rPr>
          <w:b/>
          <w:bCs/>
        </w:rPr>
        <w:t>2 – Commencement</w:t>
      </w:r>
    </w:p>
    <w:p w14:paraId="26FFF23E" w14:textId="6DB7DB98" w:rsidR="005B0ED2" w:rsidRPr="00E96F90" w:rsidRDefault="005B0ED2" w:rsidP="005B0ED2">
      <w:r w:rsidRPr="00860EA5">
        <w:t>The instrument commences on the day after its notification day. As a result</w:t>
      </w:r>
      <w:r w:rsidRPr="00E96F90">
        <w:t>, a fee may only be imposed on a person the subject of a quarantine direction after</w:t>
      </w:r>
      <w:r w:rsidR="00C94A5D">
        <w:t xml:space="preserve"> it commences.</w:t>
      </w:r>
    </w:p>
    <w:p w14:paraId="3338F333" w14:textId="2AD6A872" w:rsidR="005B0ED2" w:rsidRPr="00E96F90" w:rsidRDefault="005B0ED2" w:rsidP="005B0ED2"/>
    <w:p w14:paraId="0808EABE" w14:textId="48F0C564" w:rsidR="005B0ED2" w:rsidRPr="00E96F90" w:rsidRDefault="007C11DB" w:rsidP="005B0ED2">
      <w:pPr>
        <w:rPr>
          <w:b/>
          <w:bCs/>
        </w:rPr>
      </w:pPr>
      <w:r w:rsidRPr="00E96F90">
        <w:rPr>
          <w:b/>
          <w:bCs/>
        </w:rPr>
        <w:t xml:space="preserve">Section </w:t>
      </w:r>
      <w:r w:rsidR="005B0ED2" w:rsidRPr="00E96F90">
        <w:rPr>
          <w:b/>
          <w:bCs/>
        </w:rPr>
        <w:t>3 – Definitions</w:t>
      </w:r>
    </w:p>
    <w:p w14:paraId="7574601E" w14:textId="117AB899" w:rsidR="005B0ED2" w:rsidRPr="00E96F90" w:rsidRDefault="005B0ED2" w:rsidP="005B0ED2">
      <w:r w:rsidRPr="00E96F90">
        <w:t xml:space="preserve">This </w:t>
      </w:r>
      <w:r w:rsidR="007C11DB" w:rsidRPr="00E96F90">
        <w:t xml:space="preserve">section </w:t>
      </w:r>
      <w:r w:rsidRPr="00E96F90">
        <w:t>sets certain definitions for the instrument.</w:t>
      </w:r>
    </w:p>
    <w:p w14:paraId="3DC05B92" w14:textId="1785B8CC" w:rsidR="005B0ED2" w:rsidRPr="00E96F90" w:rsidRDefault="005B0ED2" w:rsidP="005B0ED2"/>
    <w:p w14:paraId="000F2BE7" w14:textId="27A2C9EF" w:rsidR="005B0ED2" w:rsidRPr="00E96F90" w:rsidRDefault="007C11DB" w:rsidP="005B0ED2">
      <w:pPr>
        <w:rPr>
          <w:b/>
          <w:bCs/>
        </w:rPr>
      </w:pPr>
      <w:r w:rsidRPr="00E96F90">
        <w:rPr>
          <w:b/>
          <w:bCs/>
        </w:rPr>
        <w:t xml:space="preserve">Section </w:t>
      </w:r>
      <w:r w:rsidR="005B0ED2" w:rsidRPr="00E96F90">
        <w:rPr>
          <w:b/>
          <w:bCs/>
        </w:rPr>
        <w:t>4 – Application</w:t>
      </w:r>
    </w:p>
    <w:p w14:paraId="4B79BAF8" w14:textId="398C5DF1" w:rsidR="005B0ED2" w:rsidRPr="00E96F90" w:rsidRDefault="005B0ED2" w:rsidP="005B0ED2">
      <w:r w:rsidRPr="00E96F90">
        <w:t>This se</w:t>
      </w:r>
      <w:r w:rsidR="007C11DB" w:rsidRPr="00E96F90">
        <w:t>ction</w:t>
      </w:r>
      <w:r w:rsidRPr="00E96F90">
        <w:t xml:space="preserve"> sets out the application of the instrument.</w:t>
      </w:r>
    </w:p>
    <w:p w14:paraId="4754F640" w14:textId="2177CF77" w:rsidR="005B0ED2" w:rsidRPr="00E96F90" w:rsidRDefault="005B0ED2" w:rsidP="005B0ED2"/>
    <w:p w14:paraId="3AF7A0C0" w14:textId="6DE29227" w:rsidR="005B0ED2" w:rsidRPr="00E96F90" w:rsidRDefault="007C11DB" w:rsidP="005B0ED2">
      <w:pPr>
        <w:rPr>
          <w:b/>
          <w:bCs/>
        </w:rPr>
      </w:pPr>
      <w:r w:rsidRPr="00E96F90">
        <w:rPr>
          <w:b/>
          <w:bCs/>
        </w:rPr>
        <w:t xml:space="preserve">Section </w:t>
      </w:r>
      <w:r w:rsidR="005B0ED2" w:rsidRPr="00E96F90">
        <w:rPr>
          <w:b/>
          <w:bCs/>
        </w:rPr>
        <w:t>5 – Determination of quarantine fees</w:t>
      </w:r>
    </w:p>
    <w:p w14:paraId="0A4FB049" w14:textId="429FACB6" w:rsidR="007C11DB" w:rsidRPr="00E96F90" w:rsidRDefault="005B0ED2" w:rsidP="005B0ED2">
      <w:r w:rsidRPr="00E96F90">
        <w:t>This</w:t>
      </w:r>
      <w:r w:rsidR="007C11DB" w:rsidRPr="00E96F90">
        <w:t xml:space="preserve"> section</w:t>
      </w:r>
      <w:r w:rsidRPr="00E96F90">
        <w:t xml:space="preserve"> determines the quarantine fees and includes two examples</w:t>
      </w:r>
      <w:r w:rsidR="007C11DB" w:rsidRPr="00E96F90">
        <w:t xml:space="preserve"> to aid in the interpretation of the fee determination</w:t>
      </w:r>
      <w:r w:rsidR="004D1B81" w:rsidRPr="00E96F90">
        <w:t>.</w:t>
      </w:r>
      <w:r w:rsidR="003113E5" w:rsidRPr="00E96F90">
        <w:t xml:space="preserve"> </w:t>
      </w:r>
      <w:r w:rsidR="004D1B81" w:rsidRPr="00E96F90">
        <w:t>Subsection (2) defines certain terms used in</w:t>
      </w:r>
      <w:r w:rsidR="007C11DB" w:rsidRPr="00E96F90">
        <w:t xml:space="preserve"> section</w:t>
      </w:r>
      <w:r w:rsidR="004D1B81" w:rsidRPr="00E96F90">
        <w:t xml:space="preserve"> 5.</w:t>
      </w:r>
      <w:r w:rsidR="003113E5" w:rsidRPr="00E96F90">
        <w:t xml:space="preserve"> </w:t>
      </w:r>
    </w:p>
    <w:p w14:paraId="32CCEBB0" w14:textId="77777777" w:rsidR="007C11DB" w:rsidRPr="00E96F90" w:rsidRDefault="007C11DB" w:rsidP="005B0ED2"/>
    <w:p w14:paraId="7709CCA1" w14:textId="4FCE09EE" w:rsidR="003113E5" w:rsidRPr="00E96F90" w:rsidRDefault="007C11DB" w:rsidP="005B0ED2">
      <w:r w:rsidRPr="00E96F90">
        <w:t>A fee is not payable in relation to a child under 3 years of age</w:t>
      </w:r>
      <w:r w:rsidR="00221B2D" w:rsidRPr="00E96F90">
        <w:t xml:space="preserve"> who is required to quarantine</w:t>
      </w:r>
      <w:r w:rsidRPr="00E96F90">
        <w:t>.</w:t>
      </w:r>
      <w:r w:rsidR="009F251C">
        <w:t xml:space="preserve"> </w:t>
      </w:r>
      <w:r w:rsidR="003113E5" w:rsidRPr="00E96F90">
        <w:t>The table below describes the quarantine fees.</w:t>
      </w:r>
    </w:p>
    <w:p w14:paraId="4B951405" w14:textId="532063D6" w:rsidR="00F07A83" w:rsidRDefault="00F07A83">
      <w:r>
        <w:br w:type="page"/>
      </w:r>
    </w:p>
    <w:p w14:paraId="1CA2EA60" w14:textId="77777777" w:rsidR="003113E5" w:rsidRPr="00E96F90" w:rsidRDefault="003113E5" w:rsidP="005B0ED2"/>
    <w:p w14:paraId="486C3E64" w14:textId="5CAAF2DE" w:rsidR="003113E5" w:rsidRPr="00860EA5" w:rsidRDefault="003113E5" w:rsidP="005B0ED2">
      <w:pPr>
        <w:rPr>
          <w:b/>
          <w:bCs/>
        </w:rPr>
      </w:pPr>
      <w:r w:rsidRPr="00860EA5">
        <w:rPr>
          <w:b/>
          <w:bCs/>
        </w:rPr>
        <w:t>Table 1: Quarantine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977"/>
      </w:tblGrid>
      <w:tr w:rsidR="003113E5" w:rsidRPr="00E96F90" w14:paraId="18C4DADC" w14:textId="77777777" w:rsidTr="00860EA5">
        <w:tc>
          <w:tcPr>
            <w:tcW w:w="4673" w:type="dxa"/>
            <w:shd w:val="clear" w:color="auto" w:fill="D9D9D9" w:themeFill="background1" w:themeFillShade="D9"/>
          </w:tcPr>
          <w:p w14:paraId="2463FA3B" w14:textId="368C909B" w:rsidR="003113E5" w:rsidRPr="00860EA5" w:rsidRDefault="00C94A5D" w:rsidP="00860EA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Class of p</w:t>
            </w:r>
            <w:r w:rsidR="00E96F90" w:rsidRPr="00E96F90">
              <w:rPr>
                <w:b/>
                <w:bCs/>
              </w:rPr>
              <w:t>erson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A837171" w14:textId="6EA49998" w:rsidR="003113E5" w:rsidRPr="00860EA5" w:rsidRDefault="003113E5" w:rsidP="00860EA5">
            <w:pPr>
              <w:spacing w:before="120" w:after="120"/>
              <w:rPr>
                <w:b/>
                <w:bCs/>
              </w:rPr>
            </w:pPr>
            <w:r w:rsidRPr="00860EA5">
              <w:rPr>
                <w:b/>
                <w:bCs/>
              </w:rPr>
              <w:t>Quarantine fee amount</w:t>
            </w:r>
          </w:p>
        </w:tc>
      </w:tr>
      <w:tr w:rsidR="003113E5" w:rsidRPr="00E96F90" w14:paraId="3B671552" w14:textId="77777777" w:rsidTr="00860EA5">
        <w:tc>
          <w:tcPr>
            <w:tcW w:w="4673" w:type="dxa"/>
          </w:tcPr>
          <w:p w14:paraId="530CEBB5" w14:textId="72845B14" w:rsidR="003113E5" w:rsidRPr="00E96F90" w:rsidRDefault="003113E5" w:rsidP="00860EA5">
            <w:pPr>
              <w:spacing w:before="120" w:after="120"/>
            </w:pPr>
            <w:r w:rsidRPr="00E96F90">
              <w:t>An adult not in a family group</w:t>
            </w:r>
          </w:p>
        </w:tc>
        <w:tc>
          <w:tcPr>
            <w:tcW w:w="2977" w:type="dxa"/>
          </w:tcPr>
          <w:p w14:paraId="31BB6B07" w14:textId="1F2FCB6C" w:rsidR="003113E5" w:rsidRPr="00E96F90" w:rsidRDefault="003113E5" w:rsidP="00860EA5">
            <w:pPr>
              <w:spacing w:before="120" w:after="120"/>
            </w:pPr>
            <w:r w:rsidRPr="00E96F90">
              <w:t>$3 000</w:t>
            </w:r>
          </w:p>
        </w:tc>
      </w:tr>
      <w:tr w:rsidR="00C94A5D" w:rsidRPr="00E96F90" w14:paraId="5D790E4E" w14:textId="77777777" w:rsidTr="001D6560">
        <w:tc>
          <w:tcPr>
            <w:tcW w:w="7650" w:type="dxa"/>
            <w:gridSpan w:val="2"/>
          </w:tcPr>
          <w:p w14:paraId="32F0DDC8" w14:textId="49946520" w:rsidR="00C94A5D" w:rsidRPr="00E96F90" w:rsidRDefault="00C94A5D" w:rsidP="00860EA5">
            <w:pPr>
              <w:spacing w:before="120" w:after="120"/>
            </w:pPr>
            <w:r w:rsidRPr="00550565">
              <w:rPr>
                <w:szCs w:val="24"/>
              </w:rPr>
              <w:t>For a family group:</w:t>
            </w:r>
          </w:p>
        </w:tc>
      </w:tr>
      <w:tr w:rsidR="00C94A5D" w:rsidRPr="00E96F90" w14:paraId="5BAC4B8A" w14:textId="77777777" w:rsidTr="003113E5">
        <w:tc>
          <w:tcPr>
            <w:tcW w:w="4673" w:type="dxa"/>
          </w:tcPr>
          <w:p w14:paraId="4A72E0E4" w14:textId="0356C571" w:rsidR="00C94A5D" w:rsidRPr="00860EA5" w:rsidRDefault="00C94A5D" w:rsidP="00860EA5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szCs w:val="24"/>
              </w:rPr>
            </w:pPr>
            <w:r w:rsidRPr="003C6399">
              <w:rPr>
                <w:rFonts w:ascii="Times New Roman" w:hAnsi="Times New Roman"/>
                <w:sz w:val="24"/>
                <w:szCs w:val="24"/>
              </w:rPr>
              <w:t>first adult</w:t>
            </w:r>
          </w:p>
        </w:tc>
        <w:tc>
          <w:tcPr>
            <w:tcW w:w="2977" w:type="dxa"/>
          </w:tcPr>
          <w:p w14:paraId="342A73E1" w14:textId="09E424E1" w:rsidR="00C94A5D" w:rsidRPr="00860EA5" w:rsidRDefault="00C94A5D" w:rsidP="00860EA5">
            <w:pPr>
              <w:spacing w:before="120" w:after="120"/>
              <w:rPr>
                <w:szCs w:val="24"/>
              </w:rPr>
            </w:pPr>
            <w:r w:rsidRPr="00550565">
              <w:rPr>
                <w:szCs w:val="24"/>
              </w:rPr>
              <w:t>$3 000</w:t>
            </w:r>
          </w:p>
        </w:tc>
      </w:tr>
      <w:tr w:rsidR="00C94A5D" w:rsidRPr="00E96F90" w14:paraId="54D03E0C" w14:textId="77777777" w:rsidTr="003113E5">
        <w:tc>
          <w:tcPr>
            <w:tcW w:w="4673" w:type="dxa"/>
          </w:tcPr>
          <w:p w14:paraId="16B41AC0" w14:textId="42F448CF" w:rsidR="00C94A5D" w:rsidRPr="00860EA5" w:rsidRDefault="00C94A5D" w:rsidP="00860EA5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szCs w:val="24"/>
              </w:rPr>
            </w:pPr>
            <w:r w:rsidRPr="002E7009">
              <w:rPr>
                <w:rFonts w:ascii="Times New Roman" w:hAnsi="Times New Roman"/>
                <w:sz w:val="24"/>
                <w:szCs w:val="24"/>
              </w:rPr>
              <w:t>each additional adult</w:t>
            </w:r>
          </w:p>
        </w:tc>
        <w:tc>
          <w:tcPr>
            <w:tcW w:w="2977" w:type="dxa"/>
          </w:tcPr>
          <w:p w14:paraId="1672FFE9" w14:textId="791C6968" w:rsidR="00C94A5D" w:rsidRPr="00860EA5" w:rsidRDefault="00C94A5D" w:rsidP="00860EA5">
            <w:pPr>
              <w:spacing w:before="120" w:after="120"/>
              <w:rPr>
                <w:szCs w:val="24"/>
              </w:rPr>
            </w:pPr>
            <w:r w:rsidRPr="00550565">
              <w:rPr>
                <w:szCs w:val="24"/>
              </w:rPr>
              <w:t>$1 000</w:t>
            </w:r>
          </w:p>
        </w:tc>
      </w:tr>
      <w:tr w:rsidR="00C94A5D" w:rsidRPr="00E96F90" w14:paraId="7FAFAE0B" w14:textId="77777777" w:rsidTr="003113E5">
        <w:tc>
          <w:tcPr>
            <w:tcW w:w="4673" w:type="dxa"/>
          </w:tcPr>
          <w:p w14:paraId="203BD965" w14:textId="04BBEF3A" w:rsidR="00C94A5D" w:rsidRPr="00E96F90" w:rsidRDefault="00C94A5D" w:rsidP="00860EA5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 w:rsidRPr="00517020">
              <w:rPr>
                <w:rFonts w:ascii="Times New Roman" w:hAnsi="Times New Roman"/>
                <w:sz w:val="24"/>
                <w:szCs w:val="24"/>
              </w:rPr>
              <w:t>each child age</w:t>
            </w:r>
            <w:r w:rsidR="00104A27">
              <w:rPr>
                <w:rFonts w:ascii="Times New Roman" w:hAnsi="Times New Roman"/>
                <w:sz w:val="24"/>
                <w:szCs w:val="24"/>
              </w:rPr>
              <w:t>d</w:t>
            </w:r>
            <w:r w:rsidRPr="00517020">
              <w:rPr>
                <w:rFonts w:ascii="Times New Roman" w:hAnsi="Times New Roman"/>
                <w:sz w:val="24"/>
                <w:szCs w:val="24"/>
              </w:rPr>
              <w:t xml:space="preserve"> 3 years or older</w:t>
            </w:r>
          </w:p>
        </w:tc>
        <w:tc>
          <w:tcPr>
            <w:tcW w:w="2977" w:type="dxa"/>
          </w:tcPr>
          <w:p w14:paraId="330FC970" w14:textId="03ECE22D" w:rsidR="00C94A5D" w:rsidRPr="00E96F90" w:rsidRDefault="00C94A5D" w:rsidP="00860EA5">
            <w:pPr>
              <w:spacing w:before="120" w:after="120"/>
            </w:pPr>
            <w:r w:rsidRPr="00550565">
              <w:rPr>
                <w:szCs w:val="24"/>
              </w:rPr>
              <w:t>$500</w:t>
            </w:r>
          </w:p>
        </w:tc>
      </w:tr>
    </w:tbl>
    <w:p w14:paraId="6191C03B" w14:textId="77777777" w:rsidR="00204FDB" w:rsidRDefault="00204FDB" w:rsidP="005B0ED2">
      <w:pPr>
        <w:rPr>
          <w:b/>
          <w:bCs/>
        </w:rPr>
      </w:pPr>
    </w:p>
    <w:p w14:paraId="3F1DAB42" w14:textId="6110EE45" w:rsidR="004D1B81" w:rsidRPr="00E96F90" w:rsidRDefault="007C11DB" w:rsidP="005B0ED2">
      <w:pPr>
        <w:rPr>
          <w:b/>
          <w:bCs/>
        </w:rPr>
      </w:pPr>
      <w:r w:rsidRPr="00E96F90">
        <w:rPr>
          <w:b/>
          <w:bCs/>
        </w:rPr>
        <w:t xml:space="preserve">Section </w:t>
      </w:r>
      <w:r w:rsidR="004D1B81" w:rsidRPr="00E96F90">
        <w:rPr>
          <w:b/>
          <w:bCs/>
        </w:rPr>
        <w:t>6 – People liable to pay quarantine fee</w:t>
      </w:r>
    </w:p>
    <w:p w14:paraId="27CD7608" w14:textId="15821B4A" w:rsidR="004D1B81" w:rsidRPr="00E96F90" w:rsidRDefault="004D1B81" w:rsidP="005B0ED2">
      <w:r w:rsidRPr="00E96F90">
        <w:t>This</w:t>
      </w:r>
      <w:r w:rsidR="007C11DB" w:rsidRPr="00E96F90">
        <w:t xml:space="preserve"> section</w:t>
      </w:r>
      <w:r w:rsidRPr="00E96F90">
        <w:t xml:space="preserve"> provides that the fee payable under </w:t>
      </w:r>
      <w:r w:rsidR="001F47A3" w:rsidRPr="00E96F90">
        <w:t>section</w:t>
      </w:r>
      <w:r w:rsidRPr="00E96F90">
        <w:t xml:space="preserve"> 5 is payable by the person required to quarantine.</w:t>
      </w:r>
    </w:p>
    <w:p w14:paraId="7EE03A0A" w14:textId="77777777" w:rsidR="004D1B81" w:rsidRPr="00E96F90" w:rsidRDefault="004D1B81" w:rsidP="005B0ED2"/>
    <w:p w14:paraId="3FD776E4" w14:textId="0BDD8522" w:rsidR="004D1B81" w:rsidRPr="00E96F90" w:rsidRDefault="004D1B81" w:rsidP="005B0ED2">
      <w:r w:rsidRPr="00E96F90">
        <w:t>Subsection (2) provides that the parents of a child are jointly and severally liable for a quarantine fee payable in relation to their child. Furthermore, if two or more adults are in quarantine together, all adults are jointly and severally liable for the quarantine fee payable.</w:t>
      </w:r>
    </w:p>
    <w:p w14:paraId="4C492957" w14:textId="2DC3CD17" w:rsidR="004D1B81" w:rsidRPr="00E96F90" w:rsidRDefault="004D1B81" w:rsidP="005B0ED2"/>
    <w:p w14:paraId="4B9FC711" w14:textId="02742874" w:rsidR="004D1B81" w:rsidRPr="00E96F90" w:rsidRDefault="001F47A3" w:rsidP="005B0ED2">
      <w:pPr>
        <w:rPr>
          <w:b/>
          <w:bCs/>
        </w:rPr>
      </w:pPr>
      <w:r w:rsidRPr="00E96F90">
        <w:rPr>
          <w:b/>
          <w:bCs/>
        </w:rPr>
        <w:t xml:space="preserve">Section </w:t>
      </w:r>
      <w:r w:rsidR="004D1B81" w:rsidRPr="00E96F90">
        <w:rPr>
          <w:b/>
          <w:bCs/>
        </w:rPr>
        <w:t>7 – Payment of quarantine fee</w:t>
      </w:r>
    </w:p>
    <w:p w14:paraId="1FE1C013" w14:textId="6AA87FAA" w:rsidR="003113E5" w:rsidRPr="00E96F90" w:rsidRDefault="004D1B81" w:rsidP="005B0ED2">
      <w:r w:rsidRPr="00E96F90">
        <w:t>This section provides that a quarantine fee is payable to the Territory and is payable as a lump sum.</w:t>
      </w:r>
    </w:p>
    <w:p w14:paraId="347FD4C5" w14:textId="77777777" w:rsidR="003113E5" w:rsidRPr="00E96F90" w:rsidRDefault="003113E5" w:rsidP="005B0ED2"/>
    <w:p w14:paraId="6A67FCC3" w14:textId="2712552C" w:rsidR="004D1B81" w:rsidRPr="00E96F90" w:rsidRDefault="004D1B81" w:rsidP="005B0ED2">
      <w:r w:rsidRPr="00E96F90">
        <w:t xml:space="preserve">Under subsection (2), a person may apply </w:t>
      </w:r>
      <w:r w:rsidR="003113E5" w:rsidRPr="00E96F90">
        <w:t>in writing to the Minister to pay the fee by instalments, to defer payment of the fee or to waive the fee.</w:t>
      </w:r>
    </w:p>
    <w:p w14:paraId="11C5851B" w14:textId="77777777" w:rsidR="001F47A3" w:rsidRPr="00E96F90" w:rsidRDefault="001F47A3" w:rsidP="005B0ED2"/>
    <w:p w14:paraId="055A3707" w14:textId="68C891E8" w:rsidR="003113E5" w:rsidRPr="00E96F90" w:rsidRDefault="003113E5" w:rsidP="005B0ED2">
      <w:r w:rsidRPr="00E96F90">
        <w:t xml:space="preserve">A note to subsection (3) signposts subsection 137(3) of the </w:t>
      </w:r>
      <w:r w:rsidRPr="00860EA5">
        <w:rPr>
          <w:i/>
          <w:iCs/>
        </w:rPr>
        <w:t>Public Health Act 1997</w:t>
      </w:r>
      <w:r w:rsidRPr="00E96F90">
        <w:t xml:space="preserve"> which provides that in consider</w:t>
      </w:r>
      <w:r w:rsidR="00CB767B">
        <w:t>ing</w:t>
      </w:r>
      <w:r w:rsidRPr="00E96F90">
        <w:t xml:space="preserve"> a matter under subsection 137(2), the Minister must take into account the applicant’s circumstances, including whether the applicant is suffering financial hardship.</w:t>
      </w:r>
    </w:p>
    <w:sectPr w:rsidR="003113E5" w:rsidRPr="00E96F90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5C856" w14:textId="77777777" w:rsidR="00CB030E" w:rsidRDefault="00CB030E" w:rsidP="00C17FAB">
      <w:r>
        <w:separator/>
      </w:r>
    </w:p>
  </w:endnote>
  <w:endnote w:type="continuationSeparator" w:id="0">
    <w:p w14:paraId="6705C35E" w14:textId="77777777" w:rsidR="00CB030E" w:rsidRDefault="00CB030E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99429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4442F" w14:textId="690B6C1E" w:rsidR="00DA3B00" w:rsidRPr="004D2AB0" w:rsidRDefault="004D2AB0" w:rsidP="004D2AB0">
    <w:pPr>
      <w:pStyle w:val="Footer"/>
      <w:jc w:val="center"/>
      <w:rPr>
        <w:rFonts w:cs="Arial"/>
        <w:sz w:val="14"/>
      </w:rPr>
    </w:pPr>
    <w:r w:rsidRPr="004D2AB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949BC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F7295" w14:textId="77777777" w:rsidR="00CB030E" w:rsidRDefault="00CB030E" w:rsidP="00C17FAB">
      <w:r>
        <w:separator/>
      </w:r>
    </w:p>
  </w:footnote>
  <w:footnote w:type="continuationSeparator" w:id="0">
    <w:p w14:paraId="6CD41F99" w14:textId="77777777" w:rsidR="00CB030E" w:rsidRDefault="00CB030E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BB14D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FED2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CD84C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E277DA"/>
    <w:multiLevelType w:val="hybridMultilevel"/>
    <w:tmpl w:val="8EEED5EC"/>
    <w:lvl w:ilvl="0" w:tplc="42DE9042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79D3C3F"/>
    <w:multiLevelType w:val="hybridMultilevel"/>
    <w:tmpl w:val="16D0907C"/>
    <w:lvl w:ilvl="0" w:tplc="9496BC7A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D7403"/>
    <w:multiLevelType w:val="hybridMultilevel"/>
    <w:tmpl w:val="C11E1AE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BE1DE9"/>
    <w:multiLevelType w:val="hybridMultilevel"/>
    <w:tmpl w:val="CF8CD624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C27F7E"/>
    <w:multiLevelType w:val="hybridMultilevel"/>
    <w:tmpl w:val="CD60551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2"/>
  </w:num>
  <w:num w:numId="6">
    <w:abstractNumId w:val="1"/>
  </w:num>
  <w:num w:numId="7">
    <w:abstractNumId w:val="5"/>
  </w:num>
  <w:num w:numId="8">
    <w:abstractNumId w:val="6"/>
  </w:num>
  <w:num w:numId="9">
    <w:abstractNumId w:val="13"/>
  </w:num>
  <w:num w:numId="10">
    <w:abstractNumId w:val="8"/>
  </w:num>
  <w:num w:numId="11">
    <w:abstractNumId w:val="9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05CEB"/>
    <w:rsid w:val="00037CAF"/>
    <w:rsid w:val="000B493B"/>
    <w:rsid w:val="000D55FF"/>
    <w:rsid w:val="000E12B6"/>
    <w:rsid w:val="00104A27"/>
    <w:rsid w:val="00116330"/>
    <w:rsid w:val="0012410D"/>
    <w:rsid w:val="001C350E"/>
    <w:rsid w:val="001F47A3"/>
    <w:rsid w:val="00204A33"/>
    <w:rsid w:val="00204FDB"/>
    <w:rsid w:val="00205355"/>
    <w:rsid w:val="00221B2D"/>
    <w:rsid w:val="00223781"/>
    <w:rsid w:val="002D7C60"/>
    <w:rsid w:val="003113E5"/>
    <w:rsid w:val="003E4E08"/>
    <w:rsid w:val="00404FFC"/>
    <w:rsid w:val="004075AC"/>
    <w:rsid w:val="00440C2C"/>
    <w:rsid w:val="00443404"/>
    <w:rsid w:val="004D1B81"/>
    <w:rsid w:val="004D2AB0"/>
    <w:rsid w:val="004E03FF"/>
    <w:rsid w:val="005B0ED2"/>
    <w:rsid w:val="005E2760"/>
    <w:rsid w:val="00610C5E"/>
    <w:rsid w:val="00640322"/>
    <w:rsid w:val="00647849"/>
    <w:rsid w:val="006A740C"/>
    <w:rsid w:val="006A741B"/>
    <w:rsid w:val="007346AC"/>
    <w:rsid w:val="007403A1"/>
    <w:rsid w:val="007518E6"/>
    <w:rsid w:val="007C11DB"/>
    <w:rsid w:val="00860EA5"/>
    <w:rsid w:val="0086455F"/>
    <w:rsid w:val="00897AF0"/>
    <w:rsid w:val="00903DA7"/>
    <w:rsid w:val="0092549A"/>
    <w:rsid w:val="009508A5"/>
    <w:rsid w:val="009F251C"/>
    <w:rsid w:val="00A35F53"/>
    <w:rsid w:val="00A5577E"/>
    <w:rsid w:val="00A60FBC"/>
    <w:rsid w:val="00A77F08"/>
    <w:rsid w:val="00AF5C92"/>
    <w:rsid w:val="00B0255A"/>
    <w:rsid w:val="00B644FB"/>
    <w:rsid w:val="00B86383"/>
    <w:rsid w:val="00C0389A"/>
    <w:rsid w:val="00C10DE8"/>
    <w:rsid w:val="00C17FAB"/>
    <w:rsid w:val="00C94A5D"/>
    <w:rsid w:val="00CB030E"/>
    <w:rsid w:val="00CB767B"/>
    <w:rsid w:val="00CE599C"/>
    <w:rsid w:val="00D959B0"/>
    <w:rsid w:val="00DA3B00"/>
    <w:rsid w:val="00DE1E09"/>
    <w:rsid w:val="00E21038"/>
    <w:rsid w:val="00E5327F"/>
    <w:rsid w:val="00E96F90"/>
    <w:rsid w:val="00F07A83"/>
    <w:rsid w:val="00F11C4F"/>
    <w:rsid w:val="00F73C48"/>
    <w:rsid w:val="00FA7899"/>
    <w:rsid w:val="00FC6827"/>
    <w:rsid w:val="00FC7960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DF3F36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6403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2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075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1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4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9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9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93B"/>
    <w:rPr>
      <w:b/>
      <w:bCs/>
      <w:lang w:eastAsia="en-US"/>
    </w:rPr>
  </w:style>
  <w:style w:type="paragraph" w:customStyle="1" w:styleId="06Fillinform">
    <w:name w:val="06 Fill in form"/>
    <w:basedOn w:val="Normal"/>
    <w:rsid w:val="00440C2C"/>
    <w:pPr>
      <w:widowControl w:val="0"/>
      <w:spacing w:after="60" w:line="260" w:lineRule="exact"/>
    </w:pPr>
    <w:rPr>
      <w:rFonts w:cs="Arial"/>
      <w:kern w:val="18"/>
      <w:sz w:val="20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D0AE3-A125-4EAA-8387-2D81B13F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4383</Characters>
  <Application>Microsoft Office Word</Application>
  <DocSecurity>0</DocSecurity>
  <Lines>112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2020-08-12T00:21:00Z</cp:lastPrinted>
  <dcterms:created xsi:type="dcterms:W3CDTF">2020-08-13T01:23:00Z</dcterms:created>
  <dcterms:modified xsi:type="dcterms:W3CDTF">2020-08-13T01:23:00Z</dcterms:modified>
</cp:coreProperties>
</file>