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30EDA3" w14:textId="77777777" w:rsidR="003B09F7" w:rsidRDefault="003B09F7" w:rsidP="003B09F7">
      <w:pPr>
        <w:spacing w:before="120"/>
        <w:rPr>
          <w:rFonts w:ascii="Arial" w:hAnsi="Arial" w:cs="Arial"/>
        </w:rPr>
      </w:pPr>
      <w:bookmarkStart w:id="0" w:name="_Toc44738651"/>
      <w:bookmarkStart w:id="1" w:name="_GoBack"/>
      <w:bookmarkEnd w:id="1"/>
      <w:r>
        <w:rPr>
          <w:rFonts w:ascii="Arial" w:hAnsi="Arial" w:cs="Arial"/>
        </w:rPr>
        <w:t>Australian Capital Territory</w:t>
      </w:r>
    </w:p>
    <w:p w14:paraId="6119472D" w14:textId="74ED2F3F" w:rsidR="003B09F7" w:rsidRDefault="003B09F7" w:rsidP="003B09F7">
      <w:pPr>
        <w:pStyle w:val="Billname"/>
        <w:spacing w:before="700"/>
      </w:pPr>
      <w:r>
        <w:t>Medicines, Poisons and Therapeutic Goods Amendment Regulation 20</w:t>
      </w:r>
      <w:r w:rsidR="00D64260">
        <w:t>20</w:t>
      </w:r>
      <w:r>
        <w:t xml:space="preserve"> (No </w:t>
      </w:r>
      <w:r w:rsidR="00DD2826">
        <w:t>4</w:t>
      </w:r>
      <w:r>
        <w:t>)</w:t>
      </w:r>
    </w:p>
    <w:p w14:paraId="21CC75B2" w14:textId="26E9EEDB" w:rsidR="003B09F7" w:rsidRDefault="003B09F7" w:rsidP="003B09F7">
      <w:pPr>
        <w:spacing w:before="340"/>
        <w:rPr>
          <w:rFonts w:ascii="Arial" w:hAnsi="Arial" w:cs="Arial"/>
          <w:b/>
          <w:bCs/>
        </w:rPr>
      </w:pPr>
      <w:r>
        <w:rPr>
          <w:rFonts w:ascii="Arial" w:hAnsi="Arial" w:cs="Arial"/>
          <w:b/>
          <w:bCs/>
        </w:rPr>
        <w:t>Subordinate law SL20</w:t>
      </w:r>
      <w:r w:rsidR="00746DF0">
        <w:rPr>
          <w:rFonts w:ascii="Arial" w:hAnsi="Arial" w:cs="Arial"/>
          <w:b/>
          <w:bCs/>
        </w:rPr>
        <w:t>20-31</w:t>
      </w:r>
    </w:p>
    <w:p w14:paraId="3BCBFA2B" w14:textId="77777777" w:rsidR="003B09F7" w:rsidRDefault="003B09F7" w:rsidP="003B09F7">
      <w:pPr>
        <w:pStyle w:val="madeunder"/>
        <w:spacing w:before="300" w:after="0"/>
      </w:pPr>
      <w:r>
        <w:t xml:space="preserve">made under the  </w:t>
      </w:r>
    </w:p>
    <w:p w14:paraId="1B49088F" w14:textId="77777777" w:rsidR="003B09F7" w:rsidRDefault="003B09F7" w:rsidP="003B09F7">
      <w:pPr>
        <w:pStyle w:val="CoverActName"/>
        <w:spacing w:before="320" w:after="0"/>
        <w:rPr>
          <w:rFonts w:cs="Arial"/>
          <w:sz w:val="20"/>
        </w:rPr>
      </w:pPr>
      <w:r w:rsidRPr="00B85A70">
        <w:rPr>
          <w:rFonts w:cs="Arial"/>
          <w:i/>
          <w:sz w:val="20"/>
        </w:rPr>
        <w:t>Medicines, Poisons and Therapeutic Goods Act 2008</w:t>
      </w:r>
      <w:r>
        <w:rPr>
          <w:rFonts w:cs="Arial"/>
          <w:sz w:val="20"/>
        </w:rPr>
        <w:t>, Section 184 (Regulation-making power)</w:t>
      </w:r>
    </w:p>
    <w:p w14:paraId="5BDA0D9F" w14:textId="77777777" w:rsidR="003B09F7" w:rsidRDefault="003B09F7" w:rsidP="003B09F7">
      <w:pPr>
        <w:spacing w:before="360"/>
        <w:ind w:right="565"/>
        <w:rPr>
          <w:rFonts w:ascii="Arial" w:hAnsi="Arial" w:cs="Arial"/>
          <w:b/>
          <w:bCs/>
          <w:sz w:val="28"/>
          <w:szCs w:val="28"/>
        </w:rPr>
      </w:pPr>
      <w:r>
        <w:rPr>
          <w:rFonts w:ascii="Arial" w:hAnsi="Arial" w:cs="Arial"/>
          <w:b/>
          <w:bCs/>
          <w:sz w:val="28"/>
          <w:szCs w:val="28"/>
        </w:rPr>
        <w:t>EXPLANATORY STATEMENT</w:t>
      </w:r>
    </w:p>
    <w:p w14:paraId="57496507" w14:textId="77777777" w:rsidR="003B09F7" w:rsidRDefault="003B09F7" w:rsidP="003B09F7">
      <w:pPr>
        <w:pStyle w:val="N-line3"/>
        <w:pBdr>
          <w:bottom w:val="none" w:sz="0" w:space="0" w:color="auto"/>
        </w:pBdr>
      </w:pPr>
    </w:p>
    <w:p w14:paraId="35B59655" w14:textId="77777777" w:rsidR="003B09F7" w:rsidRDefault="003B09F7" w:rsidP="003B09F7">
      <w:pPr>
        <w:pStyle w:val="N-line3"/>
        <w:pBdr>
          <w:top w:val="single" w:sz="12" w:space="1" w:color="auto"/>
          <w:bottom w:val="none" w:sz="0" w:space="0" w:color="auto"/>
        </w:pBdr>
      </w:pPr>
    </w:p>
    <w:bookmarkEnd w:id="0"/>
    <w:p w14:paraId="12551E16" w14:textId="7C0EF986" w:rsidR="003B09F7" w:rsidRPr="009446A7" w:rsidRDefault="003B09F7" w:rsidP="003B09F7">
      <w:pPr>
        <w:spacing w:after="120"/>
        <w:rPr>
          <w:rFonts w:ascii="Arial Narrow" w:hAnsi="Arial Narrow" w:cs="Arial"/>
          <w:bCs/>
          <w:szCs w:val="24"/>
        </w:rPr>
      </w:pPr>
      <w:r w:rsidRPr="009446A7">
        <w:rPr>
          <w:rFonts w:ascii="Arial Narrow" w:hAnsi="Arial Narrow" w:cs="Arial"/>
          <w:bCs/>
          <w:szCs w:val="24"/>
        </w:rPr>
        <w:t xml:space="preserve">The objective of the </w:t>
      </w:r>
      <w:r w:rsidRPr="009446A7">
        <w:rPr>
          <w:rFonts w:ascii="Arial Narrow" w:hAnsi="Arial Narrow" w:cs="Arial"/>
          <w:i/>
          <w:szCs w:val="24"/>
        </w:rPr>
        <w:t>Medicines, Poisons and Therapeutic Goods Act 2008</w:t>
      </w:r>
      <w:r w:rsidRPr="009446A7">
        <w:rPr>
          <w:rFonts w:ascii="Arial Narrow" w:hAnsi="Arial Narrow" w:cs="Arial"/>
          <w:szCs w:val="24"/>
        </w:rPr>
        <w:t xml:space="preserve"> </w:t>
      </w:r>
      <w:r w:rsidRPr="009446A7">
        <w:rPr>
          <w:rFonts w:ascii="Arial Narrow" w:hAnsi="Arial Narrow" w:cs="Arial"/>
          <w:bCs/>
          <w:szCs w:val="24"/>
        </w:rPr>
        <w:t xml:space="preserve">(MPTG Act) is to promote and protect public health and safety by minimising medicinal misadventure with, and diversion of, regulated substances, and the manufacture of regulated substances that are subject to abuse. </w:t>
      </w:r>
    </w:p>
    <w:p w14:paraId="33A62BE0" w14:textId="09A8F9AD" w:rsidR="00D64260" w:rsidRDefault="003B09F7" w:rsidP="00DB7472">
      <w:pPr>
        <w:spacing w:after="120"/>
        <w:rPr>
          <w:rFonts w:ascii="Arial Narrow" w:hAnsi="Arial Narrow" w:cs="Arial Narrow"/>
          <w:bCs/>
          <w:szCs w:val="24"/>
        </w:rPr>
      </w:pPr>
      <w:r w:rsidRPr="00BD075F">
        <w:rPr>
          <w:rFonts w:ascii="Arial Narrow" w:hAnsi="Arial Narrow" w:cs="Arial Narrow"/>
          <w:bCs/>
          <w:szCs w:val="24"/>
        </w:rPr>
        <w:t xml:space="preserve">The </w:t>
      </w:r>
      <w:r w:rsidRPr="00496EED">
        <w:rPr>
          <w:rFonts w:ascii="Arial Narrow" w:hAnsi="Arial Narrow" w:cs="Arial Narrow"/>
          <w:bCs/>
          <w:i/>
          <w:iCs/>
          <w:szCs w:val="24"/>
        </w:rPr>
        <w:t>Medicines, Poisons and Therapeutic Goods Regulation 2008</w:t>
      </w:r>
      <w:r>
        <w:rPr>
          <w:rFonts w:ascii="Arial Narrow" w:hAnsi="Arial Narrow" w:cs="Arial Narrow"/>
          <w:bCs/>
          <w:szCs w:val="24"/>
        </w:rPr>
        <w:t xml:space="preserve"> </w:t>
      </w:r>
      <w:r w:rsidRPr="00BD075F">
        <w:rPr>
          <w:rFonts w:ascii="Arial Narrow" w:hAnsi="Arial Narrow" w:cs="Arial Narrow"/>
          <w:bCs/>
          <w:szCs w:val="24"/>
        </w:rPr>
        <w:t xml:space="preserve">(MPTG Regulation) provides the detail for the regulatory framework established by the MPTG Act. </w:t>
      </w:r>
      <w:r>
        <w:rPr>
          <w:rFonts w:ascii="Arial Narrow" w:hAnsi="Arial Narrow" w:cs="Arial Narrow"/>
          <w:bCs/>
          <w:szCs w:val="24"/>
        </w:rPr>
        <w:t>With reference to medicine and poisons categorised by the Poisons Standard, t</w:t>
      </w:r>
      <w:r w:rsidRPr="00BD075F">
        <w:rPr>
          <w:rFonts w:ascii="Arial Narrow" w:hAnsi="Arial Narrow" w:cs="Arial Narrow"/>
          <w:bCs/>
          <w:szCs w:val="24"/>
        </w:rPr>
        <w:t xml:space="preserve">he MPTG Regulation sets out which health professionals are able to prescribe, administer and dispense </w:t>
      </w:r>
      <w:r>
        <w:rPr>
          <w:rFonts w:ascii="Arial Narrow" w:hAnsi="Arial Narrow" w:cs="Arial Narrow"/>
          <w:bCs/>
          <w:szCs w:val="24"/>
        </w:rPr>
        <w:t xml:space="preserve">a </w:t>
      </w:r>
      <w:r w:rsidRPr="00BD075F">
        <w:rPr>
          <w:rFonts w:ascii="Arial Narrow" w:hAnsi="Arial Narrow" w:cs="Arial Narrow"/>
          <w:bCs/>
          <w:szCs w:val="24"/>
        </w:rPr>
        <w:t xml:space="preserve">medicine, and conditions relating to such dealings. </w:t>
      </w:r>
      <w:r w:rsidRPr="006E247B">
        <w:rPr>
          <w:rFonts w:ascii="Arial Narrow" w:hAnsi="Arial Narrow" w:cs="Arial Narrow"/>
          <w:bCs/>
          <w:szCs w:val="24"/>
        </w:rPr>
        <w:t>Some provisions of the MPTG Regulation also prescribe additional information required for licences or authorisations.</w:t>
      </w:r>
    </w:p>
    <w:p w14:paraId="50DCAC30" w14:textId="77777777" w:rsidR="000F0F27" w:rsidRDefault="00DB7472" w:rsidP="00D64260">
      <w:pPr>
        <w:spacing w:after="120"/>
        <w:rPr>
          <w:rFonts w:ascii="Arial Narrow" w:hAnsi="Arial Narrow" w:cs="Arial Narrow"/>
          <w:bCs/>
          <w:szCs w:val="24"/>
        </w:rPr>
      </w:pPr>
      <w:r w:rsidRPr="00D64260">
        <w:rPr>
          <w:rFonts w:ascii="Arial Narrow" w:hAnsi="Arial Narrow" w:cs="Arial Narrow"/>
          <w:bCs/>
          <w:szCs w:val="24"/>
        </w:rPr>
        <w:t xml:space="preserve">This amendment regulation seeks </w:t>
      </w:r>
      <w:r w:rsidR="00805D35">
        <w:rPr>
          <w:rFonts w:ascii="Arial Narrow" w:hAnsi="Arial Narrow" w:cs="Arial Narrow"/>
          <w:bCs/>
          <w:szCs w:val="24"/>
        </w:rPr>
        <w:t xml:space="preserve">to </w:t>
      </w:r>
      <w:r w:rsidR="00D64260" w:rsidRPr="003B4DBF">
        <w:rPr>
          <w:rFonts w:ascii="Arial Narrow" w:hAnsi="Arial Narrow" w:cs="Arial Narrow"/>
          <w:bCs/>
          <w:szCs w:val="24"/>
        </w:rPr>
        <w:t>automatically authorise suitably qualified nurse</w:t>
      </w:r>
      <w:r w:rsidR="00805D35">
        <w:rPr>
          <w:rFonts w:ascii="Arial Narrow" w:hAnsi="Arial Narrow" w:cs="Arial Narrow"/>
          <w:bCs/>
          <w:szCs w:val="24"/>
        </w:rPr>
        <w:t>s</w:t>
      </w:r>
      <w:r w:rsidR="00D64260" w:rsidRPr="003B4DBF">
        <w:rPr>
          <w:rFonts w:ascii="Arial Narrow" w:hAnsi="Arial Narrow" w:cs="Arial Narrow"/>
          <w:bCs/>
          <w:szCs w:val="24"/>
        </w:rPr>
        <w:t xml:space="preserve"> and midwives to administer vaccines without a prescription </w:t>
      </w:r>
      <w:r w:rsidR="00805D35">
        <w:rPr>
          <w:rFonts w:ascii="Arial Narrow" w:hAnsi="Arial Narrow" w:cs="Arial Narrow"/>
          <w:bCs/>
          <w:szCs w:val="24"/>
        </w:rPr>
        <w:t xml:space="preserve">or standing order </w:t>
      </w:r>
      <w:r w:rsidR="00D64260" w:rsidRPr="003B4DBF">
        <w:rPr>
          <w:rFonts w:ascii="Arial Narrow" w:hAnsi="Arial Narrow" w:cs="Arial Narrow"/>
          <w:bCs/>
          <w:szCs w:val="24"/>
        </w:rPr>
        <w:t>under defined circumstances</w:t>
      </w:r>
      <w:r w:rsidR="00805D35">
        <w:rPr>
          <w:rFonts w:ascii="Arial Narrow" w:hAnsi="Arial Narrow" w:cs="Arial Narrow"/>
          <w:bCs/>
          <w:szCs w:val="24"/>
        </w:rPr>
        <w:t xml:space="preserve">. </w:t>
      </w:r>
    </w:p>
    <w:p w14:paraId="42A96A1E" w14:textId="77777777" w:rsidR="00DB7472" w:rsidRDefault="00DB7472" w:rsidP="00DB7472">
      <w:pPr>
        <w:spacing w:after="120"/>
        <w:rPr>
          <w:rFonts w:ascii="Arial Narrow" w:hAnsi="Arial Narrow" w:cs="Arial Narrow"/>
          <w:bCs/>
          <w:szCs w:val="24"/>
        </w:rPr>
      </w:pPr>
      <w:r>
        <w:rPr>
          <w:rFonts w:ascii="Arial Narrow" w:hAnsi="Arial Narrow" w:cs="Arial Narrow"/>
          <w:bCs/>
          <w:szCs w:val="24"/>
        </w:rPr>
        <w:t xml:space="preserve">In accordance with the </w:t>
      </w:r>
      <w:r w:rsidRPr="00496EED">
        <w:rPr>
          <w:rFonts w:ascii="Arial Narrow" w:hAnsi="Arial Narrow" w:cs="Arial Narrow"/>
          <w:bCs/>
          <w:i/>
          <w:iCs/>
          <w:szCs w:val="24"/>
        </w:rPr>
        <w:t>Legislation Act 2001</w:t>
      </w:r>
      <w:r>
        <w:rPr>
          <w:rFonts w:ascii="Arial Narrow" w:hAnsi="Arial Narrow" w:cs="Arial Narrow"/>
          <w:bCs/>
          <w:szCs w:val="24"/>
        </w:rPr>
        <w:t xml:space="preserve">, a regulatory impact statement was not required to be presented with this amendment regulation as the proposed subordinate law is not likely to impose appreciable costs on the community, or a part of the community.  </w:t>
      </w:r>
    </w:p>
    <w:p w14:paraId="7858CE99" w14:textId="77777777" w:rsidR="003B09F7" w:rsidRDefault="003B09F7" w:rsidP="003B09F7">
      <w:pPr>
        <w:keepNext/>
        <w:rPr>
          <w:rFonts w:ascii="Arial Narrow" w:hAnsi="Arial Narrow" w:cs="Arial"/>
          <w:b/>
          <w:szCs w:val="24"/>
        </w:rPr>
      </w:pPr>
      <w:r w:rsidRPr="009446A7">
        <w:rPr>
          <w:rFonts w:ascii="Arial Narrow" w:hAnsi="Arial Narrow" w:cs="Arial"/>
          <w:b/>
          <w:szCs w:val="24"/>
        </w:rPr>
        <w:t>Details</w:t>
      </w:r>
    </w:p>
    <w:p w14:paraId="01FAAB49" w14:textId="77777777" w:rsidR="003B09F7" w:rsidRDefault="003B09F7" w:rsidP="003B09F7">
      <w:pPr>
        <w:keepNext/>
        <w:rPr>
          <w:rFonts w:ascii="Arial Narrow" w:hAnsi="Arial Narrow" w:cs="Arial Narrow"/>
          <w:bCs/>
          <w:szCs w:val="24"/>
        </w:rPr>
      </w:pPr>
    </w:p>
    <w:p w14:paraId="0889D1FC" w14:textId="77777777" w:rsidR="003B09F7" w:rsidRPr="009446A7" w:rsidRDefault="003B09F7" w:rsidP="003B09F7">
      <w:pPr>
        <w:keepNext/>
        <w:rPr>
          <w:rFonts w:ascii="Arial Narrow" w:hAnsi="Arial Narrow" w:cs="Arial Narrow"/>
          <w:bCs/>
          <w:szCs w:val="24"/>
        </w:rPr>
      </w:pPr>
      <w:r w:rsidRPr="009446A7">
        <w:rPr>
          <w:rFonts w:ascii="Arial Narrow" w:hAnsi="Arial Narrow" w:cs="Arial Narrow"/>
          <w:bCs/>
          <w:szCs w:val="24"/>
        </w:rPr>
        <w:t>A detailed explanation of each clause of the Regulation follows.</w:t>
      </w:r>
    </w:p>
    <w:p w14:paraId="2A496873" w14:textId="77777777" w:rsidR="003B09F7" w:rsidRPr="009446A7" w:rsidRDefault="003B09F7" w:rsidP="003B09F7">
      <w:pPr>
        <w:autoSpaceDE w:val="0"/>
        <w:autoSpaceDN w:val="0"/>
        <w:adjustRightInd w:val="0"/>
        <w:rPr>
          <w:rFonts w:ascii="Arial Narrow" w:hAnsi="Arial Narrow" w:cs="Arial"/>
          <w:color w:val="C00000"/>
          <w:szCs w:val="24"/>
        </w:rPr>
      </w:pPr>
    </w:p>
    <w:p w14:paraId="5D38BB37" w14:textId="77777777" w:rsidR="003B09F7" w:rsidRPr="00DD03B9" w:rsidRDefault="003B09F7" w:rsidP="003B09F7">
      <w:pPr>
        <w:keepNext/>
        <w:rPr>
          <w:rFonts w:ascii="Arial Narrow" w:hAnsi="Arial Narrow" w:cs="Arial"/>
          <w:b/>
          <w:sz w:val="26"/>
          <w:szCs w:val="26"/>
        </w:rPr>
      </w:pPr>
      <w:r w:rsidRPr="00DD03B9">
        <w:rPr>
          <w:rFonts w:ascii="Arial Narrow" w:hAnsi="Arial Narrow" w:cs="Arial"/>
          <w:b/>
          <w:sz w:val="26"/>
          <w:szCs w:val="26"/>
        </w:rPr>
        <w:t>Clauses</w:t>
      </w:r>
    </w:p>
    <w:p w14:paraId="64730774" w14:textId="77777777" w:rsidR="003B09F7" w:rsidRPr="00DD03B9" w:rsidRDefault="003B09F7" w:rsidP="003B09F7">
      <w:pPr>
        <w:rPr>
          <w:rFonts w:ascii="Arial Narrow" w:hAnsi="Arial Narrow" w:cs="Arial"/>
          <w:b/>
          <w:szCs w:val="24"/>
        </w:rPr>
      </w:pPr>
    </w:p>
    <w:p w14:paraId="2BF1E6D3" w14:textId="77777777" w:rsidR="003B09F7" w:rsidRPr="00DD03B9" w:rsidRDefault="003B09F7" w:rsidP="003B09F7">
      <w:pPr>
        <w:spacing w:after="120"/>
        <w:rPr>
          <w:rFonts w:ascii="Arial Narrow" w:hAnsi="Arial Narrow" w:cs="Arial"/>
          <w:b/>
          <w:szCs w:val="24"/>
        </w:rPr>
      </w:pPr>
      <w:r>
        <w:rPr>
          <w:rFonts w:ascii="Arial Narrow" w:hAnsi="Arial Narrow" w:cs="Arial"/>
          <w:b/>
          <w:szCs w:val="24"/>
        </w:rPr>
        <w:t xml:space="preserve">Clause 1 </w:t>
      </w:r>
      <w:r>
        <w:rPr>
          <w:rFonts w:ascii="Arial Narrow" w:hAnsi="Arial Narrow" w:cs="Arial"/>
          <w:b/>
          <w:szCs w:val="24"/>
        </w:rPr>
        <w:tab/>
        <w:t>Name of r</w:t>
      </w:r>
      <w:r w:rsidRPr="00DD03B9">
        <w:rPr>
          <w:rFonts w:ascii="Arial Narrow" w:hAnsi="Arial Narrow" w:cs="Arial"/>
          <w:b/>
          <w:szCs w:val="24"/>
        </w:rPr>
        <w:t>egulation</w:t>
      </w:r>
    </w:p>
    <w:p w14:paraId="7A3105E4" w14:textId="5E145837" w:rsidR="003B09F7" w:rsidRDefault="003B09F7" w:rsidP="003B09F7">
      <w:pPr>
        <w:rPr>
          <w:rFonts w:ascii="Arial Narrow" w:hAnsi="Arial Narrow" w:cs="Arial Narrow"/>
          <w:bCs/>
          <w:szCs w:val="24"/>
        </w:rPr>
      </w:pPr>
      <w:r w:rsidRPr="001157FA">
        <w:rPr>
          <w:rFonts w:ascii="Arial Narrow" w:hAnsi="Arial Narrow" w:cs="Arial Narrow"/>
          <w:bCs/>
          <w:szCs w:val="24"/>
        </w:rPr>
        <w:t xml:space="preserve">The first clause of the Regulation declares the name of the Regulation to the </w:t>
      </w:r>
      <w:r w:rsidRPr="001157FA">
        <w:rPr>
          <w:rFonts w:ascii="Arial Narrow" w:hAnsi="Arial Narrow" w:cs="Arial Narrow"/>
          <w:bCs/>
          <w:i/>
          <w:szCs w:val="24"/>
        </w:rPr>
        <w:t>Medicines, Poisons and Therapeutic Goods Amendment Regulation 20</w:t>
      </w:r>
      <w:r w:rsidR="00D64260">
        <w:rPr>
          <w:rFonts w:ascii="Arial Narrow" w:hAnsi="Arial Narrow" w:cs="Arial Narrow"/>
          <w:bCs/>
          <w:i/>
          <w:szCs w:val="24"/>
        </w:rPr>
        <w:t>20</w:t>
      </w:r>
      <w:r w:rsidRPr="001157FA">
        <w:rPr>
          <w:rFonts w:ascii="Arial Narrow" w:hAnsi="Arial Narrow" w:cs="Arial Narrow"/>
          <w:bCs/>
          <w:i/>
          <w:szCs w:val="24"/>
        </w:rPr>
        <w:t xml:space="preserve"> (No </w:t>
      </w:r>
      <w:r w:rsidR="00DD2826">
        <w:rPr>
          <w:rFonts w:ascii="Arial Narrow" w:hAnsi="Arial Narrow" w:cs="Arial Narrow"/>
          <w:bCs/>
          <w:i/>
          <w:szCs w:val="24"/>
        </w:rPr>
        <w:t>4</w:t>
      </w:r>
      <w:r w:rsidRPr="001157FA">
        <w:rPr>
          <w:rFonts w:ascii="Arial Narrow" w:hAnsi="Arial Narrow" w:cs="Arial Narrow"/>
          <w:bCs/>
          <w:i/>
          <w:szCs w:val="24"/>
        </w:rPr>
        <w:t>)</w:t>
      </w:r>
      <w:r w:rsidRPr="001157FA">
        <w:rPr>
          <w:rFonts w:ascii="Arial Narrow" w:hAnsi="Arial Narrow" w:cs="Arial Narrow"/>
          <w:bCs/>
          <w:szCs w:val="24"/>
        </w:rPr>
        <w:t>.</w:t>
      </w:r>
    </w:p>
    <w:p w14:paraId="45BBE27B" w14:textId="77777777" w:rsidR="003B09F7" w:rsidRDefault="003B09F7" w:rsidP="003B09F7">
      <w:pPr>
        <w:rPr>
          <w:rFonts w:ascii="Arial Narrow" w:hAnsi="Arial Narrow" w:cs="Arial Narrow"/>
          <w:szCs w:val="24"/>
        </w:rPr>
      </w:pPr>
    </w:p>
    <w:p w14:paraId="53EC5CD4" w14:textId="77777777" w:rsidR="003B09F7" w:rsidRPr="00DD03B9" w:rsidRDefault="003B09F7" w:rsidP="003B09F7">
      <w:pPr>
        <w:spacing w:after="120"/>
        <w:rPr>
          <w:rFonts w:ascii="Arial Narrow" w:hAnsi="Arial Narrow" w:cs="Arial"/>
          <w:b/>
          <w:szCs w:val="24"/>
        </w:rPr>
      </w:pPr>
      <w:r>
        <w:rPr>
          <w:rFonts w:ascii="Arial Narrow" w:hAnsi="Arial Narrow" w:cs="Arial"/>
          <w:b/>
          <w:szCs w:val="24"/>
        </w:rPr>
        <w:t xml:space="preserve">Clause 2 </w:t>
      </w:r>
      <w:r>
        <w:rPr>
          <w:rFonts w:ascii="Arial Narrow" w:hAnsi="Arial Narrow" w:cs="Arial"/>
          <w:b/>
          <w:szCs w:val="24"/>
        </w:rPr>
        <w:tab/>
        <w:t>Commencement</w:t>
      </w:r>
    </w:p>
    <w:p w14:paraId="7D9D6A80" w14:textId="77777777" w:rsidR="00D64260" w:rsidRPr="00DD03B9" w:rsidRDefault="00D64260" w:rsidP="00D64260">
      <w:pPr>
        <w:spacing w:after="120"/>
        <w:rPr>
          <w:rFonts w:ascii="Arial Narrow" w:hAnsi="Arial Narrow"/>
          <w:szCs w:val="24"/>
        </w:rPr>
      </w:pPr>
      <w:r w:rsidRPr="00DD03B9">
        <w:rPr>
          <w:rFonts w:ascii="Arial Narrow" w:hAnsi="Arial Narrow" w:cs="Arial Narrow"/>
          <w:bCs/>
          <w:szCs w:val="24"/>
        </w:rPr>
        <w:t>Pursuant</w:t>
      </w:r>
      <w:r w:rsidRPr="00DD03B9">
        <w:rPr>
          <w:rFonts w:ascii="Arial Narrow" w:hAnsi="Arial Narrow"/>
          <w:bCs/>
          <w:szCs w:val="24"/>
        </w:rPr>
        <w:t xml:space="preserve"> to this provision, the Regulation is to commence the day after notification</w:t>
      </w:r>
      <w:r>
        <w:rPr>
          <w:rFonts w:ascii="Arial Narrow" w:hAnsi="Arial Narrow"/>
          <w:bCs/>
          <w:szCs w:val="24"/>
        </w:rPr>
        <w:t>.</w:t>
      </w:r>
    </w:p>
    <w:p w14:paraId="1B0B99A1" w14:textId="59B432CF" w:rsidR="00D64260" w:rsidRPr="00DD03B9" w:rsidRDefault="00D64260" w:rsidP="00D64260">
      <w:pPr>
        <w:autoSpaceDE w:val="0"/>
        <w:autoSpaceDN w:val="0"/>
        <w:adjustRightInd w:val="0"/>
        <w:rPr>
          <w:rFonts w:ascii="Arial Narrow" w:hAnsi="Arial Narrow" w:cs="Arial Narrow"/>
          <w:bCs/>
          <w:szCs w:val="24"/>
        </w:rPr>
      </w:pPr>
      <w:r w:rsidRPr="00DD03B9">
        <w:rPr>
          <w:rFonts w:ascii="Arial Narrow" w:hAnsi="Arial Narrow" w:cs="Arial Narrow"/>
          <w:bCs/>
          <w:szCs w:val="24"/>
        </w:rPr>
        <w:lastRenderedPageBreak/>
        <w:t xml:space="preserve">Due to the operation of section 75(1) of the </w:t>
      </w:r>
      <w:r w:rsidRPr="00DD03B9">
        <w:rPr>
          <w:rFonts w:ascii="Arial Narrow" w:hAnsi="Arial Narrow" w:cs="Arial Narrow"/>
          <w:bCs/>
          <w:i/>
          <w:szCs w:val="24"/>
        </w:rPr>
        <w:t>Legislation Act 2001</w:t>
      </w:r>
      <w:r w:rsidRPr="00DD03B9">
        <w:rPr>
          <w:rFonts w:ascii="Arial Narrow" w:hAnsi="Arial Narrow" w:cs="Arial Narrow"/>
          <w:bCs/>
          <w:szCs w:val="24"/>
        </w:rPr>
        <w:t xml:space="preserve"> (the Legislation Act) the naming and commencement provisions of this Regulation, clauses 1 and 2, commence automatically on the day the Regulation is notified. A note to that effect is included in the provision.</w:t>
      </w:r>
    </w:p>
    <w:p w14:paraId="223D6666" w14:textId="77777777" w:rsidR="003B09F7" w:rsidRDefault="003B09F7" w:rsidP="003B09F7">
      <w:pPr>
        <w:rPr>
          <w:rFonts w:ascii="Arial Narrow" w:hAnsi="Arial Narrow"/>
          <w:bCs/>
          <w:szCs w:val="24"/>
        </w:rPr>
      </w:pPr>
    </w:p>
    <w:p w14:paraId="288E08CF" w14:textId="77777777" w:rsidR="003B09F7" w:rsidRPr="00DD03B9" w:rsidRDefault="003B09F7" w:rsidP="003B09F7">
      <w:pPr>
        <w:spacing w:after="120"/>
        <w:rPr>
          <w:rFonts w:ascii="Arial Narrow" w:hAnsi="Arial Narrow" w:cs="Arial"/>
          <w:b/>
          <w:szCs w:val="24"/>
        </w:rPr>
      </w:pPr>
      <w:r w:rsidRPr="00DD03B9">
        <w:rPr>
          <w:rFonts w:ascii="Arial Narrow" w:hAnsi="Arial Narrow" w:cs="Arial"/>
          <w:b/>
          <w:szCs w:val="24"/>
        </w:rPr>
        <w:t>Clause 3</w:t>
      </w:r>
      <w:r w:rsidRPr="00DD03B9">
        <w:rPr>
          <w:rFonts w:ascii="Arial Narrow" w:hAnsi="Arial Narrow" w:cs="Arial"/>
          <w:b/>
          <w:szCs w:val="24"/>
        </w:rPr>
        <w:tab/>
        <w:t>Legislation amended</w:t>
      </w:r>
    </w:p>
    <w:p w14:paraId="6BF4B80D" w14:textId="77777777" w:rsidR="003B09F7" w:rsidRPr="00DD03B9" w:rsidRDefault="003B09F7" w:rsidP="003B09F7">
      <w:pPr>
        <w:spacing w:after="120"/>
        <w:rPr>
          <w:rFonts w:ascii="Arial Narrow" w:hAnsi="Arial Narrow" w:cs="Arial Narrow"/>
          <w:bCs/>
          <w:szCs w:val="24"/>
        </w:rPr>
      </w:pPr>
      <w:r w:rsidRPr="00DD03B9">
        <w:rPr>
          <w:rFonts w:ascii="Arial Narrow" w:hAnsi="Arial Narrow" w:cs="Arial Narrow"/>
          <w:bCs/>
          <w:szCs w:val="24"/>
        </w:rPr>
        <w:t xml:space="preserve">This provision alerts the reader that this Regulation amends the MPTG Regulation.  </w:t>
      </w:r>
    </w:p>
    <w:p w14:paraId="2645B62C" w14:textId="0A463A8F" w:rsidR="003B09F7" w:rsidRPr="00DD03B9" w:rsidRDefault="003B09F7" w:rsidP="003B09F7">
      <w:pPr>
        <w:rPr>
          <w:rFonts w:ascii="Arial Narrow" w:hAnsi="Arial Narrow" w:cs="Arial Narrow"/>
          <w:bCs/>
          <w:szCs w:val="24"/>
        </w:rPr>
      </w:pPr>
      <w:r w:rsidRPr="00DD03B9">
        <w:rPr>
          <w:rFonts w:ascii="Arial Narrow" w:hAnsi="Arial Narrow" w:cs="Arial Narrow"/>
          <w:bCs/>
          <w:szCs w:val="24"/>
        </w:rPr>
        <w:t xml:space="preserve">Upon commencement this Regulation will alter the MPTG Regulation in accordance with the provisions that this Regulation contains. This Regulation will then be immediately repealed.  </w:t>
      </w:r>
    </w:p>
    <w:p w14:paraId="5B6A7BBE" w14:textId="43413034" w:rsidR="003B09F7" w:rsidRDefault="003B09F7" w:rsidP="003B09F7">
      <w:pPr>
        <w:rPr>
          <w:rFonts w:ascii="Arial Narrow" w:hAnsi="Arial Narrow" w:cs="Arial Narrow"/>
          <w:bCs/>
          <w:szCs w:val="24"/>
        </w:rPr>
      </w:pPr>
      <w:r w:rsidRPr="00DD03B9">
        <w:rPr>
          <w:rFonts w:ascii="Arial Narrow" w:hAnsi="Arial Narrow" w:cs="Arial Narrow"/>
          <w:bCs/>
          <w:szCs w:val="24"/>
        </w:rPr>
        <w:t>Consequentially, from the date that this Regulation commences a new republication of the MPTG Regulation will be available. That new republication will feature the alterations made by this Regulation.</w:t>
      </w:r>
      <w:r w:rsidR="001933FA">
        <w:rPr>
          <w:rFonts w:ascii="Arial Narrow" w:hAnsi="Arial Narrow" w:cs="Arial Narrow"/>
          <w:bCs/>
          <w:szCs w:val="24"/>
        </w:rPr>
        <w:br/>
      </w:r>
    </w:p>
    <w:p w14:paraId="5AA3EC61" w14:textId="5901139D" w:rsidR="001933FA" w:rsidRPr="00DD03B9" w:rsidRDefault="001933FA" w:rsidP="001933FA">
      <w:pPr>
        <w:spacing w:after="120"/>
        <w:rPr>
          <w:rFonts w:ascii="Arial Narrow" w:hAnsi="Arial Narrow" w:cs="Arial"/>
          <w:b/>
          <w:szCs w:val="24"/>
        </w:rPr>
      </w:pPr>
      <w:r>
        <w:rPr>
          <w:rFonts w:ascii="Arial Narrow" w:hAnsi="Arial Narrow" w:cs="Arial"/>
          <w:b/>
          <w:szCs w:val="24"/>
        </w:rPr>
        <w:t>Clause </w:t>
      </w:r>
      <w:r w:rsidR="00D64260">
        <w:rPr>
          <w:rFonts w:ascii="Arial Narrow" w:hAnsi="Arial Narrow" w:cs="Arial"/>
          <w:b/>
          <w:szCs w:val="24"/>
        </w:rPr>
        <w:t>4</w:t>
      </w:r>
      <w:r w:rsidRPr="00DD03B9">
        <w:rPr>
          <w:rFonts w:ascii="Arial Narrow" w:hAnsi="Arial Narrow" w:cs="Arial"/>
          <w:b/>
          <w:szCs w:val="24"/>
        </w:rPr>
        <w:tab/>
      </w:r>
      <w:r w:rsidR="00D64260">
        <w:rPr>
          <w:rFonts w:ascii="Arial Narrow" w:hAnsi="Arial Narrow" w:cs="Arial"/>
          <w:b/>
          <w:szCs w:val="24"/>
        </w:rPr>
        <w:t>New section 353</w:t>
      </w:r>
    </w:p>
    <w:p w14:paraId="3569F700" w14:textId="77777777" w:rsidR="000F0F27" w:rsidRPr="00957297" w:rsidRDefault="000F0F27" w:rsidP="00D64260">
      <w:pPr>
        <w:spacing w:after="120"/>
        <w:rPr>
          <w:rFonts w:ascii="Arial Narrow" w:hAnsi="Arial Narrow" w:cs="Arial"/>
        </w:rPr>
      </w:pPr>
      <w:r w:rsidRPr="00957297">
        <w:rPr>
          <w:rFonts w:ascii="Arial Narrow" w:hAnsi="Arial Narrow" w:cs="Arial"/>
        </w:rPr>
        <w:t>This provision will automatically authorise suitably qualified nurses and midwives to administer vaccines without a prescription. The authorisation will be conditional on compliance with the new Chief Health Officer (CHO) approved ACT Registered Nurse and Midwife Vaccination</w:t>
      </w:r>
      <w:r w:rsidRPr="00957297">
        <w:rPr>
          <w:rFonts w:ascii="Arial Narrow" w:hAnsi="Arial Narrow" w:cs="Arial"/>
          <w:szCs w:val="24"/>
        </w:rPr>
        <w:t xml:space="preserve"> </w:t>
      </w:r>
      <w:r w:rsidRPr="00957297">
        <w:rPr>
          <w:rFonts w:ascii="Arial Narrow" w:hAnsi="Arial Narrow" w:cs="Arial"/>
        </w:rPr>
        <w:t>Standards</w:t>
      </w:r>
    </w:p>
    <w:p w14:paraId="68C24CE2" w14:textId="485D42A4" w:rsidR="00D64260" w:rsidRDefault="000F0F27" w:rsidP="00D64260">
      <w:pPr>
        <w:spacing w:after="120"/>
        <w:rPr>
          <w:rFonts w:ascii="Arial Narrow" w:hAnsi="Arial Narrow" w:cs="Arial"/>
          <w:szCs w:val="24"/>
        </w:rPr>
      </w:pPr>
      <w:r>
        <w:rPr>
          <w:rFonts w:ascii="Arial Narrow" w:hAnsi="Arial Narrow" w:cs="Arial"/>
          <w:szCs w:val="24"/>
        </w:rPr>
        <w:t xml:space="preserve">Specifically, this provision enables </w:t>
      </w:r>
      <w:r w:rsidRPr="00D64260">
        <w:rPr>
          <w:rFonts w:ascii="Arial Narrow" w:hAnsi="Arial Narrow" w:cs="Arial"/>
          <w:szCs w:val="24"/>
        </w:rPr>
        <w:t xml:space="preserve">a registered nurse or midwife </w:t>
      </w:r>
      <w:r>
        <w:rPr>
          <w:rFonts w:ascii="Arial Narrow" w:hAnsi="Arial Narrow" w:cs="Arial"/>
          <w:szCs w:val="24"/>
        </w:rPr>
        <w:t xml:space="preserve">to </w:t>
      </w:r>
      <w:r w:rsidRPr="00D64260">
        <w:rPr>
          <w:rFonts w:ascii="Arial Narrow" w:hAnsi="Arial Narrow" w:cs="Arial"/>
          <w:szCs w:val="24"/>
        </w:rPr>
        <w:t>initiate administration of vaccines</w:t>
      </w:r>
      <w:r>
        <w:rPr>
          <w:rFonts w:ascii="Arial Narrow" w:hAnsi="Arial Narrow" w:cs="Arial"/>
          <w:szCs w:val="24"/>
        </w:rPr>
        <w:t xml:space="preserve"> to a person </w:t>
      </w:r>
      <w:r w:rsidRPr="00D64260">
        <w:rPr>
          <w:rFonts w:ascii="Arial Narrow" w:hAnsi="Arial Narrow" w:cs="Arial"/>
          <w:szCs w:val="24"/>
        </w:rPr>
        <w:t>in the absence of a supply authority (prescription)</w:t>
      </w:r>
      <w:r>
        <w:rPr>
          <w:rFonts w:ascii="Arial Narrow" w:hAnsi="Arial Narrow" w:cs="Arial"/>
          <w:szCs w:val="24"/>
        </w:rPr>
        <w:t xml:space="preserve"> or standing order in accordance with a direction of the Chief Health Officer.</w:t>
      </w:r>
      <w:r w:rsidR="00D64260">
        <w:rPr>
          <w:rFonts w:ascii="Arial Narrow" w:hAnsi="Arial Narrow" w:cs="Arial"/>
          <w:szCs w:val="24"/>
        </w:rPr>
        <w:t xml:space="preserve"> </w:t>
      </w:r>
      <w:r w:rsidR="00893EE5">
        <w:rPr>
          <w:rFonts w:ascii="Arial Narrow" w:hAnsi="Arial Narrow" w:cs="Arial"/>
          <w:szCs w:val="24"/>
        </w:rPr>
        <w:t xml:space="preserve">It is expected that a direction by the Chief Health Officer will determine minimum additional qualifications for nurses and midwives who provide this service and other conditions to protect public safety arising from the administration of a vaccine without oversight by a prescriber or in the absence of a standing order. </w:t>
      </w:r>
    </w:p>
    <w:sectPr w:rsidR="00D64260" w:rsidSect="00F941E5">
      <w:headerReference w:type="even" r:id="rId7"/>
      <w:headerReference w:type="default" r:id="rId8"/>
      <w:footerReference w:type="even" r:id="rId9"/>
      <w:footerReference w:type="default" r:id="rId10"/>
      <w:headerReference w:type="first" r:id="rId11"/>
      <w:footerReference w:type="first" r:id="rId12"/>
      <w:pgSz w:w="11907" w:h="16839" w:code="9"/>
      <w:pgMar w:top="1418" w:right="1800" w:bottom="1276"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F4D261" w14:textId="77777777" w:rsidR="00175DD6" w:rsidRDefault="00175DD6">
      <w:r>
        <w:separator/>
      </w:r>
    </w:p>
  </w:endnote>
  <w:endnote w:type="continuationSeparator" w:id="0">
    <w:p w14:paraId="098AF163" w14:textId="77777777" w:rsidR="00175DD6" w:rsidRDefault="00175D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66EDDE" w14:textId="77777777" w:rsidR="00091D34" w:rsidRDefault="00D434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12065" w14:textId="5E885CF5" w:rsidR="00091D34" w:rsidRPr="00D434E4" w:rsidRDefault="00D434E4" w:rsidP="00D434E4">
    <w:pPr>
      <w:pStyle w:val="Footer"/>
      <w:jc w:val="center"/>
      <w:rPr>
        <w:rFonts w:cs="Arial"/>
        <w:sz w:val="14"/>
      </w:rPr>
    </w:pPr>
    <w:r w:rsidRPr="00D434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BFD51" w14:textId="77777777" w:rsidR="00091D34" w:rsidRDefault="00D434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DECCEE" w14:textId="77777777" w:rsidR="00175DD6" w:rsidRDefault="00175DD6">
      <w:r>
        <w:separator/>
      </w:r>
    </w:p>
  </w:footnote>
  <w:footnote w:type="continuationSeparator" w:id="0">
    <w:p w14:paraId="75EEF1C2" w14:textId="77777777" w:rsidR="00175DD6" w:rsidRDefault="00175D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8FFCB" w14:textId="77777777" w:rsidR="00091D34" w:rsidRDefault="00D434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90C3D0" w14:textId="77777777" w:rsidR="00091D34" w:rsidRDefault="00D434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4412EC" w14:textId="77777777" w:rsidR="00091D34" w:rsidRDefault="00D434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F27114"/>
    <w:multiLevelType w:val="hybridMultilevel"/>
    <w:tmpl w:val="CA6072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C5C1810"/>
    <w:multiLevelType w:val="hybridMultilevel"/>
    <w:tmpl w:val="F9FA8BD2"/>
    <w:lvl w:ilvl="0" w:tplc="DDF6B60A">
      <w:start w:val="1"/>
      <w:numFmt w:val="decimal"/>
      <w:lvlText w:val="%1."/>
      <w:lvlJc w:val="left"/>
      <w:pPr>
        <w:tabs>
          <w:tab w:val="num" w:pos="567"/>
        </w:tabs>
        <w:ind w:left="0" w:firstLine="0"/>
      </w:pPr>
      <w:rPr>
        <w:rFonts w:hint="default"/>
        <w:b w:val="0"/>
        <w:sz w:val="24"/>
      </w:rPr>
    </w:lvl>
    <w:lvl w:ilvl="1" w:tplc="0C090001">
      <w:start w:val="1"/>
      <w:numFmt w:val="bullet"/>
      <w:lvlText w:val=""/>
      <w:lvlJc w:val="left"/>
      <w:pPr>
        <w:tabs>
          <w:tab w:val="num" w:pos="1134"/>
        </w:tabs>
        <w:ind w:left="567" w:firstLine="0"/>
      </w:pPr>
      <w:rPr>
        <w:rFonts w:ascii="Symbol" w:hAnsi="Symbol" w:hint="default"/>
      </w:rPr>
    </w:lvl>
    <w:lvl w:ilvl="2" w:tplc="FB102CCA">
      <w:start w:val="1"/>
      <w:numFmt w:val="lowerRoman"/>
      <w:lvlText w:val="%3."/>
      <w:lvlJc w:val="right"/>
      <w:pPr>
        <w:tabs>
          <w:tab w:val="num" w:pos="1701"/>
        </w:tabs>
        <w:ind w:left="1276" w:firstLine="0"/>
      </w:pPr>
      <w:rPr>
        <w:rFonts w:hint="default"/>
      </w:r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09F7"/>
    <w:rsid w:val="00024B48"/>
    <w:rsid w:val="00056E32"/>
    <w:rsid w:val="000F0F27"/>
    <w:rsid w:val="00114343"/>
    <w:rsid w:val="00114DE6"/>
    <w:rsid w:val="00175DD6"/>
    <w:rsid w:val="001933FA"/>
    <w:rsid w:val="00200C43"/>
    <w:rsid w:val="00221A0E"/>
    <w:rsid w:val="00360316"/>
    <w:rsid w:val="00374C97"/>
    <w:rsid w:val="003B09F7"/>
    <w:rsid w:val="003B4DBF"/>
    <w:rsid w:val="003E1FBC"/>
    <w:rsid w:val="00496EED"/>
    <w:rsid w:val="00566648"/>
    <w:rsid w:val="005B0CA7"/>
    <w:rsid w:val="005B7B4E"/>
    <w:rsid w:val="00633EC4"/>
    <w:rsid w:val="0072715D"/>
    <w:rsid w:val="00746DF0"/>
    <w:rsid w:val="0074760A"/>
    <w:rsid w:val="00770A39"/>
    <w:rsid w:val="00805D35"/>
    <w:rsid w:val="00837737"/>
    <w:rsid w:val="008566BD"/>
    <w:rsid w:val="00884F8C"/>
    <w:rsid w:val="008878A2"/>
    <w:rsid w:val="00893EE5"/>
    <w:rsid w:val="008B7FC5"/>
    <w:rsid w:val="008E70DD"/>
    <w:rsid w:val="00957297"/>
    <w:rsid w:val="00995B2C"/>
    <w:rsid w:val="009D6C4D"/>
    <w:rsid w:val="00A84EF8"/>
    <w:rsid w:val="00B148C6"/>
    <w:rsid w:val="00CB0171"/>
    <w:rsid w:val="00D0105A"/>
    <w:rsid w:val="00D434E4"/>
    <w:rsid w:val="00D564C2"/>
    <w:rsid w:val="00D64260"/>
    <w:rsid w:val="00DB7472"/>
    <w:rsid w:val="00DD2826"/>
    <w:rsid w:val="00DE6C85"/>
    <w:rsid w:val="00E440B0"/>
    <w:rsid w:val="00E70714"/>
    <w:rsid w:val="00EB0C08"/>
    <w:rsid w:val="00EE5E57"/>
    <w:rsid w:val="00EF4FE7"/>
    <w:rsid w:val="00F24CA0"/>
    <w:rsid w:val="00F941E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D7899D"/>
  <w15:chartTrackingRefBased/>
  <w15:docId w15:val="{F3792157-5156-4248-9834-4D1206053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09F7"/>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3B09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semiHidden/>
    <w:rsid w:val="003B09F7"/>
    <w:rPr>
      <w:rFonts w:ascii="Arial" w:eastAsia="Times New Roman" w:hAnsi="Arial" w:cs="Times New Roman"/>
      <w:sz w:val="18"/>
      <w:szCs w:val="20"/>
    </w:rPr>
  </w:style>
  <w:style w:type="paragraph" w:customStyle="1" w:styleId="Billname">
    <w:name w:val="Billname"/>
    <w:basedOn w:val="Normal"/>
    <w:rsid w:val="003B09F7"/>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3B09F7"/>
    <w:pPr>
      <w:pBdr>
        <w:bottom w:val="single" w:sz="12" w:space="1" w:color="auto"/>
      </w:pBdr>
      <w:jc w:val="both"/>
    </w:pPr>
  </w:style>
  <w:style w:type="paragraph" w:customStyle="1" w:styleId="madeunder">
    <w:name w:val="made under"/>
    <w:basedOn w:val="Normal"/>
    <w:rsid w:val="003B09F7"/>
    <w:pPr>
      <w:spacing w:before="180" w:after="60"/>
      <w:jc w:val="both"/>
    </w:pPr>
  </w:style>
  <w:style w:type="paragraph" w:customStyle="1" w:styleId="CoverActName">
    <w:name w:val="CoverActName"/>
    <w:basedOn w:val="Normal"/>
    <w:rsid w:val="003B09F7"/>
    <w:pPr>
      <w:tabs>
        <w:tab w:val="left" w:pos="2600"/>
      </w:tabs>
      <w:spacing w:before="200" w:after="60"/>
      <w:jc w:val="both"/>
    </w:pPr>
    <w:rPr>
      <w:rFonts w:ascii="Arial" w:hAnsi="Arial"/>
      <w:b/>
    </w:rPr>
  </w:style>
  <w:style w:type="paragraph" w:styleId="Header">
    <w:name w:val="header"/>
    <w:basedOn w:val="Normal"/>
    <w:link w:val="HeaderChar"/>
    <w:semiHidden/>
    <w:rsid w:val="003B09F7"/>
    <w:pPr>
      <w:tabs>
        <w:tab w:val="left" w:pos="2880"/>
        <w:tab w:val="center" w:pos="4153"/>
        <w:tab w:val="right" w:pos="8306"/>
      </w:tabs>
    </w:pPr>
  </w:style>
  <w:style w:type="character" w:customStyle="1" w:styleId="HeaderChar">
    <w:name w:val="Header Char"/>
    <w:basedOn w:val="DefaultParagraphFont"/>
    <w:link w:val="Header"/>
    <w:semiHidden/>
    <w:rsid w:val="003B09F7"/>
    <w:rPr>
      <w:rFonts w:ascii="Times New Roman" w:eastAsia="Times New Roman" w:hAnsi="Times New Roman" w:cs="Times New Roman"/>
      <w:sz w:val="24"/>
      <w:szCs w:val="20"/>
    </w:rPr>
  </w:style>
  <w:style w:type="paragraph" w:styleId="ListParagraph">
    <w:name w:val="List Paragraph"/>
    <w:basedOn w:val="Normal"/>
    <w:uiPriority w:val="34"/>
    <w:qFormat/>
    <w:rsid w:val="00D64260"/>
    <w:pPr>
      <w:widowControl w:val="0"/>
      <w:ind w:left="720"/>
      <w:contextualSpacing/>
    </w:pPr>
    <w:rPr>
      <w:iCs/>
      <w:szCs w:val="24"/>
      <w:lang w:val="en-US"/>
    </w:rPr>
  </w:style>
  <w:style w:type="character" w:styleId="CommentReference">
    <w:name w:val="annotation reference"/>
    <w:basedOn w:val="DefaultParagraphFont"/>
    <w:uiPriority w:val="99"/>
    <w:semiHidden/>
    <w:unhideWhenUsed/>
    <w:rsid w:val="00633EC4"/>
    <w:rPr>
      <w:sz w:val="16"/>
      <w:szCs w:val="16"/>
    </w:rPr>
  </w:style>
  <w:style w:type="paragraph" w:styleId="CommentText">
    <w:name w:val="annotation text"/>
    <w:basedOn w:val="Normal"/>
    <w:link w:val="CommentTextChar"/>
    <w:uiPriority w:val="99"/>
    <w:semiHidden/>
    <w:unhideWhenUsed/>
    <w:rsid w:val="00633EC4"/>
    <w:rPr>
      <w:sz w:val="20"/>
    </w:rPr>
  </w:style>
  <w:style w:type="character" w:customStyle="1" w:styleId="CommentTextChar">
    <w:name w:val="Comment Text Char"/>
    <w:basedOn w:val="DefaultParagraphFont"/>
    <w:link w:val="CommentText"/>
    <w:uiPriority w:val="99"/>
    <w:semiHidden/>
    <w:rsid w:val="00633EC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33EC4"/>
    <w:rPr>
      <w:b/>
      <w:bCs/>
    </w:rPr>
  </w:style>
  <w:style w:type="character" w:customStyle="1" w:styleId="CommentSubjectChar">
    <w:name w:val="Comment Subject Char"/>
    <w:basedOn w:val="CommentTextChar"/>
    <w:link w:val="CommentSubject"/>
    <w:uiPriority w:val="99"/>
    <w:semiHidden/>
    <w:rsid w:val="00633EC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633EC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3EC4"/>
    <w:rPr>
      <w:rFonts w:ascii="Segoe UI" w:eastAsia="Times New Roman" w:hAnsi="Segoe UI" w:cs="Segoe UI"/>
      <w:sz w:val="18"/>
      <w:szCs w:val="18"/>
    </w:rPr>
  </w:style>
  <w:style w:type="character" w:customStyle="1" w:styleId="Calibri12">
    <w:name w:val="Calibri 12"/>
    <w:basedOn w:val="DefaultParagraphFont"/>
    <w:uiPriority w:val="1"/>
    <w:qFormat/>
    <w:rsid w:val="000F0F27"/>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517</Words>
  <Characters>3005</Characters>
  <Application>Microsoft Office Word</Application>
  <DocSecurity>0</DocSecurity>
  <Lines>63</Lines>
  <Paragraphs>25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Duffy, Adam (Health)</dc:creator>
  <cp:keywords>2</cp:keywords>
  <dc:description/>
  <cp:lastModifiedBy>Moxon, KarenL</cp:lastModifiedBy>
  <cp:revision>4</cp:revision>
  <cp:lastPrinted>2020-05-28T04:20:00Z</cp:lastPrinted>
  <dcterms:created xsi:type="dcterms:W3CDTF">2020-08-19T06:53:00Z</dcterms:created>
  <dcterms:modified xsi:type="dcterms:W3CDTF">2020-08-19T06:53:00Z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1234693</vt:lpwstr>
  </property>
  <property fmtid="{D5CDD505-2E9C-101B-9397-08002B2CF9AE}" pid="4" name="JMSREQUIREDCHECKIN">
    <vt:lpwstr/>
  </property>
</Properties>
</file>