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A95D5" w14:textId="77777777" w:rsidR="007E5274" w:rsidRDefault="007E527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3F12D343" w14:textId="2A3EE73F" w:rsidR="007E5274" w:rsidRDefault="007E5274" w:rsidP="000C73E6">
      <w:pPr>
        <w:pStyle w:val="BodyText3"/>
        <w:spacing w:before="480"/>
        <w:ind w:right="-312"/>
      </w:pPr>
      <w:bookmarkStart w:id="1" w:name="Citation"/>
      <w:r>
        <w:t xml:space="preserve">Legislative Assembly (Members’ Staff) Deemed Date Of Termination Of Employment Of Members’ Staff </w:t>
      </w:r>
      <w:r w:rsidR="005D20FE">
        <w:t xml:space="preserve">Direction </w:t>
      </w:r>
      <w:r w:rsidR="001B21C0">
        <w:t>20</w:t>
      </w:r>
      <w:r w:rsidR="001016A3" w:rsidRPr="00F93218">
        <w:t>20</w:t>
      </w:r>
      <w:bookmarkEnd w:id="1"/>
      <w:r w:rsidR="002A20F9" w:rsidRPr="00F93218">
        <w:t xml:space="preserve"> (No 1)</w:t>
      </w:r>
    </w:p>
    <w:p w14:paraId="503F84BC" w14:textId="32941BA1" w:rsidR="007E5274" w:rsidRDefault="0063084E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"Category"  \* MERGEFORMAT </w:instrText>
      </w:r>
      <w:r>
        <w:rPr>
          <w:rFonts w:ascii="Arial" w:hAnsi="Arial" w:cs="Arial"/>
          <w:b/>
          <w:bCs/>
        </w:rPr>
        <w:fldChar w:fldCharType="end"/>
      </w:r>
      <w:r w:rsidR="000540F2">
        <w:rPr>
          <w:rFonts w:ascii="Arial" w:hAnsi="Arial" w:cs="Arial"/>
          <w:b/>
          <w:bCs/>
        </w:rPr>
        <w:t>251</w:t>
      </w:r>
    </w:p>
    <w:p w14:paraId="2FD40082" w14:textId="77777777" w:rsidR="007E5274" w:rsidRDefault="007E5274">
      <w:pPr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14:paraId="73243764" w14:textId="77777777" w:rsidR="007E5274" w:rsidRDefault="007E5274">
      <w:pPr>
        <w:pStyle w:val="CoverSubHdg"/>
        <w:spacing w:before="0"/>
      </w:pPr>
      <w:r>
        <w:t>Legislative Assembly (Members’</w:t>
      </w:r>
      <w:r w:rsidR="00986C62">
        <w:t xml:space="preserve"> Staff) Act 1989, s 13</w:t>
      </w:r>
      <w:r w:rsidR="005777D0">
        <w:t xml:space="preserve"> </w:t>
      </w:r>
      <w:r>
        <w:t>(5) (Termination of employment)</w:t>
      </w:r>
    </w:p>
    <w:p w14:paraId="4F6DF20F" w14:textId="77777777" w:rsidR="007E5274" w:rsidRDefault="007E5274">
      <w:pPr>
        <w:pStyle w:val="N-line3"/>
        <w:pBdr>
          <w:bottom w:val="none" w:sz="0" w:space="0" w:color="auto"/>
        </w:pBdr>
      </w:pPr>
    </w:p>
    <w:p w14:paraId="47EC17AB" w14:textId="77777777" w:rsidR="007E5274" w:rsidRDefault="007E5274">
      <w:pPr>
        <w:pStyle w:val="BillBasic"/>
        <w:spacing w:before="0"/>
        <w:rPr>
          <w:b/>
          <w:bCs/>
        </w:rPr>
      </w:pPr>
      <w:r>
        <w:rPr>
          <w:b/>
          <w:bCs/>
        </w:rPr>
        <w:t>EXPLANATORY STATEMENT</w:t>
      </w:r>
    </w:p>
    <w:p w14:paraId="4754DC61" w14:textId="77777777" w:rsidR="007E5274" w:rsidRDefault="007E5274">
      <w:pPr>
        <w:pStyle w:val="N-line3"/>
        <w:pBdr>
          <w:top w:val="single" w:sz="12" w:space="1" w:color="auto"/>
          <w:bottom w:val="none" w:sz="0" w:space="0" w:color="auto"/>
        </w:pBdr>
      </w:pPr>
    </w:p>
    <w:p w14:paraId="1D97463D" w14:textId="77777777" w:rsidR="007E5274" w:rsidRDefault="007E5274">
      <w:pPr>
        <w:pStyle w:val="Heading4"/>
        <w:numPr>
          <w:ilvl w:val="0"/>
          <w:numId w:val="0"/>
        </w:numPr>
        <w:spacing w:before="0" w:after="0"/>
      </w:pPr>
      <w:r>
        <w:t>Legislative Context</w:t>
      </w:r>
    </w:p>
    <w:p w14:paraId="4F6E5333" w14:textId="77777777" w:rsidR="007E5274" w:rsidRPr="00DF6FC6" w:rsidRDefault="007E5274">
      <w:pPr>
        <w:pStyle w:val="Header"/>
        <w:tabs>
          <w:tab w:val="clear" w:pos="4153"/>
          <w:tab w:val="clear" w:pos="8306"/>
        </w:tabs>
      </w:pPr>
    </w:p>
    <w:p w14:paraId="567A987A" w14:textId="77777777" w:rsidR="007E5274" w:rsidRDefault="007E5274">
      <w:r>
        <w:t xml:space="preserve">The </w:t>
      </w:r>
      <w:r>
        <w:rPr>
          <w:i/>
          <w:iCs/>
        </w:rPr>
        <w:t>Legislative Assembly (Members’ Staff) Act 1989</w:t>
      </w:r>
      <w:r>
        <w:t xml:space="preserve"> (“the Act”) provides for the employment of staff by member</w:t>
      </w:r>
      <w:r w:rsidR="00E22BAC">
        <w:t xml:space="preserve">s of the Legislative Assembly. </w:t>
      </w:r>
      <w:r>
        <w:t xml:space="preserve">Subsection 10(1) of the Act gives members </w:t>
      </w:r>
      <w:r w:rsidR="00E22BAC">
        <w:t xml:space="preserve">the authority to employ staff. </w:t>
      </w:r>
      <w:r>
        <w:t>Section 13 of the Act sets out the time when the employment of such persons terminates.</w:t>
      </w:r>
    </w:p>
    <w:p w14:paraId="38386F11" w14:textId="77777777" w:rsidR="007E5274" w:rsidRDefault="007E5274"/>
    <w:p w14:paraId="6809A47B" w14:textId="77777777" w:rsidR="007E5274" w:rsidRPr="005F46C6" w:rsidRDefault="007E5274" w:rsidP="000C73E6">
      <w:pPr>
        <w:ind w:right="-312"/>
      </w:pPr>
      <w:r>
        <w:t xml:space="preserve">Subsection 13(5) </w:t>
      </w:r>
      <w:r w:rsidR="000E4C18">
        <w:t xml:space="preserve">of the Act </w:t>
      </w:r>
      <w:r>
        <w:t>provides that the Chief Minister may, by written instrument, direct that the employment of a person whose employment is terminated by the operation of subsection 13(1) sha</w:t>
      </w:r>
      <w:r w:rsidR="00904E9F">
        <w:t>ll be deemed not to have</w:t>
      </w:r>
      <w:r>
        <w:t xml:space="preserve"> terminated and </w:t>
      </w:r>
      <w:r w:rsidR="00CF16D1">
        <w:t xml:space="preserve">that the employment is deemed </w:t>
      </w:r>
      <w:r>
        <w:t>t</w:t>
      </w:r>
      <w:r w:rsidR="00904E9F">
        <w:t xml:space="preserve">o have </w:t>
      </w:r>
      <w:r>
        <w:t>continue</w:t>
      </w:r>
      <w:r w:rsidR="00904E9F">
        <w:t>d</w:t>
      </w:r>
      <w:r w:rsidR="00CF16D1">
        <w:t>, or to continue,</w:t>
      </w:r>
      <w:r>
        <w:t xml:space="preserve"> until a </w:t>
      </w:r>
      <w:r w:rsidR="00904E9F">
        <w:t xml:space="preserve">specified </w:t>
      </w:r>
      <w:r>
        <w:t>date.</w:t>
      </w:r>
      <w:r w:rsidR="00CF16D1">
        <w:t xml:space="preserve"> </w:t>
      </w:r>
      <w:r w:rsidR="00904E9F">
        <w:t>Such a direction is a disallowable instrument.</w:t>
      </w:r>
      <w:r w:rsidR="00E22BAC">
        <w:t xml:space="preserve"> </w:t>
      </w:r>
      <w:r w:rsidR="00E22BAC" w:rsidRPr="005F46C6">
        <w:t>Subsection 13(4) of the Act provides that a person may terminate their employment at any time by giving notice in writing.</w:t>
      </w:r>
    </w:p>
    <w:p w14:paraId="54F8038F" w14:textId="77777777" w:rsidR="007E5274" w:rsidRPr="00DF6FC6" w:rsidRDefault="007E5274">
      <w:pPr>
        <w:pStyle w:val="Header"/>
        <w:tabs>
          <w:tab w:val="clear" w:pos="4153"/>
          <w:tab w:val="clear" w:pos="8306"/>
        </w:tabs>
      </w:pPr>
    </w:p>
    <w:p w14:paraId="49AD6EF9" w14:textId="77777777" w:rsidR="007E5274" w:rsidRDefault="007E5274">
      <w:pPr>
        <w:pStyle w:val="Heading4"/>
        <w:numPr>
          <w:ilvl w:val="0"/>
          <w:numId w:val="0"/>
        </w:numPr>
        <w:spacing w:before="0" w:after="0"/>
      </w:pPr>
      <w:r>
        <w:t>Outline</w:t>
      </w:r>
    </w:p>
    <w:p w14:paraId="1D87211F" w14:textId="77777777" w:rsidR="007E5274" w:rsidRPr="00DF6FC6" w:rsidRDefault="007E5274">
      <w:pPr>
        <w:pStyle w:val="Header"/>
        <w:tabs>
          <w:tab w:val="clear" w:pos="4153"/>
          <w:tab w:val="clear" w:pos="8306"/>
        </w:tabs>
      </w:pPr>
    </w:p>
    <w:p w14:paraId="640E73DB" w14:textId="77777777" w:rsidR="003E7978" w:rsidRDefault="003E7978" w:rsidP="000C73E6">
      <w:pPr>
        <w:pStyle w:val="BodyText2"/>
        <w:ind w:right="-170"/>
      </w:pPr>
      <w:r>
        <w:t>At a general election the employment of part 3 employees under the Act</w:t>
      </w:r>
      <w:r w:rsidR="0071550E">
        <w:t xml:space="preserve"> is terminated</w:t>
      </w:r>
      <w:r>
        <w:t xml:space="preserve"> by a combination of the operation of subsection 13(1) of the Act and section 10 of the </w:t>
      </w:r>
      <w:r w:rsidRPr="00224BB6">
        <w:rPr>
          <w:i/>
        </w:rPr>
        <w:t>Austral</w:t>
      </w:r>
      <w:r>
        <w:rPr>
          <w:i/>
        </w:rPr>
        <w:t>ian Capital T</w:t>
      </w:r>
      <w:r w:rsidRPr="00224BB6">
        <w:rPr>
          <w:i/>
        </w:rPr>
        <w:t>erritory (Self-Government) Act 1988</w:t>
      </w:r>
      <w:r>
        <w:t>.</w:t>
      </w:r>
    </w:p>
    <w:p w14:paraId="197F9158" w14:textId="77777777" w:rsidR="00D40195" w:rsidRDefault="00D40195" w:rsidP="00FC79CD">
      <w:pPr>
        <w:pStyle w:val="BodyText2"/>
        <w:ind w:right="-202"/>
      </w:pPr>
    </w:p>
    <w:p w14:paraId="4DF7AF50" w14:textId="77777777" w:rsidR="00D40195" w:rsidRPr="003E7978" w:rsidRDefault="00D40195" w:rsidP="006C29FC">
      <w:pPr>
        <w:pStyle w:val="BodyText2"/>
        <w:ind w:right="-312"/>
      </w:pPr>
      <w:r w:rsidRPr="00F93218">
        <w:t xml:space="preserve">Pursuant to a direction made under subsection 13(5) of the Act, </w:t>
      </w:r>
      <w:r w:rsidR="006C29FC" w:rsidRPr="00F93218">
        <w:t xml:space="preserve">DI2015-76, </w:t>
      </w:r>
      <w:r w:rsidRPr="00F93218">
        <w:t>the employment of part 3 employees is deemed to continue for a period</w:t>
      </w:r>
      <w:r w:rsidR="006C29FC" w:rsidRPr="00F93218">
        <w:t xml:space="preserve"> where their employing member has nominated for re-election at a general election</w:t>
      </w:r>
      <w:r w:rsidRPr="00F93218">
        <w:t xml:space="preserve">. The purpose of this was to provide for the continuity of employment for the employees </w:t>
      </w:r>
      <w:r w:rsidR="006C29FC" w:rsidRPr="00F93218">
        <w:t xml:space="preserve">of re-contesting members </w:t>
      </w:r>
      <w:r w:rsidRPr="00F93218">
        <w:t>between successive Assemblies</w:t>
      </w:r>
      <w:r w:rsidR="00522C42" w:rsidRPr="00F93218">
        <w:t xml:space="preserve"> where their employing member is returned and their employment contract is renewed</w:t>
      </w:r>
      <w:r w:rsidRPr="00F93218">
        <w:t>.</w:t>
      </w:r>
    </w:p>
    <w:p w14:paraId="320D81CE" w14:textId="77777777" w:rsidR="003E7978" w:rsidRDefault="003E7978">
      <w:pPr>
        <w:pStyle w:val="BodyText2"/>
      </w:pPr>
    </w:p>
    <w:p w14:paraId="4B398B56" w14:textId="77777777" w:rsidR="00EE0A04" w:rsidRPr="003A2095" w:rsidRDefault="003A2095" w:rsidP="009D3DB8">
      <w:pPr>
        <w:shd w:val="clear" w:color="auto" w:fill="FFFFFF"/>
        <w:ind w:right="-596"/>
      </w:pPr>
      <w:r w:rsidRPr="00F93218">
        <w:t>Currently t</w:t>
      </w:r>
      <w:r w:rsidR="00522C42" w:rsidRPr="00F93218">
        <w:t xml:space="preserve">he employment of employees </w:t>
      </w:r>
      <w:r w:rsidRPr="00F93218">
        <w:t xml:space="preserve">of </w:t>
      </w:r>
      <w:r w:rsidR="00A6589C" w:rsidRPr="00F93218">
        <w:t>non-</w:t>
      </w:r>
      <w:r w:rsidR="000C73E6" w:rsidRPr="00F93218">
        <w:t>re</w:t>
      </w:r>
      <w:r w:rsidR="00A6589C" w:rsidRPr="00F93218">
        <w:t>contesting</w:t>
      </w:r>
      <w:r w:rsidRPr="00F93218">
        <w:t xml:space="preserve"> members ceases on polling </w:t>
      </w:r>
      <w:r w:rsidR="009D3DB8" w:rsidRPr="00F93218">
        <w:t xml:space="preserve">  </w:t>
      </w:r>
      <w:r w:rsidRPr="00F93218">
        <w:t xml:space="preserve">day and, pursuant to disallowable instrument DI2016-300, </w:t>
      </w:r>
      <w:r w:rsidR="00AC4021" w:rsidRPr="00F93218">
        <w:t xml:space="preserve">they </w:t>
      </w:r>
      <w:r w:rsidRPr="00F93218">
        <w:t>are subject to a period of exclusion from re-employment, in weeks and days, that is equivalent to the termination payment received. Depending on the</w:t>
      </w:r>
      <w:r w:rsidR="00AC4021" w:rsidRPr="00F93218">
        <w:t>ir</w:t>
      </w:r>
      <w:r w:rsidRPr="00F93218">
        <w:t xml:space="preserve"> length of employment this exclusion period </w:t>
      </w:r>
      <w:r w:rsidR="00AC4021" w:rsidRPr="00F93218">
        <w:t>can be l</w:t>
      </w:r>
      <w:r w:rsidR="00EE0A04" w:rsidRPr="00F93218">
        <w:t>engthy</w:t>
      </w:r>
      <w:r w:rsidR="00AC4021" w:rsidRPr="00F93218">
        <w:t>.</w:t>
      </w:r>
      <w:r w:rsidR="00A6589C" w:rsidRPr="00F93218">
        <w:t xml:space="preserve"> </w:t>
      </w:r>
      <w:r w:rsidR="00EE0A04" w:rsidRPr="00F93218">
        <w:t xml:space="preserve">The purpose of this direction is to remove potential disadvantage to employees of </w:t>
      </w:r>
      <w:r w:rsidR="00A6589C" w:rsidRPr="00F93218">
        <w:t>non-</w:t>
      </w:r>
      <w:r w:rsidR="000C73E6" w:rsidRPr="00F93218">
        <w:t>re</w:t>
      </w:r>
      <w:r w:rsidR="00A6589C" w:rsidRPr="00F93218">
        <w:t>contesting</w:t>
      </w:r>
      <w:r w:rsidR="00EE0A04" w:rsidRPr="00F93218">
        <w:t xml:space="preserve"> members from having to serve an exclusion period</w:t>
      </w:r>
      <w:r w:rsidR="00F93218">
        <w:t xml:space="preserve"> from re-employment in a LAMS role, by providing the option for </w:t>
      </w:r>
      <w:r w:rsidR="00372AFC">
        <w:t xml:space="preserve">these </w:t>
      </w:r>
      <w:r w:rsidR="00F93218">
        <w:t xml:space="preserve">employees to </w:t>
      </w:r>
      <w:r w:rsidR="00EE0A04" w:rsidRPr="00F93218">
        <w:t>elect in writing to defer the</w:t>
      </w:r>
      <w:r w:rsidR="00A6589C" w:rsidRPr="00F93218">
        <w:t>ir</w:t>
      </w:r>
      <w:r w:rsidR="00EE0A04" w:rsidRPr="00F93218">
        <w:t xml:space="preserve"> termination payment and be deemed to be on leave without pay not to count as service for the period between polling day and the date of declaration of the poll. </w:t>
      </w:r>
      <w:r w:rsidR="00A6589C" w:rsidRPr="00F93218">
        <w:t>Their deemed continued period of employment ends if the employee resigns during that period.</w:t>
      </w:r>
      <w:r w:rsidR="000C73E6" w:rsidRPr="00F93218">
        <w:t xml:space="preserve"> Their employment also ends if, at the end of the deemed continued period of employment, they are not employed by a returning or new member.</w:t>
      </w:r>
    </w:p>
    <w:p w14:paraId="79A3315D" w14:textId="77777777" w:rsidR="005C29B7" w:rsidRDefault="005C29B7">
      <w:pPr>
        <w:pStyle w:val="BodyText2"/>
      </w:pPr>
    </w:p>
    <w:p w14:paraId="04A9B5CC" w14:textId="77777777" w:rsidR="007E5274" w:rsidRDefault="007E5274">
      <w:pPr>
        <w:pStyle w:val="Heading9"/>
        <w:spacing w:before="0" w:after="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Direction</w:t>
      </w:r>
    </w:p>
    <w:p w14:paraId="7DB01412" w14:textId="77777777" w:rsidR="007E5274" w:rsidRDefault="007E5274">
      <w:pPr>
        <w:pStyle w:val="Header"/>
        <w:tabs>
          <w:tab w:val="clear" w:pos="4153"/>
          <w:tab w:val="clear" w:pos="8306"/>
        </w:tabs>
      </w:pPr>
    </w:p>
    <w:p w14:paraId="66FEE2E2" w14:textId="77777777" w:rsidR="007E5274" w:rsidRDefault="007E5274">
      <w:pPr>
        <w:pStyle w:val="Header"/>
        <w:tabs>
          <w:tab w:val="clear" w:pos="4153"/>
          <w:tab w:val="clear" w:pos="8306"/>
        </w:tabs>
      </w:pPr>
      <w:r>
        <w:t xml:space="preserve">Numbered clauses 1 to 4 </w:t>
      </w:r>
      <w:r w:rsidR="002D1438">
        <w:t xml:space="preserve">of the instrument </w:t>
      </w:r>
      <w:r>
        <w:t>contain technical provisions.</w:t>
      </w:r>
    </w:p>
    <w:p w14:paraId="5B52EB1D" w14:textId="77777777" w:rsidR="007E5274" w:rsidRDefault="007E5274">
      <w:pPr>
        <w:pStyle w:val="Header"/>
        <w:tabs>
          <w:tab w:val="clear" w:pos="4153"/>
          <w:tab w:val="clear" w:pos="8306"/>
        </w:tabs>
      </w:pPr>
    </w:p>
    <w:p w14:paraId="1712B0C6" w14:textId="77777777" w:rsidR="007E5274" w:rsidRDefault="00264EA2">
      <w:pPr>
        <w:pStyle w:val="Header"/>
        <w:tabs>
          <w:tab w:val="clear" w:pos="4153"/>
          <w:tab w:val="clear" w:pos="8306"/>
        </w:tabs>
      </w:pPr>
      <w:r>
        <w:t xml:space="preserve">Numbered clause 5 </w:t>
      </w:r>
      <w:r w:rsidR="00E40872">
        <w:t xml:space="preserve">of the instrument </w:t>
      </w:r>
      <w:r>
        <w:t xml:space="preserve">revokes </w:t>
      </w:r>
      <w:r w:rsidR="007E5274">
        <w:t xml:space="preserve">direction </w:t>
      </w:r>
      <w:r w:rsidR="00FC79CD" w:rsidRPr="000F4478">
        <w:t>DI20</w:t>
      </w:r>
      <w:r w:rsidR="002A20F9" w:rsidRPr="000F4478">
        <w:t>15</w:t>
      </w:r>
      <w:r w:rsidR="00FC79CD" w:rsidRPr="000F4478">
        <w:t>-</w:t>
      </w:r>
      <w:r w:rsidR="002A20F9" w:rsidRPr="000F4478">
        <w:t>76</w:t>
      </w:r>
      <w:r w:rsidR="007E5274">
        <w:t>.</w:t>
      </w:r>
    </w:p>
    <w:p w14:paraId="43144B5C" w14:textId="77777777" w:rsidR="007E5274" w:rsidRDefault="007E5274">
      <w:pPr>
        <w:pStyle w:val="Header"/>
        <w:tabs>
          <w:tab w:val="clear" w:pos="4153"/>
          <w:tab w:val="clear" w:pos="8306"/>
        </w:tabs>
      </w:pPr>
    </w:p>
    <w:p w14:paraId="7C9BE16F" w14:textId="77777777" w:rsidR="007E5274" w:rsidRDefault="007E5274">
      <w:pPr>
        <w:pStyle w:val="Header"/>
        <w:tabs>
          <w:tab w:val="clear" w:pos="4153"/>
          <w:tab w:val="clear" w:pos="8306"/>
        </w:tabs>
      </w:pPr>
      <w:r>
        <w:t xml:space="preserve">Numbered clause 6 </w:t>
      </w:r>
      <w:r w:rsidR="00E40872">
        <w:t xml:space="preserve">of the instrument </w:t>
      </w:r>
      <w:r>
        <w:t xml:space="preserve">directs that </w:t>
      </w:r>
      <w:r w:rsidR="00264EA2">
        <w:t xml:space="preserve">the </w:t>
      </w:r>
      <w:r>
        <w:t xml:space="preserve">employment </w:t>
      </w:r>
      <w:r w:rsidR="00264EA2">
        <w:t xml:space="preserve">of persons employed under part 3 of the Act is deemed to </w:t>
      </w:r>
      <w:r>
        <w:t>continue until a specified date.</w:t>
      </w:r>
    </w:p>
    <w:p w14:paraId="03245770" w14:textId="77777777" w:rsidR="007E5274" w:rsidRDefault="007E5274">
      <w:pPr>
        <w:pStyle w:val="Header"/>
        <w:tabs>
          <w:tab w:val="clear" w:pos="4153"/>
          <w:tab w:val="clear" w:pos="8306"/>
        </w:tabs>
      </w:pPr>
    </w:p>
    <w:p w14:paraId="243B1DC2" w14:textId="77777777" w:rsidR="007E5274" w:rsidRDefault="007E5274">
      <w:r>
        <w:t xml:space="preserve">Numbered clause 7 </w:t>
      </w:r>
      <w:r w:rsidR="00E40872">
        <w:t xml:space="preserve">of the instrument </w:t>
      </w:r>
      <w:r>
        <w:t>specifies the class of persons to whom the direction applies</w:t>
      </w:r>
      <w:r w:rsidR="008C66EE">
        <w:t xml:space="preserve"> as persons whose employment </w:t>
      </w:r>
      <w:r w:rsidR="00C613E6">
        <w:t xml:space="preserve">ceased, or </w:t>
      </w:r>
      <w:r w:rsidR="008C66EE">
        <w:t>would have ceased</w:t>
      </w:r>
      <w:r w:rsidR="00C613E6">
        <w:t>,</w:t>
      </w:r>
      <w:r w:rsidR="008C66EE">
        <w:t xml:space="preserve"> by the operation of subsection 13(1) of the Act</w:t>
      </w:r>
      <w:r>
        <w:t>.</w:t>
      </w:r>
    </w:p>
    <w:p w14:paraId="0AF16C8E" w14:textId="77777777" w:rsidR="007E5274" w:rsidRDefault="007E5274">
      <w:pPr>
        <w:pStyle w:val="RenumProvEntries"/>
        <w:spacing w:before="0"/>
        <w:rPr>
          <w:rFonts w:ascii="Times New Roman" w:hAnsi="Times New Roman" w:cs="Times New Roman"/>
          <w:sz w:val="24"/>
          <w:szCs w:val="24"/>
        </w:rPr>
      </w:pPr>
    </w:p>
    <w:p w14:paraId="6ADE3C3B" w14:textId="77777777" w:rsidR="00CA536C" w:rsidRDefault="007E5274">
      <w:r>
        <w:t>Numbered clause 8</w:t>
      </w:r>
      <w:r w:rsidR="00B60233">
        <w:t>,</w:t>
      </w:r>
      <w:r>
        <w:t xml:space="preserve"> </w:t>
      </w:r>
      <w:r w:rsidR="00232ECA">
        <w:t xml:space="preserve">paragraph (1) </w:t>
      </w:r>
      <w:r w:rsidR="00E40872">
        <w:t xml:space="preserve">of the instrument </w:t>
      </w:r>
      <w:r>
        <w:t>specif</w:t>
      </w:r>
      <w:r w:rsidR="008C66EE">
        <w:t xml:space="preserve">ies the date on which the </w:t>
      </w:r>
      <w:r w:rsidR="0075109E">
        <w:t>person</w:t>
      </w:r>
      <w:r w:rsidR="00B60233">
        <w:t xml:space="preserve">’s </w:t>
      </w:r>
      <w:r w:rsidR="008C66EE">
        <w:t>deem</w:t>
      </w:r>
      <w:r>
        <w:t xml:space="preserve">ed </w:t>
      </w:r>
      <w:r w:rsidR="008C66EE">
        <w:t xml:space="preserve">continued </w:t>
      </w:r>
      <w:r w:rsidR="00FC79CD">
        <w:t>employment ceases</w:t>
      </w:r>
      <w:r w:rsidR="00B60233">
        <w:t>,</w:t>
      </w:r>
      <w:r w:rsidR="00232ECA">
        <w:t xml:space="preserve"> where </w:t>
      </w:r>
      <w:r w:rsidR="00B60233">
        <w:t xml:space="preserve">the employing member has nominated for re-election at a general election. </w:t>
      </w:r>
    </w:p>
    <w:p w14:paraId="6AB9898F" w14:textId="77777777" w:rsidR="0036028D" w:rsidRDefault="0036028D"/>
    <w:p w14:paraId="6ADF22F7" w14:textId="77777777" w:rsidR="0036028D" w:rsidRDefault="0036028D">
      <w:r w:rsidRPr="000F4478">
        <w:t xml:space="preserve">Numbered clause 8, paragraph (2) of the instrument </w:t>
      </w:r>
      <w:r w:rsidR="00820034" w:rsidRPr="000F4478">
        <w:t xml:space="preserve">has been inserted. This </w:t>
      </w:r>
      <w:r w:rsidRPr="000F4478">
        <w:t xml:space="preserve">specifies the date on which the person’s deemed continued employment ceases, where the employing member has not nominated for re-election at a general election and the person has elected in writing to defer the payment of their termination payment and </w:t>
      </w:r>
      <w:r w:rsidR="000F4478" w:rsidRPr="000F4478">
        <w:t>b</w:t>
      </w:r>
      <w:r w:rsidRPr="000F4478">
        <w:t>e deemed to be on leave without pay</w:t>
      </w:r>
      <w:r>
        <w:t>.</w:t>
      </w:r>
    </w:p>
    <w:p w14:paraId="0D4D4CC7" w14:textId="77777777" w:rsidR="00CA536C" w:rsidRDefault="00CA536C"/>
    <w:p w14:paraId="69872942" w14:textId="77777777" w:rsidR="00CA536C" w:rsidRDefault="00CA536C" w:rsidP="0036028D">
      <w:pPr>
        <w:ind w:right="-312"/>
      </w:pPr>
      <w:r>
        <w:t>Numbered clause 8, p</w:t>
      </w:r>
      <w:r w:rsidR="00B60233">
        <w:t>aragraph (</w:t>
      </w:r>
      <w:r w:rsidR="0036028D">
        <w:t>3</w:t>
      </w:r>
      <w:r w:rsidR="00B60233">
        <w:t xml:space="preserve">) </w:t>
      </w:r>
      <w:r w:rsidR="001B0BA0">
        <w:t xml:space="preserve">of the instrument </w:t>
      </w:r>
      <w:r w:rsidR="00B60233">
        <w:t>specifie</w:t>
      </w:r>
      <w:r w:rsidR="0075109E">
        <w:t>s the date on which the person</w:t>
      </w:r>
      <w:r w:rsidR="00B60233">
        <w:t xml:space="preserve">’s deemed continued employment ceases, where the employing member dies, or ceases to be a member </w:t>
      </w:r>
      <w:r>
        <w:t>in circumstances other than those covered by paragraph (1)</w:t>
      </w:r>
      <w:r w:rsidR="0036028D">
        <w:t xml:space="preserve"> </w:t>
      </w:r>
      <w:r w:rsidR="0036028D" w:rsidRPr="000F4478">
        <w:t>or paragraph (2)</w:t>
      </w:r>
      <w:r w:rsidR="00B60233" w:rsidRPr="000F4478">
        <w:t>.</w:t>
      </w:r>
      <w:r w:rsidR="00B60233">
        <w:t xml:space="preserve"> </w:t>
      </w:r>
    </w:p>
    <w:p w14:paraId="0146C74F" w14:textId="77777777" w:rsidR="00CA536C" w:rsidRDefault="00CA536C"/>
    <w:p w14:paraId="1358DE9E" w14:textId="77777777" w:rsidR="00C427AD" w:rsidRDefault="00CA536C">
      <w:r>
        <w:t>Numbered clause 8, p</w:t>
      </w:r>
      <w:r w:rsidR="00B60233">
        <w:t>aragraph (</w:t>
      </w:r>
      <w:r w:rsidR="0036028D">
        <w:t>4</w:t>
      </w:r>
      <w:r w:rsidR="00B60233">
        <w:t>)</w:t>
      </w:r>
      <w:r w:rsidR="00820034" w:rsidRPr="000F4478">
        <w:t>(a)</w:t>
      </w:r>
      <w:r w:rsidR="00B60233" w:rsidRPr="000F4478">
        <w:t xml:space="preserve"> </w:t>
      </w:r>
      <w:r w:rsidR="001B0BA0" w:rsidRPr="000F4478">
        <w:t xml:space="preserve">of the instrument </w:t>
      </w:r>
      <w:r w:rsidR="00B60233" w:rsidRPr="000F4478">
        <w:t>specifies</w:t>
      </w:r>
      <w:r w:rsidR="00FC79CD" w:rsidRPr="000F4478">
        <w:t xml:space="preserve"> that the period of deemed continued employment </w:t>
      </w:r>
      <w:r w:rsidR="00820034" w:rsidRPr="000F4478">
        <w:t>under paragraphs (1) and (3)</w:t>
      </w:r>
      <w:r w:rsidR="00820034">
        <w:t xml:space="preserve"> </w:t>
      </w:r>
      <w:r w:rsidR="00FC79CD">
        <w:t xml:space="preserve">constitutes notice for the purpose of the </w:t>
      </w:r>
      <w:r w:rsidR="00FC79CD">
        <w:rPr>
          <w:i/>
        </w:rPr>
        <w:t>Fair Work</w:t>
      </w:r>
      <w:r w:rsidR="00FC79CD" w:rsidRPr="000977B7">
        <w:rPr>
          <w:i/>
        </w:rPr>
        <w:t xml:space="preserve"> Act </w:t>
      </w:r>
      <w:r w:rsidR="00FC79CD">
        <w:rPr>
          <w:i/>
        </w:rPr>
        <w:t>2009</w:t>
      </w:r>
      <w:r w:rsidR="00FC79CD">
        <w:t xml:space="preserve"> and payment for the purpose of any termination payments made under an applicable enterprise </w:t>
      </w:r>
      <w:r w:rsidR="00D9003E">
        <w:t>agreement</w:t>
      </w:r>
      <w:r w:rsidR="00FC79CD">
        <w:t xml:space="preserve"> in respect to part 3 employees who are not subsequently re-employed.</w:t>
      </w:r>
      <w:r w:rsidR="00820034">
        <w:t xml:space="preserve"> </w:t>
      </w:r>
    </w:p>
    <w:p w14:paraId="536120BA" w14:textId="77777777" w:rsidR="00C427AD" w:rsidRDefault="00C427AD"/>
    <w:p w14:paraId="50314FEE" w14:textId="77777777" w:rsidR="007E5274" w:rsidRDefault="00820034">
      <w:r w:rsidRPr="000F4478">
        <w:t xml:space="preserve">Numbered clause 8, paragraph (4)(b) of the instrument has been inserted. This paragraph specifies that the period of deemed continued employment </w:t>
      </w:r>
      <w:r w:rsidR="0043196B" w:rsidRPr="000F4478">
        <w:t>under paragraph (2)</w:t>
      </w:r>
      <w:r w:rsidR="0043196B">
        <w:t>,</w:t>
      </w:r>
      <w:r w:rsidR="0043196B" w:rsidRPr="000F4478">
        <w:t xml:space="preserve"> </w:t>
      </w:r>
      <w:r w:rsidR="0043196B">
        <w:t xml:space="preserve">in respect of former employees of </w:t>
      </w:r>
      <w:r w:rsidR="0043196B" w:rsidRPr="000F4478">
        <w:t>member</w:t>
      </w:r>
      <w:r w:rsidR="0043196B">
        <w:t>s who have</w:t>
      </w:r>
      <w:r w:rsidR="0043196B" w:rsidRPr="000F4478">
        <w:t xml:space="preserve"> not nominated for re-election at a general election</w:t>
      </w:r>
      <w:r w:rsidR="0043196B">
        <w:t xml:space="preserve"> and who elect in writing to defer their termination payment,</w:t>
      </w:r>
      <w:r w:rsidR="0043196B" w:rsidRPr="000F4478">
        <w:t xml:space="preserve"> </w:t>
      </w:r>
      <w:r w:rsidRPr="000F4478">
        <w:t>will not count as service for the purpose of the accrual of any leave entitlements or any termination payment made pursuant to the applicable enterprise agreement</w:t>
      </w:r>
      <w:r w:rsidR="0038742F" w:rsidRPr="000F4478">
        <w:t>.</w:t>
      </w:r>
      <w:r w:rsidR="0043196B">
        <w:t xml:space="preserve"> </w:t>
      </w:r>
      <w:bookmarkStart w:id="2" w:name="_Hlk45796049"/>
      <w:r w:rsidR="0043196B">
        <w:t xml:space="preserve">The purpose of this is to </w:t>
      </w:r>
      <w:r w:rsidR="00E45888">
        <w:t>prevent</w:t>
      </w:r>
      <w:r w:rsidR="0043196B">
        <w:t xml:space="preserve"> any additional financial benefit accruing to these persons over above those of persons who do not so elect</w:t>
      </w:r>
      <w:bookmarkEnd w:id="2"/>
      <w:r w:rsidR="0043196B">
        <w:t>.</w:t>
      </w:r>
    </w:p>
    <w:p w14:paraId="0ED44338" w14:textId="77777777" w:rsidR="00CA536C" w:rsidRDefault="00CA536C"/>
    <w:p w14:paraId="00236216" w14:textId="77777777" w:rsidR="00D9003E" w:rsidRDefault="00CA536C">
      <w:r>
        <w:t>Numbered clause 8, paragraph (</w:t>
      </w:r>
      <w:r w:rsidR="00820034">
        <w:t>5</w:t>
      </w:r>
      <w:r>
        <w:t xml:space="preserve">) </w:t>
      </w:r>
      <w:r w:rsidR="001B0BA0">
        <w:t xml:space="preserve">of the instrument </w:t>
      </w:r>
      <w:r>
        <w:t xml:space="preserve">specifies that </w:t>
      </w:r>
      <w:r w:rsidR="003464D1">
        <w:t>the period of deemed continued employment ends if</w:t>
      </w:r>
      <w:r>
        <w:t xml:space="preserve"> a part 3 employee resigns in accordance with subsection 13(4) of the Act</w:t>
      </w:r>
      <w:r w:rsidR="003464D1">
        <w:t xml:space="preserve"> during that period.</w:t>
      </w:r>
    </w:p>
    <w:sectPr w:rsidR="00D9003E" w:rsidSect="000F4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1907" w:h="16839" w:code="9"/>
      <w:pgMar w:top="993" w:right="1417" w:bottom="568" w:left="2155" w:header="426" w:footer="121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70D90" w14:textId="77777777" w:rsidR="00FB4431" w:rsidRDefault="00FB4431">
      <w:r>
        <w:separator/>
      </w:r>
    </w:p>
  </w:endnote>
  <w:endnote w:type="continuationSeparator" w:id="0">
    <w:p w14:paraId="58C12183" w14:textId="77777777" w:rsidR="00FB4431" w:rsidRDefault="00FB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C37E" w14:textId="77777777" w:rsidR="009B1279" w:rsidRDefault="009B1279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527"/>
      <w:gridCol w:w="1553"/>
    </w:tblGrid>
    <w:tr w:rsidR="009B1279" w14:paraId="0BF83A25" w14:textId="77777777"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B28460" w14:textId="77777777" w:rsidR="009B1279" w:rsidRDefault="009B1279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t>2</w:t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8D3B47" w14:textId="09B86C59" w:rsidR="009B1279" w:rsidRDefault="001B21C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>
            <w:t>Legislative Assembly (Members’ Staff) Deemed Date Of Termination Of Employment Of Members’ Staff Direction 20</w:t>
          </w:r>
          <w:r w:rsidRPr="00F93218">
            <w:t>20</w:t>
          </w:r>
          <w:r>
            <w:fldChar w:fldCharType="end"/>
          </w:r>
          <w:r w:rsidR="009B1279">
            <w:br/>
          </w:r>
          <w:r>
            <w:fldChar w:fldCharType="begin"/>
          </w:r>
          <w:r>
            <w:instrText xml:space="preserve"> DOCPROPERTY "Eff" 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27FBEC" w14:textId="341E8A38" w:rsidR="009B1279" w:rsidRDefault="009B127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br/>
          </w:r>
          <w:r w:rsidR="001B21C0">
            <w:fldChar w:fldCharType="begin"/>
          </w:r>
          <w:r w:rsidR="001B21C0">
            <w:instrText xml:space="preserve"> DOCPROPERTY "RepubDt"  </w:instrText>
          </w:r>
          <w:r w:rsidR="001B21C0">
            <w:fldChar w:fldCharType="separate"/>
          </w:r>
          <w:r w:rsidR="001B21C0">
            <w:t xml:space="preserve">  </w:t>
          </w:r>
          <w:r w:rsidR="001B21C0">
            <w:fldChar w:fldCharType="end"/>
          </w:r>
        </w:p>
      </w:tc>
    </w:tr>
  </w:tbl>
  <w:p w14:paraId="4CDB53C4" w14:textId="02BCCC36" w:rsidR="009B1279" w:rsidRDefault="001B21C0">
    <w:pPr>
      <w:pStyle w:val="Status"/>
      <w:rPr>
        <w:sz w:val="18"/>
        <w:szCs w:val="18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14:paraId="15295422" w14:textId="77777777" w:rsidR="009B1279" w:rsidRDefault="009B1279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6D8D4C3A" w14:textId="77777777" w:rsidR="003F09A4" w:rsidRDefault="009B1279" w:rsidP="00115C97">
    <w:pPr>
      <w:pStyle w:val="Footer"/>
      <w:jc w:val="center"/>
      <w:rPr>
        <w:sz w:val="14"/>
        <w:szCs w:val="14"/>
      </w:rPr>
    </w:pPr>
    <w:r w:rsidRPr="00115C97">
      <w:rPr>
        <w:sz w:val="14"/>
        <w:szCs w:val="14"/>
      </w:rPr>
      <w:t>Unauthorised version prepared by ACT Parliamentary Counsel’s Office</w:t>
    </w:r>
  </w:p>
  <w:p w14:paraId="60B24FE5" w14:textId="77777777" w:rsidR="009B1279" w:rsidRPr="003F09A4" w:rsidRDefault="003F09A4" w:rsidP="003F09A4">
    <w:pPr>
      <w:pStyle w:val="Footer"/>
      <w:jc w:val="center"/>
      <w:rPr>
        <w:sz w:val="14"/>
        <w:szCs w:val="14"/>
      </w:rPr>
    </w:pPr>
    <w:r w:rsidRPr="003F09A4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20BF" w14:textId="77777777" w:rsidR="009B1279" w:rsidRDefault="009B1279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03"/>
      <w:gridCol w:w="5685"/>
      <w:gridCol w:w="1101"/>
    </w:tblGrid>
    <w:tr w:rsidR="0063084E" w14:paraId="3C4CA931" w14:textId="77777777" w:rsidTr="00EE0A04">
      <w:trPr>
        <w:jc w:val="center"/>
      </w:trPr>
      <w:tc>
        <w:tcPr>
          <w:tcW w:w="120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B538D8" w14:textId="0B4E3D73" w:rsidR="0063084E" w:rsidRDefault="0063084E" w:rsidP="00436875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t>2</w:t>
          </w: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fldChar w:fldCharType="begin"/>
          </w:r>
          <w:r>
            <w:instrText xml:space="preserve"> DOCPROPERTY "Category"  </w:instrText>
          </w:r>
          <w:r>
            <w:fldChar w:fldCharType="end"/>
          </w:r>
          <w:r>
            <w:br/>
          </w:r>
          <w:r w:rsidR="001B21C0">
            <w:fldChar w:fldCharType="begin"/>
          </w:r>
          <w:r w:rsidR="001B21C0">
            <w:instrText xml:space="preserve"> DOCPROPERTY "RepubDt"  </w:instrText>
          </w:r>
          <w:r w:rsidR="001B21C0">
            <w:fldChar w:fldCharType="separate"/>
          </w:r>
          <w:r w:rsidR="001B21C0">
            <w:t xml:space="preserve">  </w:t>
          </w:r>
          <w:r w:rsidR="001B21C0">
            <w:fldChar w:fldCharType="end"/>
          </w:r>
        </w:p>
      </w:tc>
      <w:tc>
        <w:tcPr>
          <w:tcW w:w="56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52A13F" w14:textId="42ED7C0A" w:rsidR="0063084E" w:rsidRDefault="001B21C0" w:rsidP="0063084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>
            <w:t>Legislative Assembly (Members’ Staff) Deemed Date Of Termination Of Employment Of Members’ Staff Direction 20</w:t>
          </w:r>
          <w:r w:rsidRPr="00F93218">
            <w:t>20</w:t>
          </w:r>
          <w:r>
            <w:fldChar w:fldCharType="end"/>
          </w:r>
          <w:r w:rsidR="00EE0A04" w:rsidRPr="000F4478">
            <w:t xml:space="preserve"> (No 1)</w:t>
          </w:r>
        </w:p>
      </w:tc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009B26" w14:textId="77777777" w:rsidR="0063084E" w:rsidRDefault="0063084E" w:rsidP="00436875">
          <w:pPr>
            <w:pStyle w:val="Footer"/>
            <w:jc w:val="right"/>
          </w:pPr>
        </w:p>
      </w:tc>
    </w:tr>
  </w:tbl>
  <w:p w14:paraId="640392F7" w14:textId="77777777" w:rsidR="009B1279" w:rsidRPr="005B6338" w:rsidRDefault="005B6338" w:rsidP="005B6338">
    <w:pPr>
      <w:pStyle w:val="Status"/>
      <w:rPr>
        <w:szCs w:val="18"/>
      </w:rPr>
    </w:pPr>
    <w:r w:rsidRPr="005B6338">
      <w:rPr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A2FE" w14:textId="77777777" w:rsidR="005B6338" w:rsidRPr="005B6338" w:rsidRDefault="005B6338" w:rsidP="005B6338">
    <w:pPr>
      <w:pStyle w:val="Footer"/>
      <w:jc w:val="center"/>
      <w:rPr>
        <w:sz w:val="14"/>
      </w:rPr>
    </w:pPr>
    <w:r w:rsidRPr="005B6338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9F822" w14:textId="77777777" w:rsidR="00FB4431" w:rsidRDefault="00FB4431">
      <w:r>
        <w:separator/>
      </w:r>
    </w:p>
  </w:footnote>
  <w:footnote w:type="continuationSeparator" w:id="0">
    <w:p w14:paraId="515B9283" w14:textId="77777777" w:rsidR="00FB4431" w:rsidRDefault="00FB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575A" w14:textId="77777777" w:rsidR="001B21C0" w:rsidRDefault="001B2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A824" w14:textId="77777777" w:rsidR="001B21C0" w:rsidRDefault="001B2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D445" w14:textId="77777777" w:rsidR="001B21C0" w:rsidRDefault="001B2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5274"/>
    <w:rsid w:val="00014426"/>
    <w:rsid w:val="00044675"/>
    <w:rsid w:val="000540F2"/>
    <w:rsid w:val="0008349F"/>
    <w:rsid w:val="000977B7"/>
    <w:rsid w:val="000A4C63"/>
    <w:rsid w:val="000C73E6"/>
    <w:rsid w:val="000E4C18"/>
    <w:rsid w:val="000F4478"/>
    <w:rsid w:val="001016A3"/>
    <w:rsid w:val="00114505"/>
    <w:rsid w:val="00115C97"/>
    <w:rsid w:val="00170AD0"/>
    <w:rsid w:val="001820D8"/>
    <w:rsid w:val="001B0BA0"/>
    <w:rsid w:val="001B21C0"/>
    <w:rsid w:val="001F7747"/>
    <w:rsid w:val="002229D5"/>
    <w:rsid w:val="00224BB6"/>
    <w:rsid w:val="00232ECA"/>
    <w:rsid w:val="00264EA2"/>
    <w:rsid w:val="0028680E"/>
    <w:rsid w:val="002A20F9"/>
    <w:rsid w:val="002C2959"/>
    <w:rsid w:val="002C3BF7"/>
    <w:rsid w:val="002D1438"/>
    <w:rsid w:val="002F7B99"/>
    <w:rsid w:val="003464D1"/>
    <w:rsid w:val="0036028D"/>
    <w:rsid w:val="00372AFC"/>
    <w:rsid w:val="0038742F"/>
    <w:rsid w:val="003A2095"/>
    <w:rsid w:val="003B53D0"/>
    <w:rsid w:val="003E7978"/>
    <w:rsid w:val="003F09A4"/>
    <w:rsid w:val="0043196B"/>
    <w:rsid w:val="00436875"/>
    <w:rsid w:val="004454BE"/>
    <w:rsid w:val="004536E7"/>
    <w:rsid w:val="00471FBA"/>
    <w:rsid w:val="004E14F4"/>
    <w:rsid w:val="00522C42"/>
    <w:rsid w:val="0053647B"/>
    <w:rsid w:val="005777D0"/>
    <w:rsid w:val="005A0E60"/>
    <w:rsid w:val="005B5529"/>
    <w:rsid w:val="005B6338"/>
    <w:rsid w:val="005C29B7"/>
    <w:rsid w:val="005D20FE"/>
    <w:rsid w:val="005F46C6"/>
    <w:rsid w:val="0060186B"/>
    <w:rsid w:val="006054DA"/>
    <w:rsid w:val="0063084E"/>
    <w:rsid w:val="00644CCC"/>
    <w:rsid w:val="006C0AA5"/>
    <w:rsid w:val="006C29FC"/>
    <w:rsid w:val="0070184E"/>
    <w:rsid w:val="0071550E"/>
    <w:rsid w:val="00716B00"/>
    <w:rsid w:val="0075109E"/>
    <w:rsid w:val="00752DBF"/>
    <w:rsid w:val="0075508B"/>
    <w:rsid w:val="007B56A0"/>
    <w:rsid w:val="007C53BB"/>
    <w:rsid w:val="007E5274"/>
    <w:rsid w:val="00820034"/>
    <w:rsid w:val="00853B0D"/>
    <w:rsid w:val="008606BB"/>
    <w:rsid w:val="00895E65"/>
    <w:rsid w:val="00897CD5"/>
    <w:rsid w:val="008C3DB5"/>
    <w:rsid w:val="008C66EE"/>
    <w:rsid w:val="008E51FB"/>
    <w:rsid w:val="00904E9F"/>
    <w:rsid w:val="00952AC9"/>
    <w:rsid w:val="00986A2A"/>
    <w:rsid w:val="00986C62"/>
    <w:rsid w:val="0099341A"/>
    <w:rsid w:val="0099654D"/>
    <w:rsid w:val="009A439E"/>
    <w:rsid w:val="009B1279"/>
    <w:rsid w:val="009D3DB8"/>
    <w:rsid w:val="009E0273"/>
    <w:rsid w:val="00A556FE"/>
    <w:rsid w:val="00A6589C"/>
    <w:rsid w:val="00A73E26"/>
    <w:rsid w:val="00A926E7"/>
    <w:rsid w:val="00AC4021"/>
    <w:rsid w:val="00B60233"/>
    <w:rsid w:val="00B70C8F"/>
    <w:rsid w:val="00B70D34"/>
    <w:rsid w:val="00BD4377"/>
    <w:rsid w:val="00C266BA"/>
    <w:rsid w:val="00C427AD"/>
    <w:rsid w:val="00C613E6"/>
    <w:rsid w:val="00C63DFA"/>
    <w:rsid w:val="00CA536C"/>
    <w:rsid w:val="00CB4D91"/>
    <w:rsid w:val="00CC6BFA"/>
    <w:rsid w:val="00CE6DDA"/>
    <w:rsid w:val="00CF16D1"/>
    <w:rsid w:val="00D06AC6"/>
    <w:rsid w:val="00D07516"/>
    <w:rsid w:val="00D21A00"/>
    <w:rsid w:val="00D2496B"/>
    <w:rsid w:val="00D40195"/>
    <w:rsid w:val="00D9003E"/>
    <w:rsid w:val="00DC159B"/>
    <w:rsid w:val="00DF6FC6"/>
    <w:rsid w:val="00E22BAC"/>
    <w:rsid w:val="00E31F3C"/>
    <w:rsid w:val="00E40872"/>
    <w:rsid w:val="00E45888"/>
    <w:rsid w:val="00E5332A"/>
    <w:rsid w:val="00E53A7D"/>
    <w:rsid w:val="00EC78B9"/>
    <w:rsid w:val="00EE0A04"/>
    <w:rsid w:val="00EE0F72"/>
    <w:rsid w:val="00EF23B6"/>
    <w:rsid w:val="00F4422D"/>
    <w:rsid w:val="00F75AE9"/>
    <w:rsid w:val="00F854F2"/>
    <w:rsid w:val="00F8736E"/>
    <w:rsid w:val="00F93218"/>
    <w:rsid w:val="00F96BB6"/>
    <w:rsid w:val="00FA28D1"/>
    <w:rsid w:val="00FB4431"/>
    <w:rsid w:val="00FC79CD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13A0BC"/>
  <w14:defaultImageDpi w14:val="96"/>
  <w15:docId w15:val="{AEC4A72C-FF4B-4C1C-B7ED-082C6569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link w:val="BodyText2Char"/>
    <w:uiPriority w:val="99"/>
    <w:pPr>
      <w:ind w:right="-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character" w:customStyle="1" w:styleId="charItals">
    <w:name w:val="charItals"/>
    <w:basedOn w:val="DefaultParagraphFont"/>
    <w:uiPriority w:val="99"/>
    <w:rPr>
      <w:rFonts w:cs="Times New Roman"/>
      <w:i/>
      <w:iCs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spacing w:before="0" w:after="40"/>
      <w:ind w:left="1800" w:hanging="300"/>
    </w:p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styleId="TOC7">
    <w:name w:val="toc 7"/>
    <w:basedOn w:val="TOC2"/>
    <w:next w:val="Normal"/>
    <w:autoRedefine/>
    <w:uiPriority w:val="99"/>
    <w:pPr>
      <w:keepNext w:val="0"/>
      <w:spacing w:before="120"/>
    </w:pPr>
    <w:rPr>
      <w:sz w:val="20"/>
      <w:szCs w:val="20"/>
    </w:rPr>
  </w:style>
  <w:style w:type="paragraph" w:customStyle="1" w:styleId="Endnote1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uiPriority w:val="99"/>
    <w:pPr>
      <w:keepNext/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DivNo">
    <w:name w:val="CharDivNo"/>
    <w:basedOn w:val="DefaultParagraphFont"/>
    <w:uiPriority w:val="99"/>
    <w:rPr>
      <w:rFonts w:cs="Times New Roman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character" w:customStyle="1" w:styleId="CharPartNo">
    <w:name w:val="CharPartNo"/>
    <w:basedOn w:val="DefaultParagraphFont"/>
    <w:uiPriority w:val="99"/>
    <w:rPr>
      <w:rFonts w:cs="Times New Roman"/>
    </w:rPr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CharChapNo">
    <w:name w:val="CharChapNo"/>
    <w:basedOn w:val="DefaultParagraphFont"/>
    <w:uiPriority w:val="99"/>
    <w:rPr>
      <w:rFonts w:cs="Times New Roman"/>
    </w:rPr>
  </w:style>
  <w:style w:type="character" w:customStyle="1" w:styleId="CharChapText">
    <w:name w:val="CharChapText"/>
    <w:basedOn w:val="DefaultParagraphFont"/>
    <w:uiPriority w:val="99"/>
    <w:rPr>
      <w:rFonts w:cs="Times New Roman"/>
    </w:rPr>
  </w:style>
  <w:style w:type="character" w:customStyle="1" w:styleId="CharPartText">
    <w:name w:val="CharPartText"/>
    <w:basedOn w:val="DefaultParagraphFont"/>
    <w:uiPriority w:val="9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pPr>
      <w:keepNext w:val="0"/>
    </w:pPr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spacing w:before="0" w:after="40"/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keepNext/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Pr>
      <w:rFonts w:cs="Times New Roman"/>
      <w:b/>
      <w:bCs/>
      <w:i/>
      <w:iCs/>
    </w:rPr>
  </w:style>
  <w:style w:type="character" w:customStyle="1" w:styleId="charUnderline">
    <w:name w:val="charUnderline"/>
    <w:basedOn w:val="DefaultParagraphFont"/>
    <w:uiPriority w:val="99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uiPriority w:val="99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uiPriority w:val="99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uiPriority w:val="99"/>
    <w:pPr>
      <w:spacing w:before="60" w:after="60"/>
    </w:pPr>
  </w:style>
  <w:style w:type="paragraph" w:customStyle="1" w:styleId="IshadedH5Sec">
    <w:name w:val="I shaded H5 Sec"/>
    <w:basedOn w:val="AH5Sec"/>
    <w:uiPriority w:val="99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pPr>
      <w:outlineLvl w:val="9"/>
    </w:pPr>
  </w:style>
  <w:style w:type="paragraph" w:customStyle="1" w:styleId="Penalty">
    <w:name w:val="Penalty"/>
    <w:basedOn w:val="Amainreturn"/>
    <w:uiPriority w:val="99"/>
  </w:style>
  <w:style w:type="paragraph" w:customStyle="1" w:styleId="aNoteText">
    <w:name w:val="aNoteText"/>
    <w:basedOn w:val="aNote"/>
    <w:uiPriority w:val="99"/>
    <w:pPr>
      <w:spacing w:before="20"/>
      <w:ind w:firstLine="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600"/>
    </w:pPr>
    <w:rPr>
      <w:b/>
      <w:bCs/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pPr>
      <w:spacing w:before="200"/>
      <w:jc w:val="left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left" w:pos="700"/>
      </w:tabs>
      <w:spacing w:before="280"/>
      <w:ind w:left="700" w:hanging="7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Pr>
      <w:rFonts w:cs="Times New Roman"/>
    </w:rPr>
  </w:style>
  <w:style w:type="character" w:customStyle="1" w:styleId="charTableText">
    <w:name w:val="charTableText"/>
    <w:basedOn w:val="DefaultParagraphFont"/>
    <w:uiPriority w:val="99"/>
    <w:rPr>
      <w:rFonts w:cs="Times New Roman"/>
    </w:rPr>
  </w:style>
  <w:style w:type="paragraph" w:customStyle="1" w:styleId="EndNoteTextEPS">
    <w:name w:val="EndNoteTextEPS"/>
    <w:basedOn w:val="Normal"/>
    <w:uiPriority w:val="99"/>
    <w:pPr>
      <w:spacing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99"/>
    <w:pPr>
      <w:ind w:left="1920" w:right="600"/>
    </w:p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spacing w:before="60"/>
      <w:ind w:left="230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EarlierRepubHdg">
    <w:name w:val="EarlierRepubHdg"/>
    <w:basedOn w:val="Normal"/>
    <w:uiPriority w:val="99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RenumProvHdg">
    <w:name w:val="RenumProvHdg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TableHdg">
    <w:name w:val="RenumTableHdg"/>
    <w:basedOn w:val="Normal"/>
    <w:uiPriority w:val="99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EPSCoverTop">
    <w:name w:val="EPSCoverTop"/>
    <w:basedOn w:val="Normal"/>
    <w:uiPriority w:val="99"/>
    <w:pPr>
      <w:jc w:val="right"/>
    </w:pPr>
    <w:rPr>
      <w:rFonts w:ascii="Arial" w:hAnsi="Arial" w:cs="Arial"/>
      <w:sz w:val="20"/>
      <w:szCs w:val="20"/>
    </w:rPr>
  </w:style>
  <w:style w:type="paragraph" w:customStyle="1" w:styleId="AmainSymb">
    <w:name w:val="A main Symb"/>
    <w:basedOn w:val="Amain"/>
    <w:uiPriority w:val="99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uiPriority w:val="99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uiPriority w:val="99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uiPriority w:val="99"/>
    <w:pPr>
      <w:ind w:left="252"/>
    </w:pPr>
  </w:style>
  <w:style w:type="paragraph" w:customStyle="1" w:styleId="Endnote4">
    <w:name w:val="Endnote4"/>
    <w:basedOn w:val="Endnote2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uiPriority w:val="99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  <w:iCs/>
    </w:rPr>
  </w:style>
  <w:style w:type="paragraph" w:customStyle="1" w:styleId="LongTitleSymb">
    <w:name w:val="LongTitleSymb"/>
    <w:basedOn w:val="LongTitle"/>
    <w:uiPriority w:val="99"/>
    <w:pPr>
      <w:ind w:hanging="480"/>
    </w:pPr>
  </w:style>
  <w:style w:type="paragraph" w:customStyle="1" w:styleId="EffectiveDate">
    <w:name w:val="EffectiveDate"/>
    <w:basedOn w:val="Normal"/>
    <w:uiPriority w:val="99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styleId="BodyText3">
    <w:name w:val="Body Text 3"/>
    <w:basedOn w:val="Normal"/>
    <w:link w:val="BodyText3Char"/>
    <w:uiPriority w:val="99"/>
    <w:pPr>
      <w:spacing w:before="700" w:after="100"/>
    </w:pPr>
    <w:rPr>
      <w:rFonts w:ascii="Arial" w:hAnsi="Arial" w:cs="Arial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13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A70D-C4CA-4A8F-AB98-BFEDEB82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861</Words>
  <Characters>4566</Characters>
  <Application>Microsoft Office Word</Application>
  <DocSecurity>0</DocSecurity>
  <Lines>97</Lines>
  <Paragraphs>27</Paragraphs>
  <ScaleCrop>false</ScaleCrop>
  <Company>ACT Government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02</cp:keywords>
  <dc:description>2003 184S-4</dc:description>
  <cp:lastModifiedBy>Moxon, KarenL</cp:lastModifiedBy>
  <cp:revision>3</cp:revision>
  <cp:lastPrinted>2015-04-24T00:21:00Z</cp:lastPrinted>
  <dcterms:created xsi:type="dcterms:W3CDTF">2020-08-25T01:55:00Z</dcterms:created>
  <dcterms:modified xsi:type="dcterms:W3CDTF">2020-08-25T01:59:00Z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</Properties>
</file>