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48FE" w14:textId="77777777" w:rsidR="008311EA" w:rsidRPr="00BF6113" w:rsidRDefault="008311EA" w:rsidP="00BF6113">
      <w:pPr>
        <w:spacing w:before="120"/>
        <w:rPr>
          <w:rFonts w:ascii="Arial" w:hAnsi="Arial"/>
          <w:color w:val="auto"/>
          <w:szCs w:val="20"/>
        </w:rPr>
      </w:pPr>
      <w:bookmarkStart w:id="0" w:name="_GoBack"/>
      <w:bookmarkEnd w:id="0"/>
      <w:smartTag w:uri="urn:schemas-microsoft-com:office:smarttags" w:element="place">
        <w:smartTag w:uri="urn:schemas-microsoft-com:office:smarttags" w:element="State">
          <w:r w:rsidRPr="00BF6113">
            <w:rPr>
              <w:rFonts w:ascii="Arial" w:hAnsi="Arial"/>
              <w:color w:val="auto"/>
              <w:szCs w:val="20"/>
            </w:rPr>
            <w:t>Australian Capital Territory</w:t>
          </w:r>
        </w:smartTag>
      </w:smartTag>
    </w:p>
    <w:p w14:paraId="4612F51D" w14:textId="2AE9234F" w:rsidR="008311EA" w:rsidRPr="00567994" w:rsidRDefault="008311EA" w:rsidP="009E5A57">
      <w:pPr>
        <w:pStyle w:val="Billname"/>
        <w:spacing w:before="700"/>
      </w:pPr>
      <w:r>
        <w:t>Public Unleased Land (Fees) Determination 20</w:t>
      </w:r>
      <w:r w:rsidR="004520C0">
        <w:t>20</w:t>
      </w:r>
      <w:r>
        <w:t xml:space="preserve"> (No </w:t>
      </w:r>
      <w:r w:rsidR="00487C7B">
        <w:t>3</w:t>
      </w:r>
      <w:r>
        <w:t>)</w:t>
      </w:r>
    </w:p>
    <w:p w14:paraId="60524641" w14:textId="33B2E29F" w:rsidR="008311EA" w:rsidRPr="002F3DBD" w:rsidRDefault="009721F4" w:rsidP="009E5A57">
      <w:pPr>
        <w:spacing w:before="340"/>
        <w:rPr>
          <w:rFonts w:ascii="Arial" w:hAnsi="Arial"/>
          <w:b/>
          <w:bCs/>
          <w:color w:val="FF0000"/>
          <w:szCs w:val="20"/>
        </w:rPr>
      </w:pPr>
      <w:r w:rsidRPr="009E5A57">
        <w:rPr>
          <w:rFonts w:ascii="Arial" w:hAnsi="Arial"/>
          <w:b/>
          <w:bCs/>
          <w:color w:val="auto"/>
          <w:szCs w:val="20"/>
        </w:rPr>
        <w:t>Disallowable Instrument DI20</w:t>
      </w:r>
      <w:r w:rsidR="004B3FF7">
        <w:rPr>
          <w:rFonts w:ascii="Arial" w:hAnsi="Arial"/>
          <w:b/>
          <w:bCs/>
          <w:color w:val="auto"/>
          <w:szCs w:val="20"/>
        </w:rPr>
        <w:t>20</w:t>
      </w:r>
      <w:r w:rsidR="00C479DB">
        <w:rPr>
          <w:rFonts w:ascii="Arial" w:hAnsi="Arial"/>
          <w:b/>
          <w:bCs/>
          <w:color w:val="auto"/>
          <w:szCs w:val="20"/>
        </w:rPr>
        <w:t>-</w:t>
      </w:r>
      <w:r w:rsidR="004E18CE">
        <w:rPr>
          <w:rFonts w:ascii="Arial" w:hAnsi="Arial"/>
          <w:b/>
          <w:bCs/>
          <w:color w:val="auto"/>
          <w:szCs w:val="20"/>
        </w:rPr>
        <w:t>274</w:t>
      </w:r>
    </w:p>
    <w:p w14:paraId="4F5E1AF5" w14:textId="77777777" w:rsidR="008311EA" w:rsidRPr="00567994" w:rsidRDefault="008311EA" w:rsidP="009E5A57">
      <w:pPr>
        <w:pStyle w:val="madeunder"/>
        <w:spacing w:before="300" w:after="0"/>
      </w:pPr>
      <w:r w:rsidRPr="00567994">
        <w:t>made under the</w:t>
      </w:r>
    </w:p>
    <w:p w14:paraId="683CFFB2" w14:textId="77777777" w:rsidR="008311EA" w:rsidRPr="009E5A57" w:rsidRDefault="008311EA" w:rsidP="009E5A57">
      <w:pPr>
        <w:pStyle w:val="CoverActName"/>
        <w:spacing w:before="320" w:after="0"/>
        <w:rPr>
          <w:rFonts w:cs="Arial"/>
          <w:sz w:val="20"/>
        </w:rPr>
      </w:pPr>
      <w:r w:rsidRPr="009E5A57">
        <w:rPr>
          <w:rFonts w:cs="Arial"/>
          <w:sz w:val="20"/>
        </w:rPr>
        <w:t>Public Unleased Land Act 2013, section 130 (Determination of fees)</w:t>
      </w:r>
    </w:p>
    <w:p w14:paraId="072A2F93" w14:textId="77777777" w:rsidR="008F671C" w:rsidRDefault="008311EA" w:rsidP="00BF6113">
      <w:pPr>
        <w:spacing w:before="360"/>
        <w:ind w:right="565"/>
        <w:rPr>
          <w:rFonts w:ascii="Arial" w:hAnsi="Arial"/>
          <w:b/>
          <w:bCs/>
          <w:color w:val="auto"/>
          <w:sz w:val="28"/>
          <w:szCs w:val="28"/>
        </w:rPr>
      </w:pPr>
      <w:r w:rsidRPr="009E5A57">
        <w:rPr>
          <w:rFonts w:ascii="Arial" w:hAnsi="Arial"/>
          <w:b/>
          <w:bCs/>
          <w:color w:val="auto"/>
          <w:sz w:val="28"/>
          <w:szCs w:val="28"/>
        </w:rPr>
        <w:t>EXPLANATORY STATEMENT</w:t>
      </w:r>
    </w:p>
    <w:p w14:paraId="786FE10E" w14:textId="77777777" w:rsidR="008311EA" w:rsidRPr="00567994" w:rsidRDefault="008311EA" w:rsidP="008311EA">
      <w:pPr>
        <w:pStyle w:val="N-line3"/>
        <w:pBdr>
          <w:top w:val="single" w:sz="12" w:space="1" w:color="auto"/>
          <w:bottom w:val="none" w:sz="0" w:space="0" w:color="auto"/>
        </w:pBdr>
      </w:pPr>
    </w:p>
    <w:p w14:paraId="294C1E2D" w14:textId="2F5A1DB2" w:rsidR="003700E6" w:rsidRPr="008311EA" w:rsidRDefault="008311EA" w:rsidP="003700E6">
      <w:pPr>
        <w:pStyle w:val="LongTitle"/>
        <w:spacing w:before="0" w:after="0"/>
        <w:jc w:val="left"/>
        <w:rPr>
          <w:color w:val="000000"/>
        </w:rPr>
      </w:pPr>
      <w:r w:rsidRPr="008311EA">
        <w:rPr>
          <w:color w:val="000000"/>
        </w:rPr>
        <w:t xml:space="preserve">Section 130 of the </w:t>
      </w:r>
      <w:r w:rsidRPr="008311EA">
        <w:rPr>
          <w:i/>
          <w:iCs/>
          <w:color w:val="000000"/>
        </w:rPr>
        <w:t>Public Unleased Land Act 2013</w:t>
      </w:r>
      <w:r w:rsidRPr="008311EA">
        <w:rPr>
          <w:color w:val="000000"/>
        </w:rPr>
        <w:t xml:space="preserve"> </w:t>
      </w:r>
      <w:r w:rsidR="00FD4896">
        <w:rPr>
          <w:color w:val="000000"/>
        </w:rPr>
        <w:t xml:space="preserve">(Act) </w:t>
      </w:r>
      <w:r w:rsidR="009E5A57">
        <w:rPr>
          <w:color w:val="000000"/>
        </w:rPr>
        <w:t xml:space="preserve">provides that </w:t>
      </w:r>
      <w:r w:rsidRPr="008311EA">
        <w:rPr>
          <w:color w:val="000000"/>
        </w:rPr>
        <w:t xml:space="preserve">the Minister </w:t>
      </w:r>
      <w:r w:rsidR="009E5A57">
        <w:rPr>
          <w:color w:val="000000"/>
        </w:rPr>
        <w:t>may</w:t>
      </w:r>
      <w:r w:rsidR="009E5A57" w:rsidRPr="008311EA">
        <w:rPr>
          <w:color w:val="000000"/>
        </w:rPr>
        <w:t xml:space="preserve"> determine</w:t>
      </w:r>
      <w:r w:rsidRPr="008311EA">
        <w:rPr>
          <w:color w:val="000000"/>
        </w:rPr>
        <w:t xml:space="preserve"> fees for </w:t>
      </w:r>
      <w:r w:rsidR="00A2631E">
        <w:rPr>
          <w:color w:val="000000"/>
        </w:rPr>
        <w:t xml:space="preserve">the </w:t>
      </w:r>
      <w:r w:rsidRPr="008311EA">
        <w:rPr>
          <w:color w:val="000000"/>
        </w:rPr>
        <w:t xml:space="preserve">Act. </w:t>
      </w:r>
      <w:r w:rsidR="00561E2B">
        <w:rPr>
          <w:color w:val="000000"/>
        </w:rPr>
        <w:t xml:space="preserve">This instrument commences </w:t>
      </w:r>
      <w:r w:rsidR="00487C7B">
        <w:rPr>
          <w:color w:val="000000"/>
        </w:rPr>
        <w:t>the day after it is notified</w:t>
      </w:r>
      <w:r w:rsidR="001624D8">
        <w:rPr>
          <w:color w:val="000000"/>
        </w:rPr>
        <w:t xml:space="preserve"> </w:t>
      </w:r>
      <w:r w:rsidR="00561E2B">
        <w:rPr>
          <w:color w:val="000000"/>
        </w:rPr>
        <w:t xml:space="preserve">and </w:t>
      </w:r>
      <w:r w:rsidR="003700E6">
        <w:rPr>
          <w:color w:val="000000"/>
        </w:rPr>
        <w:t>sets fees for the 2020-21 financial year.</w:t>
      </w:r>
    </w:p>
    <w:p w14:paraId="36E533B2" w14:textId="682E6B14" w:rsidR="008311EA" w:rsidRPr="008311EA" w:rsidRDefault="008311EA" w:rsidP="008311EA">
      <w:pPr>
        <w:pStyle w:val="LongTitle"/>
        <w:spacing w:before="0" w:after="0"/>
        <w:jc w:val="left"/>
        <w:rPr>
          <w:color w:val="000000"/>
        </w:rPr>
      </w:pPr>
    </w:p>
    <w:p w14:paraId="7AEDA1CE" w14:textId="77777777" w:rsidR="003700E6" w:rsidRPr="00640667" w:rsidRDefault="003700E6" w:rsidP="003700E6">
      <w:pPr>
        <w:pStyle w:val="LongTitle"/>
        <w:spacing w:before="0" w:after="0"/>
        <w:jc w:val="left"/>
        <w:rPr>
          <w:b/>
          <w:i/>
          <w:color w:val="000000"/>
        </w:rPr>
      </w:pPr>
      <w:r w:rsidRPr="00640667">
        <w:rPr>
          <w:b/>
          <w:i/>
          <w:color w:val="000000"/>
        </w:rPr>
        <w:t>Exemption of fees</w:t>
      </w:r>
    </w:p>
    <w:p w14:paraId="096567A3" w14:textId="77777777" w:rsidR="003700E6" w:rsidRPr="00CA0226" w:rsidRDefault="003700E6" w:rsidP="003700E6">
      <w:pPr>
        <w:pStyle w:val="LongTitle"/>
        <w:spacing w:before="0" w:after="0"/>
        <w:jc w:val="left"/>
        <w:rPr>
          <w:b/>
          <w:color w:val="000000"/>
        </w:rPr>
      </w:pPr>
    </w:p>
    <w:p w14:paraId="12459163" w14:textId="77777777" w:rsidR="003700E6" w:rsidRPr="00432959" w:rsidRDefault="003700E6" w:rsidP="003700E6">
      <w:pPr>
        <w:pStyle w:val="LongTitle"/>
        <w:spacing w:before="0" w:after="0"/>
        <w:jc w:val="left"/>
        <w:rPr>
          <w:color w:val="000000"/>
        </w:rPr>
      </w:pPr>
      <w:r w:rsidRPr="00432959">
        <w:rPr>
          <w:color w:val="000000"/>
        </w:rPr>
        <w:t xml:space="preserve">Paragraph 6 of the determination exempts </w:t>
      </w:r>
      <w:r>
        <w:rPr>
          <w:color w:val="000000"/>
        </w:rPr>
        <w:t xml:space="preserve">registered </w:t>
      </w:r>
      <w:r w:rsidRPr="00432959">
        <w:rPr>
          <w:color w:val="000000"/>
        </w:rPr>
        <w:t xml:space="preserve">charities and Territory Authorities from various fees referred to in schedule 1. </w:t>
      </w:r>
    </w:p>
    <w:p w14:paraId="11E74D26" w14:textId="77777777" w:rsidR="003700E6" w:rsidRDefault="003700E6" w:rsidP="003700E6">
      <w:pPr>
        <w:pStyle w:val="LongTitle"/>
        <w:spacing w:before="0" w:after="0"/>
        <w:jc w:val="left"/>
        <w:rPr>
          <w:color w:val="000000"/>
        </w:rPr>
      </w:pPr>
    </w:p>
    <w:p w14:paraId="71875789" w14:textId="77777777" w:rsidR="003700E6" w:rsidRPr="00640667" w:rsidRDefault="003700E6" w:rsidP="003700E6">
      <w:pPr>
        <w:pStyle w:val="LongTitle"/>
        <w:spacing w:before="0" w:after="0"/>
        <w:jc w:val="left"/>
        <w:rPr>
          <w:b/>
          <w:i/>
          <w:color w:val="000000"/>
        </w:rPr>
      </w:pPr>
      <w:r w:rsidRPr="00640667">
        <w:rPr>
          <w:b/>
          <w:i/>
          <w:color w:val="000000"/>
        </w:rPr>
        <w:t>Waiver of fees</w:t>
      </w:r>
    </w:p>
    <w:p w14:paraId="70360D77" w14:textId="77777777" w:rsidR="003700E6" w:rsidRDefault="003700E6" w:rsidP="003700E6">
      <w:pPr>
        <w:pStyle w:val="LongTitle"/>
        <w:spacing w:before="0" w:after="0"/>
        <w:jc w:val="left"/>
        <w:rPr>
          <w:color w:val="000000"/>
        </w:rPr>
      </w:pPr>
    </w:p>
    <w:p w14:paraId="64AF813E" w14:textId="78B19C4E" w:rsidR="003700E6" w:rsidRPr="00B96BBB" w:rsidRDefault="003700E6" w:rsidP="003700E6">
      <w:pPr>
        <w:autoSpaceDE w:val="0"/>
        <w:autoSpaceDN w:val="0"/>
        <w:adjustRightInd w:val="0"/>
        <w:rPr>
          <w:rFonts w:ascii="Times New Roman" w:hAnsi="Times New Roman" w:cs="Times New Roman"/>
          <w:color w:val="000000" w:themeColor="text1"/>
          <w:lang w:eastAsia="en-AU"/>
        </w:rPr>
      </w:pPr>
      <w:r w:rsidRPr="00B96BBB">
        <w:rPr>
          <w:rFonts w:ascii="Times New Roman" w:hAnsi="Times New Roman" w:cs="Times New Roman"/>
          <w:color w:val="000000" w:themeColor="text1"/>
          <w:lang w:eastAsia="en-AU"/>
        </w:rPr>
        <w:t xml:space="preserve">The determination permits the Director-General Transport Canberra and City Services, the Deputy Director-General City Services and the </w:t>
      </w:r>
      <w:r w:rsidR="00E376D0" w:rsidRPr="00B96BBB">
        <w:rPr>
          <w:rFonts w:ascii="Times New Roman" w:hAnsi="Times New Roman" w:cs="Times New Roman"/>
          <w:color w:val="000000" w:themeColor="text1"/>
          <w:lang w:eastAsia="en-AU"/>
        </w:rPr>
        <w:t xml:space="preserve">Executive Group Manager City Operations </w:t>
      </w:r>
      <w:r w:rsidRPr="00B96BBB">
        <w:rPr>
          <w:rFonts w:ascii="Times New Roman" w:hAnsi="Times New Roman" w:cs="Times New Roman"/>
          <w:color w:val="000000" w:themeColor="text1"/>
          <w:lang w:eastAsia="en-AU"/>
        </w:rPr>
        <w:t>to waive fees in specified circumstances.</w:t>
      </w:r>
    </w:p>
    <w:p w14:paraId="50C66587" w14:textId="6631DC5C" w:rsidR="00E376D0" w:rsidRPr="00B96BBB" w:rsidRDefault="00E376D0" w:rsidP="003700E6">
      <w:pPr>
        <w:autoSpaceDE w:val="0"/>
        <w:autoSpaceDN w:val="0"/>
        <w:adjustRightInd w:val="0"/>
        <w:rPr>
          <w:rFonts w:ascii="Times New Roman" w:hAnsi="Times New Roman" w:cs="Times New Roman"/>
          <w:color w:val="000000" w:themeColor="text1"/>
          <w:lang w:eastAsia="en-AU"/>
        </w:rPr>
      </w:pPr>
    </w:p>
    <w:p w14:paraId="4034872A" w14:textId="77777777" w:rsidR="00E376D0" w:rsidRPr="00B96BBB" w:rsidRDefault="00E376D0" w:rsidP="00E376D0">
      <w:pPr>
        <w:autoSpaceDE w:val="0"/>
        <w:autoSpaceDN w:val="0"/>
        <w:adjustRightInd w:val="0"/>
        <w:rPr>
          <w:color w:val="000000" w:themeColor="text1"/>
        </w:rPr>
      </w:pPr>
      <w:r w:rsidRPr="00B96BBB">
        <w:rPr>
          <w:rFonts w:ascii="Times New Roman" w:hAnsi="Times New Roman" w:cs="Times New Roman"/>
          <w:color w:val="000000" w:themeColor="text1"/>
          <w:lang w:eastAsia="en-AU"/>
        </w:rPr>
        <w:t>The determination at s7(3) now states that fee waivers in accordance with s7(1) do not apply to construction activities and other works relating to development activities contemplated in or pursuant to a development application.</w:t>
      </w:r>
    </w:p>
    <w:p w14:paraId="3BFE20D5" w14:textId="77777777" w:rsidR="003700E6" w:rsidRDefault="003700E6" w:rsidP="003700E6">
      <w:pPr>
        <w:pStyle w:val="LongTitle"/>
        <w:spacing w:before="0" w:after="0"/>
        <w:jc w:val="left"/>
        <w:rPr>
          <w:b/>
          <w:i/>
          <w:color w:val="000000"/>
        </w:rPr>
      </w:pPr>
    </w:p>
    <w:p w14:paraId="1F3E6824" w14:textId="77777777" w:rsidR="003700E6" w:rsidRPr="00640667" w:rsidRDefault="003700E6" w:rsidP="003700E6">
      <w:pPr>
        <w:pStyle w:val="LongTitle"/>
        <w:spacing w:before="0" w:after="0"/>
        <w:jc w:val="left"/>
        <w:rPr>
          <w:b/>
          <w:i/>
          <w:color w:val="000000"/>
        </w:rPr>
      </w:pPr>
      <w:r w:rsidRPr="00640667">
        <w:rPr>
          <w:b/>
          <w:i/>
          <w:color w:val="000000"/>
        </w:rPr>
        <w:t>Indexed Fees</w:t>
      </w:r>
      <w:r w:rsidRPr="00640667">
        <w:rPr>
          <w:b/>
          <w:i/>
          <w:color w:val="000000"/>
        </w:rPr>
        <w:br/>
      </w:r>
    </w:p>
    <w:p w14:paraId="382E01F9" w14:textId="1300DC8F" w:rsidR="003700E6" w:rsidRPr="00432959" w:rsidRDefault="003700E6" w:rsidP="003700E6">
      <w:pPr>
        <w:rPr>
          <w:rFonts w:ascii="Times New Roman" w:hAnsi="Times New Roman" w:cs="Times New Roman"/>
          <w:color w:val="auto"/>
        </w:rPr>
      </w:pPr>
      <w:r w:rsidRPr="00432959">
        <w:rPr>
          <w:rFonts w:ascii="Times New Roman" w:hAnsi="Times New Roman" w:cs="Times New Roman"/>
          <w:color w:val="auto"/>
        </w:rPr>
        <w:t xml:space="preserve">This determination increases fees </w:t>
      </w:r>
      <w:r>
        <w:rPr>
          <w:rFonts w:ascii="Times New Roman" w:hAnsi="Times New Roman" w:cs="Times New Roman"/>
          <w:color w:val="auto"/>
        </w:rPr>
        <w:t>contained in DI20</w:t>
      </w:r>
      <w:r w:rsidR="002F3DBD">
        <w:rPr>
          <w:rFonts w:ascii="Times New Roman" w:hAnsi="Times New Roman" w:cs="Times New Roman"/>
          <w:color w:val="auto"/>
        </w:rPr>
        <w:t>20</w:t>
      </w:r>
      <w:r>
        <w:rPr>
          <w:rFonts w:ascii="Times New Roman" w:hAnsi="Times New Roman" w:cs="Times New Roman"/>
          <w:color w:val="auto"/>
        </w:rPr>
        <w:t>-</w:t>
      </w:r>
      <w:r w:rsidR="002F3DBD">
        <w:rPr>
          <w:rFonts w:ascii="Times New Roman" w:hAnsi="Times New Roman" w:cs="Times New Roman"/>
          <w:color w:val="auto"/>
        </w:rPr>
        <w:t>011</w:t>
      </w:r>
      <w:r w:rsidRPr="00432959">
        <w:rPr>
          <w:rFonts w:ascii="Times New Roman" w:hAnsi="Times New Roman" w:cs="Times New Roman"/>
          <w:color w:val="auto"/>
        </w:rPr>
        <w:t xml:space="preserve"> </w:t>
      </w:r>
      <w:r w:rsidRPr="00561E2B">
        <w:rPr>
          <w:rFonts w:ascii="Times New Roman" w:hAnsi="Times New Roman" w:cs="Times New Roman"/>
          <w:color w:val="auto"/>
        </w:rPr>
        <w:t>by forecast Wage Price index (WPI) 2% as per Budget Memo 20</w:t>
      </w:r>
      <w:r>
        <w:rPr>
          <w:rFonts w:ascii="Times New Roman" w:hAnsi="Times New Roman" w:cs="Times New Roman"/>
          <w:color w:val="auto"/>
        </w:rPr>
        <w:t>20</w:t>
      </w:r>
      <w:r w:rsidRPr="00561E2B">
        <w:rPr>
          <w:rFonts w:ascii="Times New Roman" w:hAnsi="Times New Roman" w:cs="Times New Roman"/>
          <w:color w:val="auto"/>
        </w:rPr>
        <w:t>/0</w:t>
      </w:r>
      <w:r w:rsidR="00B96BBB">
        <w:rPr>
          <w:rFonts w:ascii="Times New Roman" w:hAnsi="Times New Roman" w:cs="Times New Roman"/>
          <w:color w:val="auto"/>
        </w:rPr>
        <w:t>7</w:t>
      </w:r>
      <w:r w:rsidRPr="00432959">
        <w:rPr>
          <w:rFonts w:ascii="Times New Roman" w:hAnsi="Times New Roman" w:cs="Times New Roman"/>
          <w:color w:val="auto"/>
        </w:rPr>
        <w:t xml:space="preserve">, rounded for cash handling and other purposes. </w:t>
      </w:r>
    </w:p>
    <w:p w14:paraId="580E7F94" w14:textId="0BC10A43" w:rsidR="003700E6" w:rsidRDefault="003700E6" w:rsidP="003700E6">
      <w:pPr>
        <w:rPr>
          <w:rFonts w:ascii="Times New Roman" w:hAnsi="Times New Roman" w:cs="Times New Roman"/>
          <w:color w:val="auto"/>
        </w:rPr>
      </w:pPr>
    </w:p>
    <w:p w14:paraId="22B36768" w14:textId="77777777" w:rsidR="002F3DBD" w:rsidRPr="002F3DBD" w:rsidRDefault="002F3DBD" w:rsidP="002F3DBD">
      <w:pPr>
        <w:pStyle w:val="LongTitle"/>
        <w:spacing w:before="0" w:after="0"/>
        <w:jc w:val="left"/>
        <w:rPr>
          <w:b/>
          <w:i/>
          <w:color w:val="000000"/>
        </w:rPr>
      </w:pPr>
      <w:r w:rsidRPr="002F3DBD">
        <w:rPr>
          <w:b/>
          <w:i/>
          <w:color w:val="000000"/>
        </w:rPr>
        <w:t>Other Fee Adjustments</w:t>
      </w:r>
    </w:p>
    <w:p w14:paraId="36FF6143" w14:textId="77777777" w:rsidR="002F3DBD" w:rsidRPr="002F3DBD" w:rsidRDefault="002F3DBD" w:rsidP="002F3DBD">
      <w:pPr>
        <w:pStyle w:val="LongTitle"/>
        <w:spacing w:before="0" w:after="0"/>
        <w:jc w:val="left"/>
        <w:rPr>
          <w:b/>
          <w:i/>
          <w:color w:val="000000"/>
        </w:rPr>
      </w:pPr>
    </w:p>
    <w:p w14:paraId="056A3DE1" w14:textId="5792D4ED" w:rsidR="002F3DBD" w:rsidRPr="002F3DBD" w:rsidRDefault="002F3DBD" w:rsidP="002F3DBD">
      <w:pPr>
        <w:pStyle w:val="LongTitle"/>
        <w:spacing w:before="0" w:after="0"/>
        <w:jc w:val="left"/>
        <w:rPr>
          <w:color w:val="000000" w:themeColor="text1"/>
        </w:rPr>
      </w:pPr>
      <w:r w:rsidRPr="002F3DBD">
        <w:rPr>
          <w:color w:val="000000" w:themeColor="text1"/>
        </w:rPr>
        <w:t>This instrument:</w:t>
      </w:r>
    </w:p>
    <w:p w14:paraId="57D4A0A7" w14:textId="766AA506" w:rsidR="002F3DBD" w:rsidRPr="002F3DBD" w:rsidRDefault="002F3DBD" w:rsidP="002F3DBD">
      <w:pPr>
        <w:pStyle w:val="LongTitle"/>
        <w:numPr>
          <w:ilvl w:val="0"/>
          <w:numId w:val="12"/>
        </w:numPr>
        <w:spacing w:before="60"/>
        <w:ind w:left="714" w:hanging="357"/>
        <w:jc w:val="left"/>
        <w:rPr>
          <w:color w:val="000000" w:themeColor="text1"/>
        </w:rPr>
      </w:pPr>
      <w:r w:rsidRPr="002F3DBD">
        <w:rPr>
          <w:color w:val="000000" w:themeColor="text1"/>
        </w:rPr>
        <w:t xml:space="preserve">extends the current ‘free trial’ period for outdoor dining permits until </w:t>
      </w:r>
      <w:r w:rsidRPr="002F3DBD">
        <w:rPr>
          <w:color w:val="000000" w:themeColor="text1"/>
        </w:rPr>
        <w:br/>
        <w:t>31 January 2021; and</w:t>
      </w:r>
    </w:p>
    <w:p w14:paraId="1323FE30" w14:textId="0FADCB4F" w:rsidR="002F3DBD" w:rsidRPr="002F3DBD" w:rsidRDefault="002F3DBD" w:rsidP="002F3DBD">
      <w:pPr>
        <w:pStyle w:val="LongTitle"/>
        <w:numPr>
          <w:ilvl w:val="0"/>
          <w:numId w:val="12"/>
        </w:numPr>
        <w:spacing w:before="60"/>
        <w:ind w:left="714" w:hanging="357"/>
        <w:jc w:val="left"/>
        <w:rPr>
          <w:color w:val="000000" w:themeColor="text1"/>
        </w:rPr>
      </w:pPr>
      <w:r w:rsidRPr="002F3DBD">
        <w:rPr>
          <w:color w:val="000000" w:themeColor="text1"/>
        </w:rPr>
        <w:lastRenderedPageBreak/>
        <w:t>continues the current 50 per cent reduction to fees for a public unleased land permit where the activity for the permit is outdoor dining in the primary, secondary or tertiary area, instead of the previous 8 per cent discount.</w:t>
      </w:r>
    </w:p>
    <w:p w14:paraId="66DB30E8" w14:textId="54020D4A" w:rsidR="002F3DBD" w:rsidRPr="002F3DBD" w:rsidRDefault="002F3DBD" w:rsidP="002F3DBD">
      <w:pPr>
        <w:pStyle w:val="LongTitle"/>
        <w:spacing w:before="0" w:after="0"/>
        <w:jc w:val="left"/>
        <w:rPr>
          <w:color w:val="000000" w:themeColor="text1"/>
        </w:rPr>
      </w:pPr>
    </w:p>
    <w:p w14:paraId="52BD88BB" w14:textId="6C116B63" w:rsidR="002F3DBD" w:rsidRDefault="002F3DBD" w:rsidP="002F3DBD">
      <w:pPr>
        <w:pStyle w:val="LongTitle"/>
        <w:spacing w:before="0" w:after="0"/>
        <w:jc w:val="left"/>
        <w:rPr>
          <w:color w:val="000000" w:themeColor="text1"/>
        </w:rPr>
      </w:pPr>
      <w:r w:rsidRPr="002F3DBD">
        <w:rPr>
          <w:color w:val="000000" w:themeColor="text1"/>
        </w:rPr>
        <w:t>Th</w:t>
      </w:r>
      <w:r w:rsidR="00643636">
        <w:rPr>
          <w:color w:val="000000" w:themeColor="text1"/>
        </w:rPr>
        <w:t>is</w:t>
      </w:r>
      <w:r>
        <w:rPr>
          <w:color w:val="000000" w:themeColor="text1"/>
        </w:rPr>
        <w:t xml:space="preserve"> </w:t>
      </w:r>
      <w:r w:rsidRPr="002F3DBD">
        <w:rPr>
          <w:color w:val="000000" w:themeColor="text1"/>
        </w:rPr>
        <w:t>will provide support for ACT businesses, particularly during the challenging conditions experienced recently.</w:t>
      </w:r>
    </w:p>
    <w:p w14:paraId="1CD618A5" w14:textId="5C7C3F1E" w:rsidR="00421CB0" w:rsidRDefault="00421CB0" w:rsidP="002F3DBD">
      <w:pPr>
        <w:pStyle w:val="LongTitle"/>
        <w:spacing w:before="0" w:after="0"/>
        <w:jc w:val="left"/>
        <w:rPr>
          <w:color w:val="000000" w:themeColor="text1"/>
        </w:rPr>
      </w:pPr>
    </w:p>
    <w:p w14:paraId="258E3F30" w14:textId="00F9F6CE" w:rsidR="00421CB0" w:rsidRPr="00742EDE" w:rsidRDefault="00421CB0" w:rsidP="002F3DBD">
      <w:pPr>
        <w:pStyle w:val="LongTitle"/>
        <w:spacing w:before="0" w:after="0"/>
        <w:jc w:val="left"/>
        <w:rPr>
          <w:b/>
          <w:bCs/>
          <w:i/>
          <w:iCs/>
          <w:color w:val="000000" w:themeColor="text1"/>
        </w:rPr>
      </w:pPr>
      <w:r w:rsidRPr="00742EDE">
        <w:rPr>
          <w:b/>
          <w:bCs/>
          <w:i/>
          <w:iCs/>
          <w:color w:val="000000" w:themeColor="text1"/>
        </w:rPr>
        <w:t xml:space="preserve">Fees for dockless micromobility </w:t>
      </w:r>
    </w:p>
    <w:p w14:paraId="107DE7B3" w14:textId="492E6D9C" w:rsidR="00421CB0" w:rsidRPr="00742EDE" w:rsidRDefault="00421CB0" w:rsidP="002F3DBD">
      <w:pPr>
        <w:pStyle w:val="LongTitle"/>
        <w:spacing w:before="0" w:after="0"/>
        <w:jc w:val="left"/>
        <w:rPr>
          <w:b/>
          <w:bCs/>
          <w:i/>
          <w:iCs/>
          <w:color w:val="000000" w:themeColor="text1"/>
        </w:rPr>
      </w:pPr>
    </w:p>
    <w:p w14:paraId="152FC5C4" w14:textId="796AE7EA" w:rsidR="00421CB0" w:rsidRPr="00421CB0" w:rsidRDefault="00421CB0" w:rsidP="002F3DBD">
      <w:pPr>
        <w:pStyle w:val="LongTitle"/>
        <w:spacing w:before="0" w:after="0"/>
        <w:jc w:val="left"/>
        <w:rPr>
          <w:color w:val="000000" w:themeColor="text1"/>
        </w:rPr>
      </w:pPr>
      <w:r w:rsidRPr="00742EDE">
        <w:rPr>
          <w:color w:val="000000" w:themeColor="text1"/>
        </w:rPr>
        <w:t>This determination introduced a new fee for dockless micromobility schemes.</w:t>
      </w:r>
      <w:r>
        <w:rPr>
          <w:color w:val="000000" w:themeColor="text1"/>
        </w:rPr>
        <w:t xml:space="preserve"> </w:t>
      </w:r>
    </w:p>
    <w:p w14:paraId="07B35255" w14:textId="77777777" w:rsidR="002F3DBD" w:rsidRPr="00432959" w:rsidRDefault="002F3DBD" w:rsidP="003700E6">
      <w:pPr>
        <w:rPr>
          <w:rFonts w:ascii="Times New Roman" w:hAnsi="Times New Roman" w:cs="Times New Roman"/>
          <w:color w:val="auto"/>
        </w:rPr>
      </w:pPr>
    </w:p>
    <w:p w14:paraId="3F412D9A" w14:textId="77777777" w:rsidR="003700E6" w:rsidRPr="00640667" w:rsidRDefault="003700E6" w:rsidP="003700E6">
      <w:pPr>
        <w:pStyle w:val="LongTitle"/>
        <w:spacing w:before="0" w:after="0"/>
        <w:jc w:val="left"/>
        <w:rPr>
          <w:b/>
          <w:i/>
          <w:color w:val="000000"/>
        </w:rPr>
      </w:pPr>
      <w:r w:rsidRPr="00640667">
        <w:rPr>
          <w:b/>
          <w:i/>
          <w:color w:val="000000"/>
        </w:rPr>
        <w:t>Revocation</w:t>
      </w:r>
    </w:p>
    <w:p w14:paraId="427F48CF" w14:textId="77777777" w:rsidR="003700E6" w:rsidRPr="00432959" w:rsidRDefault="003700E6" w:rsidP="003700E6">
      <w:pPr>
        <w:rPr>
          <w:rFonts w:ascii="Times New Roman" w:hAnsi="Times New Roman" w:cs="Times New Roman"/>
          <w:color w:val="auto"/>
        </w:rPr>
      </w:pPr>
    </w:p>
    <w:p w14:paraId="2818FB34" w14:textId="300BAE6A" w:rsidR="003700E6" w:rsidRDefault="003700E6" w:rsidP="003700E6">
      <w:pPr>
        <w:rPr>
          <w:rFonts w:ascii="Times New Roman" w:hAnsi="Times New Roman" w:cs="Times New Roman"/>
        </w:rPr>
      </w:pPr>
      <w:r w:rsidRPr="00432959">
        <w:rPr>
          <w:rFonts w:ascii="Times New Roman" w:hAnsi="Times New Roman" w:cs="Times New Roman"/>
        </w:rPr>
        <w:t>This determination revokes the previous fee determination (DI20</w:t>
      </w:r>
      <w:r w:rsidR="002F3DBD">
        <w:rPr>
          <w:rFonts w:ascii="Times New Roman" w:hAnsi="Times New Roman" w:cs="Times New Roman"/>
        </w:rPr>
        <w:t>20</w:t>
      </w:r>
      <w:r w:rsidRPr="00432959">
        <w:rPr>
          <w:rFonts w:ascii="Times New Roman" w:hAnsi="Times New Roman" w:cs="Times New Roman"/>
        </w:rPr>
        <w:t>–</w:t>
      </w:r>
      <w:r w:rsidR="00E534C5">
        <w:rPr>
          <w:rFonts w:ascii="Times New Roman" w:hAnsi="Times New Roman" w:cs="Times New Roman"/>
        </w:rPr>
        <w:t>161</w:t>
      </w:r>
      <w:r w:rsidRPr="00432959">
        <w:rPr>
          <w:rFonts w:ascii="Times New Roman" w:hAnsi="Times New Roman" w:cs="Times New Roman"/>
        </w:rPr>
        <w:t>) that set fees for the 20</w:t>
      </w:r>
      <w:r>
        <w:rPr>
          <w:rFonts w:ascii="Times New Roman" w:hAnsi="Times New Roman" w:cs="Times New Roman"/>
        </w:rPr>
        <w:t>20</w:t>
      </w:r>
      <w:r w:rsidRPr="00432959">
        <w:rPr>
          <w:rFonts w:ascii="Times New Roman" w:hAnsi="Times New Roman" w:cs="Times New Roman"/>
        </w:rPr>
        <w:t>-20</w:t>
      </w:r>
      <w:r>
        <w:rPr>
          <w:rFonts w:ascii="Times New Roman" w:hAnsi="Times New Roman" w:cs="Times New Roman"/>
        </w:rPr>
        <w:t>21</w:t>
      </w:r>
      <w:r w:rsidRPr="00432959">
        <w:rPr>
          <w:rFonts w:ascii="Times New Roman" w:hAnsi="Times New Roman" w:cs="Times New Roman"/>
        </w:rPr>
        <w:t xml:space="preserve"> financial year</w:t>
      </w:r>
      <w:r>
        <w:rPr>
          <w:rFonts w:ascii="Times New Roman" w:hAnsi="Times New Roman" w:cs="Times New Roman"/>
        </w:rPr>
        <w:t>.</w:t>
      </w:r>
    </w:p>
    <w:p w14:paraId="6169B0BD" w14:textId="77777777" w:rsidR="003700E6" w:rsidRDefault="003700E6" w:rsidP="003700E6">
      <w:pPr>
        <w:rPr>
          <w:rFonts w:ascii="Times New Roman" w:hAnsi="Times New Roman" w:cs="Times New Roman"/>
        </w:rPr>
      </w:pPr>
    </w:p>
    <w:p w14:paraId="01F15F0B" w14:textId="42EB492C" w:rsidR="00E534C5" w:rsidRDefault="003700E6" w:rsidP="003700E6">
      <w:pPr>
        <w:rPr>
          <w:rFonts w:ascii="Times New Roman" w:hAnsi="Times New Roman" w:cs="Times New Roman"/>
        </w:rPr>
      </w:pPr>
      <w:r>
        <w:rPr>
          <w:rFonts w:ascii="Times New Roman" w:hAnsi="Times New Roman" w:cs="Times New Roman"/>
        </w:rPr>
        <w:t xml:space="preserve">The determination commences </w:t>
      </w:r>
      <w:r w:rsidR="00E534C5">
        <w:rPr>
          <w:rFonts w:ascii="Times New Roman" w:hAnsi="Times New Roman" w:cs="Times New Roman"/>
        </w:rPr>
        <w:t xml:space="preserve">the day after it is notified. </w:t>
      </w:r>
    </w:p>
    <w:p w14:paraId="79AEE5FC" w14:textId="77777777" w:rsidR="003700E6" w:rsidRPr="00432959" w:rsidRDefault="003700E6" w:rsidP="003700E6">
      <w:pPr>
        <w:rPr>
          <w:rFonts w:ascii="Times New Roman" w:hAnsi="Times New Roman" w:cs="Times New Roman"/>
        </w:rPr>
      </w:pPr>
    </w:p>
    <w:p w14:paraId="146410BE" w14:textId="77777777" w:rsidR="004520C0" w:rsidRPr="003700E6" w:rsidRDefault="004520C0" w:rsidP="004520C0">
      <w:pPr>
        <w:pStyle w:val="LongTitle"/>
        <w:spacing w:before="0" w:after="0"/>
        <w:jc w:val="left"/>
        <w:rPr>
          <w:color w:val="FF0000"/>
        </w:rPr>
      </w:pPr>
    </w:p>
    <w:p w14:paraId="14F81B50" w14:textId="77777777" w:rsidR="0083623C" w:rsidRDefault="0083623C" w:rsidP="00B52CE8">
      <w:pPr>
        <w:pStyle w:val="Header"/>
        <w:rPr>
          <w:rFonts w:ascii="Times New Roman" w:hAnsi="Times New Roman" w:cs="Times New Roman"/>
        </w:rPr>
      </w:pPr>
    </w:p>
    <w:sectPr w:rsidR="0083623C" w:rsidSect="00AD1983">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3400" w14:textId="77777777" w:rsidR="00777616" w:rsidRDefault="00777616" w:rsidP="00EF586A">
      <w:r>
        <w:separator/>
      </w:r>
    </w:p>
  </w:endnote>
  <w:endnote w:type="continuationSeparator" w:id="0">
    <w:p w14:paraId="01CC41D7" w14:textId="77777777" w:rsidR="00777616" w:rsidRDefault="00777616" w:rsidP="00EF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7876" w14:textId="77777777" w:rsidR="00994164" w:rsidRDefault="00994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8F4D" w14:textId="454AE63E" w:rsidR="00994164" w:rsidRPr="00994164" w:rsidRDefault="00994164" w:rsidP="00994164">
    <w:pPr>
      <w:pStyle w:val="Footer"/>
      <w:jc w:val="center"/>
      <w:rPr>
        <w:rFonts w:ascii="Arial" w:hAnsi="Arial"/>
        <w:sz w:val="14"/>
      </w:rPr>
    </w:pPr>
    <w:r w:rsidRPr="00994164">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C92F" w14:textId="77777777" w:rsidR="00994164" w:rsidRDefault="00994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5BE9" w14:textId="77777777" w:rsidR="00777616" w:rsidRDefault="00777616" w:rsidP="00EF586A">
      <w:r>
        <w:separator/>
      </w:r>
    </w:p>
  </w:footnote>
  <w:footnote w:type="continuationSeparator" w:id="0">
    <w:p w14:paraId="47948837" w14:textId="77777777" w:rsidR="00777616" w:rsidRDefault="00777616" w:rsidP="00EF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A2CC" w14:textId="77777777" w:rsidR="00994164" w:rsidRDefault="00994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B8A2" w14:textId="77777777" w:rsidR="00B97922" w:rsidRPr="003F10F6" w:rsidRDefault="00B97922" w:rsidP="003F10F6">
    <w:pPr>
      <w:pStyle w:val="Header"/>
      <w:tabs>
        <w:tab w:val="left" w:pos="496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E84B" w14:textId="77777777" w:rsidR="00994164" w:rsidRDefault="00994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F83160"/>
    <w:multiLevelType w:val="hybridMultilevel"/>
    <w:tmpl w:val="E424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05A76"/>
    <w:rsid w:val="00027253"/>
    <w:rsid w:val="00037421"/>
    <w:rsid w:val="000410C7"/>
    <w:rsid w:val="00057A7C"/>
    <w:rsid w:val="00063AF7"/>
    <w:rsid w:val="00083C56"/>
    <w:rsid w:val="00092C05"/>
    <w:rsid w:val="000B1E37"/>
    <w:rsid w:val="000D04AC"/>
    <w:rsid w:val="000D7543"/>
    <w:rsid w:val="000F669D"/>
    <w:rsid w:val="001036B9"/>
    <w:rsid w:val="00103B86"/>
    <w:rsid w:val="00110F33"/>
    <w:rsid w:val="001117D6"/>
    <w:rsid w:val="00125662"/>
    <w:rsid w:val="001537D0"/>
    <w:rsid w:val="001624D8"/>
    <w:rsid w:val="00163ECB"/>
    <w:rsid w:val="001738CC"/>
    <w:rsid w:val="001909DA"/>
    <w:rsid w:val="001957E4"/>
    <w:rsid w:val="00195D95"/>
    <w:rsid w:val="00195F54"/>
    <w:rsid w:val="001A19C0"/>
    <w:rsid w:val="002040BA"/>
    <w:rsid w:val="0020741D"/>
    <w:rsid w:val="002271FA"/>
    <w:rsid w:val="00227B32"/>
    <w:rsid w:val="002351A1"/>
    <w:rsid w:val="00240E9C"/>
    <w:rsid w:val="00242427"/>
    <w:rsid w:val="00251FD9"/>
    <w:rsid w:val="00262B4D"/>
    <w:rsid w:val="00264F0D"/>
    <w:rsid w:val="0027371A"/>
    <w:rsid w:val="00282205"/>
    <w:rsid w:val="002824CA"/>
    <w:rsid w:val="002A741F"/>
    <w:rsid w:val="002B05B2"/>
    <w:rsid w:val="002D18D6"/>
    <w:rsid w:val="002D4677"/>
    <w:rsid w:val="002D5B34"/>
    <w:rsid w:val="002D7E15"/>
    <w:rsid w:val="002E04D1"/>
    <w:rsid w:val="002E1F99"/>
    <w:rsid w:val="002E21D3"/>
    <w:rsid w:val="002F3DBD"/>
    <w:rsid w:val="003103D5"/>
    <w:rsid w:val="003119E2"/>
    <w:rsid w:val="00312A58"/>
    <w:rsid w:val="00317505"/>
    <w:rsid w:val="00326668"/>
    <w:rsid w:val="0033448D"/>
    <w:rsid w:val="003366CC"/>
    <w:rsid w:val="00336A43"/>
    <w:rsid w:val="003372A7"/>
    <w:rsid w:val="003609D0"/>
    <w:rsid w:val="003700E6"/>
    <w:rsid w:val="003740EA"/>
    <w:rsid w:val="00380FF4"/>
    <w:rsid w:val="00383131"/>
    <w:rsid w:val="00397609"/>
    <w:rsid w:val="00397FE0"/>
    <w:rsid w:val="003A5268"/>
    <w:rsid w:val="003B698B"/>
    <w:rsid w:val="003D49F8"/>
    <w:rsid w:val="003E10B2"/>
    <w:rsid w:val="003F00F9"/>
    <w:rsid w:val="003F10F6"/>
    <w:rsid w:val="004054A0"/>
    <w:rsid w:val="004208BF"/>
    <w:rsid w:val="00421503"/>
    <w:rsid w:val="00421593"/>
    <w:rsid w:val="00421CB0"/>
    <w:rsid w:val="004220A5"/>
    <w:rsid w:val="00432959"/>
    <w:rsid w:val="00447218"/>
    <w:rsid w:val="004520C0"/>
    <w:rsid w:val="00470085"/>
    <w:rsid w:val="00472908"/>
    <w:rsid w:val="00477876"/>
    <w:rsid w:val="00483A5F"/>
    <w:rsid w:val="00487C7B"/>
    <w:rsid w:val="004942D6"/>
    <w:rsid w:val="004A045E"/>
    <w:rsid w:val="004A154F"/>
    <w:rsid w:val="004A1B15"/>
    <w:rsid w:val="004B3FF7"/>
    <w:rsid w:val="004D37E4"/>
    <w:rsid w:val="004E18CE"/>
    <w:rsid w:val="00512975"/>
    <w:rsid w:val="00513507"/>
    <w:rsid w:val="00520D29"/>
    <w:rsid w:val="00523E71"/>
    <w:rsid w:val="005254E6"/>
    <w:rsid w:val="00527458"/>
    <w:rsid w:val="005500F1"/>
    <w:rsid w:val="00556E6E"/>
    <w:rsid w:val="00561E2B"/>
    <w:rsid w:val="00567994"/>
    <w:rsid w:val="005A026B"/>
    <w:rsid w:val="005A0A2F"/>
    <w:rsid w:val="005B5F48"/>
    <w:rsid w:val="005B6114"/>
    <w:rsid w:val="005C1973"/>
    <w:rsid w:val="005C548E"/>
    <w:rsid w:val="005D7112"/>
    <w:rsid w:val="005D734A"/>
    <w:rsid w:val="005E1382"/>
    <w:rsid w:val="005F3844"/>
    <w:rsid w:val="006366EE"/>
    <w:rsid w:val="00640667"/>
    <w:rsid w:val="006419DE"/>
    <w:rsid w:val="00643636"/>
    <w:rsid w:val="00670BC3"/>
    <w:rsid w:val="00674F9F"/>
    <w:rsid w:val="00685268"/>
    <w:rsid w:val="006A2F45"/>
    <w:rsid w:val="006A3111"/>
    <w:rsid w:val="006A58D0"/>
    <w:rsid w:val="006B4983"/>
    <w:rsid w:val="006B5214"/>
    <w:rsid w:val="006C345E"/>
    <w:rsid w:val="006C5D20"/>
    <w:rsid w:val="006D7FCF"/>
    <w:rsid w:val="006E141B"/>
    <w:rsid w:val="006F702C"/>
    <w:rsid w:val="00702F98"/>
    <w:rsid w:val="0071198B"/>
    <w:rsid w:val="00730C0E"/>
    <w:rsid w:val="00734ED5"/>
    <w:rsid w:val="00742EDE"/>
    <w:rsid w:val="00746B1B"/>
    <w:rsid w:val="00777616"/>
    <w:rsid w:val="00781031"/>
    <w:rsid w:val="00786501"/>
    <w:rsid w:val="007B0B6D"/>
    <w:rsid w:val="007B212D"/>
    <w:rsid w:val="007D307E"/>
    <w:rsid w:val="007D7543"/>
    <w:rsid w:val="007F1657"/>
    <w:rsid w:val="007F59B5"/>
    <w:rsid w:val="008000D0"/>
    <w:rsid w:val="0080292D"/>
    <w:rsid w:val="00807B85"/>
    <w:rsid w:val="0081236E"/>
    <w:rsid w:val="0081474E"/>
    <w:rsid w:val="008177F0"/>
    <w:rsid w:val="00822EFB"/>
    <w:rsid w:val="00824299"/>
    <w:rsid w:val="0082542B"/>
    <w:rsid w:val="008311EA"/>
    <w:rsid w:val="00834542"/>
    <w:rsid w:val="0083623C"/>
    <w:rsid w:val="00856737"/>
    <w:rsid w:val="00877DEA"/>
    <w:rsid w:val="00883DDD"/>
    <w:rsid w:val="00887454"/>
    <w:rsid w:val="00891712"/>
    <w:rsid w:val="008A4248"/>
    <w:rsid w:val="008A66E0"/>
    <w:rsid w:val="008D4952"/>
    <w:rsid w:val="008D617B"/>
    <w:rsid w:val="008E0DD8"/>
    <w:rsid w:val="008F671C"/>
    <w:rsid w:val="008F7406"/>
    <w:rsid w:val="00910043"/>
    <w:rsid w:val="00912ADB"/>
    <w:rsid w:val="0092297F"/>
    <w:rsid w:val="00927898"/>
    <w:rsid w:val="00934247"/>
    <w:rsid w:val="0093515A"/>
    <w:rsid w:val="009412FB"/>
    <w:rsid w:val="009416C2"/>
    <w:rsid w:val="00957E98"/>
    <w:rsid w:val="00961B4F"/>
    <w:rsid w:val="00963847"/>
    <w:rsid w:val="00963E6A"/>
    <w:rsid w:val="00971C97"/>
    <w:rsid w:val="009721F4"/>
    <w:rsid w:val="00990B03"/>
    <w:rsid w:val="00994164"/>
    <w:rsid w:val="00994EC2"/>
    <w:rsid w:val="009C754C"/>
    <w:rsid w:val="009D63E5"/>
    <w:rsid w:val="009E3F4B"/>
    <w:rsid w:val="009E5A57"/>
    <w:rsid w:val="009F21BC"/>
    <w:rsid w:val="00A12C76"/>
    <w:rsid w:val="00A14EB3"/>
    <w:rsid w:val="00A2631E"/>
    <w:rsid w:val="00A442A9"/>
    <w:rsid w:val="00A46E9E"/>
    <w:rsid w:val="00A62439"/>
    <w:rsid w:val="00A66E2C"/>
    <w:rsid w:val="00A71E5F"/>
    <w:rsid w:val="00A74295"/>
    <w:rsid w:val="00A82767"/>
    <w:rsid w:val="00A84AF7"/>
    <w:rsid w:val="00A92554"/>
    <w:rsid w:val="00A93A54"/>
    <w:rsid w:val="00A94689"/>
    <w:rsid w:val="00AB2B6F"/>
    <w:rsid w:val="00AB2F75"/>
    <w:rsid w:val="00AB4076"/>
    <w:rsid w:val="00AB47B6"/>
    <w:rsid w:val="00AD1983"/>
    <w:rsid w:val="00AD25FC"/>
    <w:rsid w:val="00AD300E"/>
    <w:rsid w:val="00AD33F5"/>
    <w:rsid w:val="00AF0CD6"/>
    <w:rsid w:val="00AF512B"/>
    <w:rsid w:val="00B061A0"/>
    <w:rsid w:val="00B07DD1"/>
    <w:rsid w:val="00B117D6"/>
    <w:rsid w:val="00B36998"/>
    <w:rsid w:val="00B446B9"/>
    <w:rsid w:val="00B52CE8"/>
    <w:rsid w:val="00B533CA"/>
    <w:rsid w:val="00B54C09"/>
    <w:rsid w:val="00B63BA2"/>
    <w:rsid w:val="00B73BCD"/>
    <w:rsid w:val="00B73D3D"/>
    <w:rsid w:val="00B74422"/>
    <w:rsid w:val="00B87DC4"/>
    <w:rsid w:val="00B96899"/>
    <w:rsid w:val="00B96BBB"/>
    <w:rsid w:val="00B97922"/>
    <w:rsid w:val="00BB38EE"/>
    <w:rsid w:val="00BB436F"/>
    <w:rsid w:val="00BF6113"/>
    <w:rsid w:val="00C10998"/>
    <w:rsid w:val="00C420E0"/>
    <w:rsid w:val="00C479DB"/>
    <w:rsid w:val="00C5041A"/>
    <w:rsid w:val="00C54B16"/>
    <w:rsid w:val="00C57DF8"/>
    <w:rsid w:val="00C60583"/>
    <w:rsid w:val="00C80439"/>
    <w:rsid w:val="00C84020"/>
    <w:rsid w:val="00C929DF"/>
    <w:rsid w:val="00C947A7"/>
    <w:rsid w:val="00C967ED"/>
    <w:rsid w:val="00CA0226"/>
    <w:rsid w:val="00CB6152"/>
    <w:rsid w:val="00CD0480"/>
    <w:rsid w:val="00CD2ABD"/>
    <w:rsid w:val="00CE0745"/>
    <w:rsid w:val="00CE5C12"/>
    <w:rsid w:val="00CF1EC5"/>
    <w:rsid w:val="00D016C1"/>
    <w:rsid w:val="00D130A6"/>
    <w:rsid w:val="00D32EEF"/>
    <w:rsid w:val="00D40592"/>
    <w:rsid w:val="00D412BB"/>
    <w:rsid w:val="00D4524E"/>
    <w:rsid w:val="00D466A5"/>
    <w:rsid w:val="00D51447"/>
    <w:rsid w:val="00D534A3"/>
    <w:rsid w:val="00D54F94"/>
    <w:rsid w:val="00D940C7"/>
    <w:rsid w:val="00DA31B2"/>
    <w:rsid w:val="00DC6872"/>
    <w:rsid w:val="00DC79AF"/>
    <w:rsid w:val="00DD67A1"/>
    <w:rsid w:val="00DE54A4"/>
    <w:rsid w:val="00DE7E07"/>
    <w:rsid w:val="00DF4A81"/>
    <w:rsid w:val="00E00542"/>
    <w:rsid w:val="00E01C81"/>
    <w:rsid w:val="00E054A4"/>
    <w:rsid w:val="00E1215F"/>
    <w:rsid w:val="00E23A5F"/>
    <w:rsid w:val="00E376D0"/>
    <w:rsid w:val="00E4332E"/>
    <w:rsid w:val="00E534C5"/>
    <w:rsid w:val="00E72EEA"/>
    <w:rsid w:val="00E74053"/>
    <w:rsid w:val="00E75C6F"/>
    <w:rsid w:val="00E768A0"/>
    <w:rsid w:val="00E83C6B"/>
    <w:rsid w:val="00E85767"/>
    <w:rsid w:val="00E8667C"/>
    <w:rsid w:val="00E87537"/>
    <w:rsid w:val="00E87E18"/>
    <w:rsid w:val="00E90F57"/>
    <w:rsid w:val="00EA3DEF"/>
    <w:rsid w:val="00EC032B"/>
    <w:rsid w:val="00EC5AD1"/>
    <w:rsid w:val="00EC6D38"/>
    <w:rsid w:val="00ED211F"/>
    <w:rsid w:val="00EE3E29"/>
    <w:rsid w:val="00EE70EF"/>
    <w:rsid w:val="00EF586A"/>
    <w:rsid w:val="00EF79D8"/>
    <w:rsid w:val="00F1371C"/>
    <w:rsid w:val="00F153C4"/>
    <w:rsid w:val="00F23478"/>
    <w:rsid w:val="00F36964"/>
    <w:rsid w:val="00F46D8E"/>
    <w:rsid w:val="00F54E81"/>
    <w:rsid w:val="00F556B5"/>
    <w:rsid w:val="00F62202"/>
    <w:rsid w:val="00F6486E"/>
    <w:rsid w:val="00F73D29"/>
    <w:rsid w:val="00F7448B"/>
    <w:rsid w:val="00F82AF0"/>
    <w:rsid w:val="00F91B36"/>
    <w:rsid w:val="00F9355A"/>
    <w:rsid w:val="00FC4619"/>
    <w:rsid w:val="00FD4896"/>
    <w:rsid w:val="00FD5703"/>
    <w:rsid w:val="00FE6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2B6021"/>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983"/>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515A"/>
    <w:rPr>
      <w:rFonts w:ascii="Cambria" w:hAnsi="Cambria" w:cs="Times New Roman"/>
      <w:b/>
      <w:bCs/>
      <w:color w:val="000000"/>
      <w:kern w:val="32"/>
      <w:sz w:val="32"/>
      <w:szCs w:val="32"/>
      <w:lang w:val="x-none"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character" w:styleId="CommentReference">
    <w:name w:val="annotation reference"/>
    <w:basedOn w:val="DefaultParagraphFont"/>
    <w:uiPriority w:val="99"/>
    <w:rsid w:val="00B87DC4"/>
    <w:rPr>
      <w:rFonts w:cs="Times New Roman"/>
      <w:sz w:val="16"/>
      <w:szCs w:val="16"/>
    </w:rPr>
  </w:style>
  <w:style w:type="paragraph" w:styleId="CommentText">
    <w:name w:val="annotation text"/>
    <w:basedOn w:val="Normal"/>
    <w:link w:val="CommentTextChar"/>
    <w:uiPriority w:val="99"/>
    <w:rsid w:val="00B87DC4"/>
    <w:rPr>
      <w:sz w:val="20"/>
      <w:szCs w:val="20"/>
    </w:rPr>
  </w:style>
  <w:style w:type="character" w:customStyle="1" w:styleId="CommentTextChar">
    <w:name w:val="Comment Text Char"/>
    <w:basedOn w:val="DefaultParagraphFont"/>
    <w:link w:val="CommentText"/>
    <w:uiPriority w:val="99"/>
    <w:locked/>
    <w:rsid w:val="00B87DC4"/>
    <w:rPr>
      <w:rFonts w:ascii="Arial (W1)" w:hAnsi="Arial (W1)" w:cs="Arial"/>
      <w:color w:val="000000"/>
      <w:lang w:val="x-none" w:eastAsia="en-US"/>
    </w:rPr>
  </w:style>
  <w:style w:type="paragraph" w:styleId="CommentSubject">
    <w:name w:val="annotation subject"/>
    <w:basedOn w:val="CommentText"/>
    <w:next w:val="CommentText"/>
    <w:link w:val="CommentSubjectChar"/>
    <w:uiPriority w:val="99"/>
    <w:rsid w:val="00B87DC4"/>
    <w:rPr>
      <w:b/>
      <w:bCs/>
    </w:rPr>
  </w:style>
  <w:style w:type="character" w:customStyle="1" w:styleId="CommentSubjectChar">
    <w:name w:val="Comment Subject Char"/>
    <w:basedOn w:val="CommentTextChar"/>
    <w:link w:val="CommentSubject"/>
    <w:uiPriority w:val="99"/>
    <w:locked/>
    <w:rsid w:val="00B87DC4"/>
    <w:rPr>
      <w:rFonts w:ascii="Arial (W1)" w:hAnsi="Arial (W1)" w:cs="Arial"/>
      <w:b/>
      <w:bCs/>
      <w:color w:val="000000"/>
      <w:lang w:val="x-none" w:eastAsia="en-US"/>
    </w:rPr>
  </w:style>
  <w:style w:type="paragraph" w:styleId="BalloonText">
    <w:name w:val="Balloon Text"/>
    <w:basedOn w:val="Normal"/>
    <w:link w:val="BalloonTextChar"/>
    <w:uiPriority w:val="99"/>
    <w:rsid w:val="00B87DC4"/>
    <w:rPr>
      <w:rFonts w:ascii="Tahoma" w:hAnsi="Tahoma" w:cs="Tahoma"/>
      <w:sz w:val="16"/>
      <w:szCs w:val="16"/>
    </w:rPr>
  </w:style>
  <w:style w:type="character" w:customStyle="1" w:styleId="BalloonTextChar">
    <w:name w:val="Balloon Text Char"/>
    <w:basedOn w:val="DefaultParagraphFont"/>
    <w:link w:val="BalloonText"/>
    <w:uiPriority w:val="99"/>
    <w:locked/>
    <w:rsid w:val="00B87DC4"/>
    <w:rPr>
      <w:rFonts w:ascii="Tahoma" w:hAnsi="Tahoma" w:cs="Tahoma"/>
      <w:color w:val="000000"/>
      <w:sz w:val="16"/>
      <w:szCs w:val="16"/>
      <w:lang w:val="x-none" w:eastAsia="en-US"/>
    </w:rPr>
  </w:style>
  <w:style w:type="paragraph" w:styleId="Header">
    <w:name w:val="header"/>
    <w:basedOn w:val="Normal"/>
    <w:link w:val="HeaderChar"/>
    <w:uiPriority w:val="99"/>
    <w:rsid w:val="00EF586A"/>
    <w:pPr>
      <w:tabs>
        <w:tab w:val="center" w:pos="4513"/>
        <w:tab w:val="right" w:pos="9026"/>
      </w:tabs>
    </w:pPr>
  </w:style>
  <w:style w:type="character" w:customStyle="1" w:styleId="HeaderChar">
    <w:name w:val="Header Char"/>
    <w:basedOn w:val="DefaultParagraphFont"/>
    <w:link w:val="Header"/>
    <w:uiPriority w:val="99"/>
    <w:locked/>
    <w:rsid w:val="00EF586A"/>
    <w:rPr>
      <w:rFonts w:ascii="Arial (W1)" w:hAnsi="Arial (W1)" w:cs="Arial"/>
      <w:color w:val="000000"/>
      <w:sz w:val="24"/>
      <w:szCs w:val="24"/>
      <w:lang w:val="x-none" w:eastAsia="en-US"/>
    </w:rPr>
  </w:style>
  <w:style w:type="paragraph" w:styleId="Footer">
    <w:name w:val="footer"/>
    <w:basedOn w:val="Normal"/>
    <w:link w:val="FooterChar"/>
    <w:uiPriority w:val="99"/>
    <w:rsid w:val="00EF586A"/>
    <w:pPr>
      <w:tabs>
        <w:tab w:val="center" w:pos="4513"/>
        <w:tab w:val="right" w:pos="9026"/>
      </w:tabs>
    </w:pPr>
  </w:style>
  <w:style w:type="character" w:customStyle="1" w:styleId="FooterChar">
    <w:name w:val="Footer Char"/>
    <w:basedOn w:val="DefaultParagraphFont"/>
    <w:link w:val="Footer"/>
    <w:uiPriority w:val="99"/>
    <w:locked/>
    <w:rsid w:val="00EF586A"/>
    <w:rPr>
      <w:rFonts w:ascii="Arial (W1)" w:hAnsi="Arial (W1)" w:cs="Arial"/>
      <w:color w:val="000000"/>
      <w:sz w:val="24"/>
      <w:szCs w:val="24"/>
      <w:lang w:val="x-none" w:eastAsia="en-US"/>
    </w:rPr>
  </w:style>
  <w:style w:type="paragraph" w:customStyle="1" w:styleId="Billname">
    <w:name w:val="Billname"/>
    <w:basedOn w:val="Normal"/>
    <w:rsid w:val="009E5A57"/>
    <w:pPr>
      <w:tabs>
        <w:tab w:val="left" w:pos="2400"/>
        <w:tab w:val="left" w:pos="2880"/>
      </w:tabs>
      <w:spacing w:before="1220" w:after="100"/>
    </w:pPr>
    <w:rPr>
      <w:rFonts w:ascii="Arial" w:hAnsi="Arial" w:cs="Times New Roman"/>
      <w:b/>
      <w:color w:val="auto"/>
      <w:sz w:val="40"/>
      <w:szCs w:val="20"/>
    </w:rPr>
  </w:style>
  <w:style w:type="paragraph" w:customStyle="1" w:styleId="madeunder">
    <w:name w:val="made under"/>
    <w:basedOn w:val="Normal"/>
    <w:rsid w:val="009E5A57"/>
    <w:pPr>
      <w:spacing w:before="180" w:after="60"/>
      <w:jc w:val="both"/>
    </w:pPr>
    <w:rPr>
      <w:rFonts w:ascii="Times New Roman" w:hAnsi="Times New Roman" w:cs="Times New Roman"/>
      <w:color w:val="auto"/>
      <w:szCs w:val="20"/>
    </w:rPr>
  </w:style>
  <w:style w:type="paragraph" w:customStyle="1" w:styleId="CoverActName">
    <w:name w:val="CoverActName"/>
    <w:basedOn w:val="Normal"/>
    <w:rsid w:val="009E5A57"/>
    <w:pPr>
      <w:tabs>
        <w:tab w:val="left" w:pos="2600"/>
      </w:tabs>
      <w:spacing w:before="200" w:after="60"/>
      <w:jc w:val="both"/>
    </w:pPr>
    <w:rPr>
      <w:rFonts w:ascii="Arial" w:hAnsi="Arial" w:cs="Times New Roman"/>
      <w:b/>
      <w:color w:val="auto"/>
      <w:szCs w:val="20"/>
    </w:rPr>
  </w:style>
  <w:style w:type="character" w:customStyle="1" w:styleId="Calibri12">
    <w:name w:val="Calibri 12"/>
    <w:basedOn w:val="DefaultParagraphFont"/>
    <w:uiPriority w:val="1"/>
    <w:qFormat/>
    <w:rsid w:val="004520C0"/>
    <w:rPr>
      <w:rFonts w:ascii="Calibri" w:hAnsi="Calibri"/>
      <w:sz w:val="24"/>
    </w:rPr>
  </w:style>
  <w:style w:type="paragraph" w:styleId="ListParagraph">
    <w:name w:val="List Paragraph"/>
    <w:basedOn w:val="Normal"/>
    <w:uiPriority w:val="34"/>
    <w:qFormat/>
    <w:rsid w:val="004520C0"/>
    <w:pPr>
      <w:widowControl w:val="0"/>
      <w:ind w:left="720"/>
      <w:contextualSpacing/>
    </w:pPr>
    <w:rPr>
      <w:rFonts w:ascii="Times New Roman" w:hAnsi="Times New Roman" w:cs="Times New Roman"/>
      <w:iCs/>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53561">
      <w:marLeft w:val="0"/>
      <w:marRight w:val="0"/>
      <w:marTop w:val="0"/>
      <w:marBottom w:val="0"/>
      <w:divBdr>
        <w:top w:val="none" w:sz="0" w:space="0" w:color="auto"/>
        <w:left w:val="none" w:sz="0" w:space="0" w:color="auto"/>
        <w:bottom w:val="none" w:sz="0" w:space="0" w:color="auto"/>
        <w:right w:val="none" w:sz="0" w:space="0" w:color="auto"/>
      </w:divBdr>
      <w:divsChild>
        <w:div w:id="984353565">
          <w:marLeft w:val="0"/>
          <w:marRight w:val="0"/>
          <w:marTop w:val="0"/>
          <w:marBottom w:val="0"/>
          <w:divBdr>
            <w:top w:val="none" w:sz="0" w:space="0" w:color="auto"/>
            <w:left w:val="none" w:sz="0" w:space="0" w:color="auto"/>
            <w:bottom w:val="none" w:sz="0" w:space="0" w:color="auto"/>
            <w:right w:val="none" w:sz="0" w:space="0" w:color="auto"/>
          </w:divBdr>
          <w:divsChild>
            <w:div w:id="984353564">
              <w:marLeft w:val="0"/>
              <w:marRight w:val="0"/>
              <w:marTop w:val="0"/>
              <w:marBottom w:val="0"/>
              <w:divBdr>
                <w:top w:val="none" w:sz="0" w:space="0" w:color="auto"/>
                <w:left w:val="none" w:sz="0" w:space="0" w:color="auto"/>
                <w:bottom w:val="none" w:sz="0" w:space="0" w:color="auto"/>
                <w:right w:val="none" w:sz="0" w:space="0" w:color="auto"/>
              </w:divBdr>
              <w:divsChild>
                <w:div w:id="984353562">
                  <w:marLeft w:val="75"/>
                  <w:marRight w:val="75"/>
                  <w:marTop w:val="0"/>
                  <w:marBottom w:val="0"/>
                  <w:divBdr>
                    <w:top w:val="none" w:sz="0" w:space="0" w:color="auto"/>
                    <w:left w:val="none" w:sz="0" w:space="0" w:color="auto"/>
                    <w:bottom w:val="none" w:sz="0" w:space="0" w:color="auto"/>
                    <w:right w:val="none" w:sz="0" w:space="0" w:color="auto"/>
                  </w:divBdr>
                  <w:divsChild>
                    <w:div w:id="9843535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5072383">
      <w:bodyDiv w:val="1"/>
      <w:marLeft w:val="0"/>
      <w:marRight w:val="0"/>
      <w:marTop w:val="0"/>
      <w:marBottom w:val="0"/>
      <w:divBdr>
        <w:top w:val="none" w:sz="0" w:space="0" w:color="auto"/>
        <w:left w:val="none" w:sz="0" w:space="0" w:color="auto"/>
        <w:bottom w:val="none" w:sz="0" w:space="0" w:color="auto"/>
        <w:right w:val="none" w:sz="0" w:space="0" w:color="auto"/>
      </w:divBdr>
    </w:div>
    <w:div w:id="18467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33B82-D6D9-4AC5-A235-7D6C1DDA3EA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2E7944-1C36-4D03-93CE-3B571714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1711</Characters>
  <Application>Microsoft Office Word</Application>
  <DocSecurity>0</DocSecurity>
  <Lines>57</Lines>
  <Paragraphs>24</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subject/>
  <dc:creator>ACT Government</dc:creator>
  <cp:keywords/>
  <dc:description/>
  <cp:lastModifiedBy>Moxon, KarenL</cp:lastModifiedBy>
  <cp:revision>4</cp:revision>
  <cp:lastPrinted>2017-06-21T07:09:00Z</cp:lastPrinted>
  <dcterms:created xsi:type="dcterms:W3CDTF">2020-09-08T04:39:00Z</dcterms:created>
  <dcterms:modified xsi:type="dcterms:W3CDTF">2020-09-08T04:39:00Z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58920248-d030-4bfb-b621-ed02738080f5</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A26458959</vt:lpwstr>
  </property>
  <property fmtid="{D5CDD505-2E9C-101B-9397-08002B2CF9AE}" pid="10" name="Objective-Title">
    <vt:lpwstr>Attachment B - Explanatory Statement</vt:lpwstr>
  </property>
  <property fmtid="{D5CDD505-2E9C-101B-9397-08002B2CF9AE}" pid="11" name="Objective-Comment">
    <vt:lpwstr/>
  </property>
  <property fmtid="{D5CDD505-2E9C-101B-9397-08002B2CF9AE}" pid="12" name="Objective-CreationStamp">
    <vt:filetime>2020-08-30T23:04:47Z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2020-09-01T04:09:26Z</vt:filetime>
  </property>
  <property fmtid="{D5CDD505-2E9C-101B-9397-08002B2CF9AE}" pid="17" name="Objective-Owner">
    <vt:lpwstr>Liana Brozic</vt:lpwstr>
  </property>
  <property fmtid="{D5CDD505-2E9C-101B-9397-08002B2CF9AE}" pid="18" name="Objective-Path">
    <vt:lpwstr>Whole of ACT Government:TCCS STRUCTURE - Content Restriction Hierarchy:01. Assembly, Cabinet, Ministerial:03. Ministerials:03. Complete:Information Brief (Minister):2020 Information Brief (Minister):CS - MIN S2020/5617 - Fee instrument under the Public Un</vt:lpwstr>
  </property>
  <property fmtid="{D5CDD505-2E9C-101B-9397-08002B2CF9AE}" pid="19" name="Objective-Parent">
    <vt:lpwstr>CS - MIN S2020/5617 - Fee instrument under the Public Unleased Land Act 2013 to give effect to fees for the micromobility scheme - Minister Brief</vt:lpwstr>
  </property>
  <property fmtid="{D5CDD505-2E9C-101B-9397-08002B2CF9AE}" pid="20" name="Objective-State">
    <vt:lpwstr>Being Drafted</vt:lpwstr>
  </property>
  <property fmtid="{D5CDD505-2E9C-101B-9397-08002B2CF9AE}" pid="21" name="Objective-Version">
    <vt:lpwstr>2.1</vt:lpwstr>
  </property>
  <property fmtid="{D5CDD505-2E9C-101B-9397-08002B2CF9AE}" pid="22" name="Objective-VersionNumber">
    <vt:r8>3</vt:r8>
  </property>
  <property fmtid="{D5CDD505-2E9C-101B-9397-08002B2CF9AE}" pid="23" name="Objective-VersionComment">
    <vt:lpwstr/>
  </property>
  <property fmtid="{D5CDD505-2E9C-101B-9397-08002B2CF9AE}" pid="24" name="Objective-FileNumber">
    <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ies>
</file>