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1B44"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7F3FC0E3" w14:textId="2B98D14D" w:rsidR="005D70F1" w:rsidRDefault="00560038">
      <w:pPr>
        <w:pStyle w:val="Billname"/>
        <w:spacing w:before="700"/>
      </w:pPr>
      <w:r w:rsidRPr="00560038">
        <w:t>Motor Accident Injuries (Premiums) Guidelines 2020 (No 1)</w:t>
      </w:r>
    </w:p>
    <w:p w14:paraId="4BD7C5B7" w14:textId="055EEDEB" w:rsidR="005D70F1" w:rsidRDefault="00C63241">
      <w:pPr>
        <w:spacing w:before="240" w:after="60"/>
        <w:rPr>
          <w:rFonts w:ascii="Arial" w:hAnsi="Arial" w:cs="Arial"/>
          <w:b/>
          <w:bCs/>
          <w:vertAlign w:val="superscript"/>
        </w:rPr>
      </w:pPr>
      <w:r>
        <w:rPr>
          <w:rFonts w:ascii="Arial" w:hAnsi="Arial" w:cs="Arial"/>
          <w:b/>
          <w:bCs/>
        </w:rPr>
        <w:t xml:space="preserve">Disallowable </w:t>
      </w:r>
      <w:r w:rsidR="005D70F1">
        <w:rPr>
          <w:rFonts w:ascii="Arial" w:hAnsi="Arial" w:cs="Arial"/>
          <w:b/>
          <w:bCs/>
        </w:rPr>
        <w:t xml:space="preserve">instrument </w:t>
      </w:r>
      <w:r>
        <w:rPr>
          <w:rFonts w:ascii="Arial" w:hAnsi="Arial" w:cs="Arial"/>
          <w:b/>
          <w:bCs/>
        </w:rPr>
        <w:t>D</w:t>
      </w:r>
      <w:r w:rsidR="005D70F1">
        <w:rPr>
          <w:rFonts w:ascii="Arial" w:hAnsi="Arial" w:cs="Arial"/>
          <w:b/>
          <w:bCs/>
        </w:rPr>
        <w:t>I</w:t>
      </w:r>
      <w:r w:rsidR="00273754">
        <w:rPr>
          <w:rFonts w:ascii="Arial" w:hAnsi="Arial" w:cs="Arial"/>
          <w:b/>
          <w:bCs/>
          <w:iCs/>
        </w:rPr>
        <w:t>20</w:t>
      </w:r>
      <w:r w:rsidR="00CF78C9">
        <w:rPr>
          <w:rFonts w:ascii="Arial" w:hAnsi="Arial" w:cs="Arial"/>
          <w:b/>
          <w:bCs/>
          <w:iCs/>
        </w:rPr>
        <w:t>20</w:t>
      </w:r>
      <w:r>
        <w:rPr>
          <w:rFonts w:ascii="Arial" w:hAnsi="Arial" w:cs="Arial"/>
          <w:b/>
          <w:bCs/>
          <w:iCs/>
        </w:rPr>
        <w:t>-</w:t>
      </w:r>
      <w:r w:rsidR="009A1659">
        <w:rPr>
          <w:rFonts w:ascii="Arial" w:hAnsi="Arial" w:cs="Arial"/>
          <w:b/>
          <w:bCs/>
          <w:iCs/>
        </w:rPr>
        <w:t>293</w:t>
      </w:r>
    </w:p>
    <w:p w14:paraId="2FC8E40F" w14:textId="77777777" w:rsidR="005D70F1" w:rsidRDefault="005D70F1">
      <w:pPr>
        <w:pStyle w:val="madeunder"/>
        <w:spacing w:before="240" w:after="120"/>
      </w:pPr>
      <w:r>
        <w:t xml:space="preserve">made under the  </w:t>
      </w:r>
    </w:p>
    <w:p w14:paraId="48E1E07A" w14:textId="77777777" w:rsidR="005D70F1" w:rsidRDefault="00F17AA1">
      <w:pPr>
        <w:pStyle w:val="CoverActName"/>
        <w:rPr>
          <w:rFonts w:cs="Arial"/>
          <w:sz w:val="20"/>
        </w:rPr>
      </w:pPr>
      <w:r>
        <w:rPr>
          <w:rFonts w:cs="Arial"/>
          <w:sz w:val="20"/>
        </w:rPr>
        <w:t xml:space="preserve">Motor Accident Injuries Act 2019, section 487 (MAI Guidelines) </w:t>
      </w:r>
    </w:p>
    <w:p w14:paraId="1C6D77AC"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2E94C2AC" w14:textId="77777777" w:rsidR="005D70F1" w:rsidRDefault="005D70F1">
      <w:pPr>
        <w:pStyle w:val="N-line3"/>
        <w:pBdr>
          <w:bottom w:val="none" w:sz="0" w:space="0" w:color="auto"/>
        </w:pBdr>
      </w:pPr>
    </w:p>
    <w:p w14:paraId="1BFD1B60" w14:textId="77777777" w:rsidR="005D70F1" w:rsidRDefault="005D70F1">
      <w:pPr>
        <w:pStyle w:val="N-line3"/>
        <w:pBdr>
          <w:top w:val="single" w:sz="12" w:space="1" w:color="auto"/>
          <w:bottom w:val="none" w:sz="0" w:space="0" w:color="auto"/>
        </w:pBdr>
      </w:pPr>
    </w:p>
    <w:bookmarkEnd w:id="0"/>
    <w:p w14:paraId="33949FEC" w14:textId="77777777" w:rsidR="0003302E" w:rsidRPr="00351DA5" w:rsidRDefault="0003302E" w:rsidP="0003302E">
      <w:pPr>
        <w:autoSpaceDE w:val="0"/>
        <w:autoSpaceDN w:val="0"/>
        <w:adjustRightInd w:val="0"/>
        <w:rPr>
          <w:i/>
          <w:szCs w:val="24"/>
          <w:lang w:eastAsia="en-AU"/>
        </w:rPr>
      </w:pPr>
      <w:r w:rsidRPr="00351DA5">
        <w:rPr>
          <w:szCs w:val="24"/>
          <w:lang w:eastAsia="en-AU"/>
        </w:rPr>
        <w:t>Section 487 of the</w:t>
      </w:r>
      <w:r w:rsidRPr="00351DA5">
        <w:rPr>
          <w:i/>
          <w:iCs/>
          <w:szCs w:val="24"/>
          <w:lang w:eastAsia="en-AU"/>
        </w:rPr>
        <w:t xml:space="preserve"> Motor Accident Injuries Act 2019</w:t>
      </w:r>
      <w:r w:rsidRPr="00351DA5">
        <w:rPr>
          <w:i/>
          <w:szCs w:val="24"/>
          <w:lang w:eastAsia="en-AU"/>
        </w:rPr>
        <w:t xml:space="preserve"> </w:t>
      </w:r>
      <w:r w:rsidRPr="00351DA5">
        <w:rPr>
          <w:szCs w:val="24"/>
          <w:lang w:eastAsia="en-AU"/>
        </w:rPr>
        <w:t>(the MAI Act) enables the MAI Commission to make guidelines about any matter required or permitted by the MAI Act to be included in guidelines</w:t>
      </w:r>
      <w:r w:rsidRPr="00351DA5">
        <w:rPr>
          <w:i/>
          <w:szCs w:val="24"/>
          <w:lang w:eastAsia="en-AU"/>
        </w:rPr>
        <w:t xml:space="preserve">. </w:t>
      </w:r>
    </w:p>
    <w:p w14:paraId="67C7EEA8" w14:textId="77777777" w:rsidR="0003302E" w:rsidRPr="00351DA5" w:rsidRDefault="0003302E" w:rsidP="0003302E">
      <w:pPr>
        <w:autoSpaceDE w:val="0"/>
        <w:autoSpaceDN w:val="0"/>
        <w:adjustRightInd w:val="0"/>
        <w:rPr>
          <w:i/>
          <w:szCs w:val="24"/>
          <w:lang w:eastAsia="en-AU"/>
        </w:rPr>
      </w:pPr>
    </w:p>
    <w:p w14:paraId="7C1B9FA2" w14:textId="77777777" w:rsidR="0003302E" w:rsidRPr="00351DA5" w:rsidRDefault="0003302E" w:rsidP="0003302E">
      <w:pPr>
        <w:autoSpaceDE w:val="0"/>
        <w:autoSpaceDN w:val="0"/>
        <w:adjustRightInd w:val="0"/>
        <w:rPr>
          <w:i/>
          <w:szCs w:val="24"/>
          <w:lang w:eastAsia="en-AU"/>
        </w:rPr>
      </w:pPr>
      <w:r w:rsidRPr="00351DA5">
        <w:rPr>
          <w:szCs w:val="24"/>
          <w:lang w:eastAsia="en-AU"/>
        </w:rPr>
        <w:t xml:space="preserve">The guidelines are for the purpose of section 316 of the MAI Act to make provision for information and factors to be taken into account to assist insurers in working out MAI premiums; and the requirements that must be met to support premiums charged under the MAI Scheme. </w:t>
      </w:r>
    </w:p>
    <w:p w14:paraId="4AC80CAD" w14:textId="77777777" w:rsidR="0003302E" w:rsidRPr="00351DA5" w:rsidRDefault="0003302E" w:rsidP="0003302E">
      <w:pPr>
        <w:autoSpaceDE w:val="0"/>
        <w:autoSpaceDN w:val="0"/>
        <w:adjustRightInd w:val="0"/>
        <w:rPr>
          <w:szCs w:val="24"/>
          <w:lang w:eastAsia="en-AU"/>
        </w:rPr>
      </w:pPr>
    </w:p>
    <w:p w14:paraId="779B2861" w14:textId="77777777" w:rsidR="0003302E" w:rsidRPr="00351DA5" w:rsidRDefault="0003302E" w:rsidP="0003302E">
      <w:pPr>
        <w:autoSpaceDE w:val="0"/>
        <w:autoSpaceDN w:val="0"/>
        <w:adjustRightInd w:val="0"/>
        <w:rPr>
          <w:szCs w:val="24"/>
          <w:lang w:eastAsia="en-AU"/>
        </w:rPr>
      </w:pPr>
      <w:r w:rsidRPr="00351DA5">
        <w:rPr>
          <w:szCs w:val="24"/>
          <w:lang w:eastAsia="en-AU"/>
        </w:rPr>
        <w:t>The guidelines capture the prudential regulatory framework underlying the MAI Scheme. A fundamental principle is that all premiums (filings) are required to fully fund the insurer’s present and likely future liability and must not be excessive.</w:t>
      </w:r>
    </w:p>
    <w:p w14:paraId="166901C9" w14:textId="77777777" w:rsidR="0003302E" w:rsidRPr="00351DA5" w:rsidRDefault="0003302E" w:rsidP="0003302E">
      <w:pPr>
        <w:autoSpaceDE w:val="0"/>
        <w:autoSpaceDN w:val="0"/>
        <w:adjustRightInd w:val="0"/>
        <w:rPr>
          <w:szCs w:val="24"/>
          <w:lang w:eastAsia="en-AU"/>
        </w:rPr>
      </w:pPr>
    </w:p>
    <w:p w14:paraId="557628E7" w14:textId="77777777" w:rsidR="0003302E" w:rsidRPr="00351DA5" w:rsidRDefault="0003302E" w:rsidP="0003302E">
      <w:pPr>
        <w:autoSpaceDE w:val="0"/>
        <w:autoSpaceDN w:val="0"/>
        <w:adjustRightInd w:val="0"/>
        <w:rPr>
          <w:szCs w:val="24"/>
          <w:lang w:eastAsia="en-AU"/>
        </w:rPr>
      </w:pPr>
      <w:r w:rsidRPr="00351DA5">
        <w:rPr>
          <w:szCs w:val="24"/>
        </w:rPr>
        <w:t xml:space="preserve">Most of the transitional arrangements for the MAI Scheme </w:t>
      </w:r>
      <w:r>
        <w:rPr>
          <w:szCs w:val="24"/>
        </w:rPr>
        <w:t>contained in previous premium guidelines are no longer required and have been removed</w:t>
      </w:r>
      <w:r w:rsidRPr="00351DA5">
        <w:rPr>
          <w:szCs w:val="24"/>
        </w:rPr>
        <w:t xml:space="preserve">. However, there is still reference to two ongoing </w:t>
      </w:r>
      <w:r>
        <w:rPr>
          <w:szCs w:val="24"/>
        </w:rPr>
        <w:t>matters</w:t>
      </w:r>
      <w:r w:rsidRPr="00351DA5">
        <w:rPr>
          <w:szCs w:val="24"/>
        </w:rPr>
        <w:t>:</w:t>
      </w:r>
    </w:p>
    <w:p w14:paraId="310BF831" w14:textId="77777777" w:rsidR="0003302E" w:rsidRPr="00351DA5"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351DA5">
        <w:rPr>
          <w:rFonts w:ascii="Times New Roman" w:hAnsi="Times New Roman" w:cs="Times New Roman"/>
          <w:sz w:val="24"/>
          <w:szCs w:val="24"/>
        </w:rPr>
        <w:t>premium filings to take account of any ongoing impact of the ‘honeymoon effect’ and ongoing reduced claim numbers and claim costs for the MAI scheme (section 3.3); and</w:t>
      </w:r>
    </w:p>
    <w:p w14:paraId="333D3436" w14:textId="77777777" w:rsidR="0003302E" w:rsidRPr="00351DA5"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351DA5">
        <w:rPr>
          <w:rFonts w:ascii="Times New Roman" w:hAnsi="Times New Roman" w:cs="Times New Roman"/>
          <w:sz w:val="24"/>
          <w:szCs w:val="24"/>
        </w:rPr>
        <w:t>the calculation and return to policy holders of the premium surplus or ‘remaining premiums’ corresponding to the period remaining on the CTP policy, at the point in time the MAI Scheme commenced on 1 February 2020 (section 3.8).</w:t>
      </w:r>
    </w:p>
    <w:p w14:paraId="4E08CF3D" w14:textId="77777777" w:rsidR="0003302E" w:rsidRPr="007345AA" w:rsidRDefault="0003302E" w:rsidP="0003302E">
      <w:pPr>
        <w:autoSpaceDE w:val="0"/>
        <w:autoSpaceDN w:val="0"/>
        <w:adjustRightInd w:val="0"/>
        <w:rPr>
          <w:szCs w:val="24"/>
        </w:rPr>
      </w:pPr>
      <w:r w:rsidRPr="00351DA5">
        <w:rPr>
          <w:szCs w:val="24"/>
        </w:rPr>
        <w:br/>
      </w:r>
      <w:r>
        <w:rPr>
          <w:szCs w:val="24"/>
        </w:rPr>
        <w:t>T</w:t>
      </w:r>
      <w:r w:rsidRPr="00351DA5">
        <w:rPr>
          <w:szCs w:val="24"/>
        </w:rPr>
        <w:t xml:space="preserve">he motorcycle support arrangements </w:t>
      </w:r>
      <w:r>
        <w:rPr>
          <w:szCs w:val="24"/>
        </w:rPr>
        <w:t xml:space="preserve">put in place at the commencement of the MAI Scheme </w:t>
      </w:r>
      <w:r w:rsidRPr="00351DA5">
        <w:rPr>
          <w:szCs w:val="24"/>
        </w:rPr>
        <w:t xml:space="preserve">ensure that motorcycle premiums remain affordable </w:t>
      </w:r>
      <w:r>
        <w:rPr>
          <w:szCs w:val="24"/>
        </w:rPr>
        <w:t>even though there are likely to be</w:t>
      </w:r>
      <w:r w:rsidRPr="00351DA5">
        <w:rPr>
          <w:szCs w:val="24"/>
        </w:rPr>
        <w:t xml:space="preserve"> more motorcycle claims and costs </w:t>
      </w:r>
      <w:r>
        <w:rPr>
          <w:szCs w:val="24"/>
        </w:rPr>
        <w:t xml:space="preserve">under the </w:t>
      </w:r>
      <w:r w:rsidRPr="00351DA5">
        <w:rPr>
          <w:szCs w:val="24"/>
        </w:rPr>
        <w:t>no</w:t>
      </w:r>
      <w:r w:rsidRPr="00351DA5">
        <w:rPr>
          <w:szCs w:val="24"/>
        </w:rPr>
        <w:noBreakHyphen/>
        <w:t xml:space="preserve">fault </w:t>
      </w:r>
      <w:r>
        <w:rPr>
          <w:szCs w:val="24"/>
        </w:rPr>
        <w:t>MAI</w:t>
      </w:r>
      <w:r w:rsidRPr="00351DA5">
        <w:rPr>
          <w:szCs w:val="24"/>
        </w:rPr>
        <w:t xml:space="preserve"> Scheme</w:t>
      </w:r>
      <w:r>
        <w:rPr>
          <w:szCs w:val="24"/>
        </w:rPr>
        <w:t>, compared to the previous Compulsory Third-party Insurance Scheme</w:t>
      </w:r>
      <w:r w:rsidRPr="00351DA5">
        <w:rPr>
          <w:szCs w:val="24"/>
        </w:rPr>
        <w:t xml:space="preserve">. </w:t>
      </w:r>
      <w:r w:rsidRPr="007345AA">
        <w:rPr>
          <w:szCs w:val="24"/>
        </w:rPr>
        <w:t xml:space="preserve">To provide fairness between insurers around their decisions on </w:t>
      </w:r>
      <w:r w:rsidRPr="00351DA5">
        <w:rPr>
          <w:szCs w:val="24"/>
        </w:rPr>
        <w:t xml:space="preserve">motorcycle </w:t>
      </w:r>
      <w:r w:rsidRPr="007345AA">
        <w:rPr>
          <w:szCs w:val="24"/>
        </w:rPr>
        <w:t xml:space="preserve">premiums and risk; as well as fairness for other motorists in terms of the subsidies they pay to the </w:t>
      </w:r>
      <w:r w:rsidRPr="00351DA5">
        <w:rPr>
          <w:szCs w:val="24"/>
        </w:rPr>
        <w:t xml:space="preserve">motorcycle </w:t>
      </w:r>
      <w:r w:rsidRPr="007345AA">
        <w:rPr>
          <w:szCs w:val="24"/>
        </w:rPr>
        <w:t>class</w:t>
      </w:r>
      <w:r>
        <w:rPr>
          <w:szCs w:val="24"/>
        </w:rPr>
        <w:t>es</w:t>
      </w:r>
      <w:r w:rsidRPr="007345AA">
        <w:rPr>
          <w:szCs w:val="24"/>
        </w:rPr>
        <w:t xml:space="preserve">, the </w:t>
      </w:r>
      <w:r>
        <w:rPr>
          <w:szCs w:val="24"/>
        </w:rPr>
        <w:t>guidelines</w:t>
      </w:r>
      <w:r w:rsidRPr="007345AA">
        <w:rPr>
          <w:szCs w:val="24"/>
        </w:rPr>
        <w:t xml:space="preserve"> have been changed to increase the maximum </w:t>
      </w:r>
      <w:r w:rsidRPr="00351DA5">
        <w:rPr>
          <w:szCs w:val="24"/>
        </w:rPr>
        <w:t xml:space="preserve">motorcycle </w:t>
      </w:r>
      <w:r w:rsidRPr="007345AA">
        <w:rPr>
          <w:szCs w:val="24"/>
        </w:rPr>
        <w:t xml:space="preserve">premiums </w:t>
      </w:r>
      <w:r>
        <w:rPr>
          <w:szCs w:val="24"/>
        </w:rPr>
        <w:t xml:space="preserve">that insurers can charge </w:t>
      </w:r>
      <w:r w:rsidRPr="007345AA">
        <w:rPr>
          <w:szCs w:val="24"/>
        </w:rPr>
        <w:t xml:space="preserve">for some </w:t>
      </w:r>
      <w:r w:rsidRPr="00351DA5">
        <w:rPr>
          <w:szCs w:val="24"/>
        </w:rPr>
        <w:t xml:space="preserve">motorcycle </w:t>
      </w:r>
      <w:r w:rsidRPr="007345AA">
        <w:rPr>
          <w:szCs w:val="24"/>
        </w:rPr>
        <w:t xml:space="preserve">premiums. This change takes </w:t>
      </w:r>
      <w:r w:rsidRPr="007345AA">
        <w:rPr>
          <w:szCs w:val="24"/>
        </w:rPr>
        <w:lastRenderedPageBreak/>
        <w:t xml:space="preserve">into consideration the existing range of </w:t>
      </w:r>
      <w:r w:rsidRPr="00351DA5">
        <w:rPr>
          <w:szCs w:val="24"/>
        </w:rPr>
        <w:t xml:space="preserve">motorcycle </w:t>
      </w:r>
      <w:r w:rsidRPr="007345AA">
        <w:rPr>
          <w:szCs w:val="24"/>
        </w:rPr>
        <w:t xml:space="preserve">premiums </w:t>
      </w:r>
      <w:r>
        <w:rPr>
          <w:szCs w:val="24"/>
        </w:rPr>
        <w:t xml:space="preserve">charged by insurers </w:t>
      </w:r>
      <w:r w:rsidRPr="007345AA">
        <w:rPr>
          <w:szCs w:val="24"/>
        </w:rPr>
        <w:t xml:space="preserve">and recognises that claims costs potentially will increase in 2021. </w:t>
      </w:r>
    </w:p>
    <w:p w14:paraId="430325E9" w14:textId="77777777" w:rsidR="0003302E" w:rsidRDefault="0003302E" w:rsidP="0003302E">
      <w:pPr>
        <w:autoSpaceDE w:val="0"/>
        <w:autoSpaceDN w:val="0"/>
        <w:adjustRightInd w:val="0"/>
        <w:rPr>
          <w:szCs w:val="24"/>
        </w:rPr>
      </w:pPr>
    </w:p>
    <w:p w14:paraId="6AD231CF" w14:textId="77777777" w:rsidR="0003302E" w:rsidRPr="007345AA" w:rsidRDefault="0003302E" w:rsidP="0003302E">
      <w:pPr>
        <w:autoSpaceDE w:val="0"/>
        <w:autoSpaceDN w:val="0"/>
        <w:adjustRightInd w:val="0"/>
        <w:rPr>
          <w:szCs w:val="24"/>
        </w:rPr>
      </w:pPr>
      <w:r w:rsidRPr="007345AA">
        <w:rPr>
          <w:szCs w:val="24"/>
        </w:rPr>
        <w:t xml:space="preserve">For the next underwriting period - 1 February 2021 to 31 January 2022, the following </w:t>
      </w:r>
      <w:r w:rsidRPr="00351DA5">
        <w:rPr>
          <w:szCs w:val="24"/>
        </w:rPr>
        <w:t xml:space="preserve">motorcycle </w:t>
      </w:r>
      <w:r w:rsidRPr="007345AA">
        <w:rPr>
          <w:szCs w:val="24"/>
        </w:rPr>
        <w:t>premiums are permitted:</w:t>
      </w:r>
    </w:p>
    <w:p w14:paraId="1CCDCE0F" w14:textId="77777777" w:rsidR="0003302E" w:rsidRPr="007345AA" w:rsidRDefault="0003302E" w:rsidP="0003302E">
      <w:pPr>
        <w:autoSpaceDE w:val="0"/>
        <w:autoSpaceDN w:val="0"/>
        <w:adjustRightInd w:val="0"/>
        <w:rPr>
          <w:szCs w:val="24"/>
        </w:rPr>
      </w:pPr>
    </w:p>
    <w:p w14:paraId="1E66D2AB" w14:textId="77777777" w:rsidR="0003302E" w:rsidRPr="00351DA5"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351DA5">
        <w:rPr>
          <w:rFonts w:ascii="Times New Roman" w:hAnsi="Times New Roman" w:cs="Times New Roman"/>
          <w:sz w:val="24"/>
          <w:szCs w:val="24"/>
        </w:rPr>
        <w:t>for motorcycle classes 9A and 9B, the maximum premium is $435 except for those insurers whose existing premiums are higher than $435. The maximum premium for those insurers with an existing premium higher than $435 is their current premium (section 4.1); and</w:t>
      </w:r>
    </w:p>
    <w:p w14:paraId="69ACACF4" w14:textId="77777777" w:rsidR="0003302E" w:rsidRPr="00351DA5"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351DA5">
        <w:rPr>
          <w:rFonts w:ascii="Times New Roman" w:hAnsi="Times New Roman" w:cs="Times New Roman"/>
          <w:sz w:val="24"/>
          <w:szCs w:val="24"/>
        </w:rPr>
        <w:t>for motorcycle classes 9C and 9D, the maximum premium is $85 except for those insurers whose existing premiums are higher than $85. The maximum premium for those insurers with an existing premium higher than $85 is their current premium (section 4.1).</w:t>
      </w:r>
    </w:p>
    <w:p w14:paraId="20740DBF" w14:textId="77777777" w:rsidR="0003302E" w:rsidRDefault="0003302E" w:rsidP="0003302E">
      <w:pPr>
        <w:autoSpaceDE w:val="0"/>
        <w:autoSpaceDN w:val="0"/>
        <w:adjustRightInd w:val="0"/>
        <w:rPr>
          <w:szCs w:val="24"/>
        </w:rPr>
      </w:pPr>
    </w:p>
    <w:p w14:paraId="1F400A97" w14:textId="77777777" w:rsidR="0003302E" w:rsidRPr="008132C3" w:rsidRDefault="0003302E" w:rsidP="0003302E">
      <w:pPr>
        <w:autoSpaceDE w:val="0"/>
        <w:autoSpaceDN w:val="0"/>
        <w:adjustRightInd w:val="0"/>
        <w:rPr>
          <w:szCs w:val="24"/>
        </w:rPr>
      </w:pPr>
      <w:r w:rsidRPr="008132C3">
        <w:rPr>
          <w:szCs w:val="24"/>
        </w:rPr>
        <w:t>The guidelines also:</w:t>
      </w:r>
    </w:p>
    <w:p w14:paraId="76E31127" w14:textId="77777777" w:rsidR="0003302E" w:rsidRPr="008132C3"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8132C3">
        <w:rPr>
          <w:rFonts w:ascii="Times New Roman" w:hAnsi="Times New Roman" w:cs="Times New Roman"/>
          <w:sz w:val="24"/>
          <w:szCs w:val="24"/>
        </w:rPr>
        <w:t>outline the methodology to be used by the MAI Commission to determine the Motorcycle Premium Support (MCPS) and Motorcycle Premium Loading (MCPL) amounts for each MAI motorcycle premium class to be considered in premium filings and for reconciling any MCPS and MCPL transfer between insurers (sections 4.2 - 4.4); and</w:t>
      </w:r>
    </w:p>
    <w:p w14:paraId="0015FE42" w14:textId="77777777" w:rsidR="0003302E" w:rsidRPr="008132C3" w:rsidRDefault="0003302E" w:rsidP="0003302E">
      <w:pPr>
        <w:pStyle w:val="ListParagraph"/>
        <w:numPr>
          <w:ilvl w:val="0"/>
          <w:numId w:val="16"/>
        </w:numPr>
        <w:autoSpaceDE w:val="0"/>
        <w:autoSpaceDN w:val="0"/>
        <w:adjustRightInd w:val="0"/>
        <w:rPr>
          <w:rFonts w:ascii="Times New Roman" w:hAnsi="Times New Roman" w:cs="Times New Roman"/>
          <w:sz w:val="24"/>
          <w:szCs w:val="24"/>
        </w:rPr>
      </w:pPr>
      <w:r w:rsidRPr="008132C3">
        <w:rPr>
          <w:rFonts w:ascii="Times New Roman" w:hAnsi="Times New Roman" w:cs="Times New Roman"/>
          <w:sz w:val="24"/>
          <w:szCs w:val="24"/>
        </w:rPr>
        <w:t>make provision for policies to include the net impact of the Motorcycle Premium Loading (MCPL) and Motorcycle Premium Support (MCPS) based on more comparable key data being provided by insurers in their MAI premium filings (section 3.4).</w:t>
      </w:r>
    </w:p>
    <w:p w14:paraId="66C7CB78" w14:textId="77777777" w:rsidR="0003302E" w:rsidRDefault="0003302E" w:rsidP="0003302E">
      <w:pPr>
        <w:autoSpaceDE w:val="0"/>
        <w:autoSpaceDN w:val="0"/>
        <w:adjustRightInd w:val="0"/>
        <w:rPr>
          <w:szCs w:val="24"/>
          <w:lang w:eastAsia="en-AU"/>
        </w:rPr>
      </w:pPr>
    </w:p>
    <w:p w14:paraId="19D59BDB" w14:textId="77777777" w:rsidR="0003302E" w:rsidRDefault="0003302E" w:rsidP="0003302E">
      <w:pPr>
        <w:autoSpaceDE w:val="0"/>
        <w:autoSpaceDN w:val="0"/>
        <w:adjustRightInd w:val="0"/>
        <w:rPr>
          <w:szCs w:val="24"/>
          <w:lang w:eastAsia="en-AU"/>
        </w:rPr>
      </w:pPr>
      <w:r>
        <w:rPr>
          <w:szCs w:val="24"/>
          <w:lang w:eastAsia="en-AU"/>
        </w:rPr>
        <w:t xml:space="preserve">The guidelines are intended to support an </w:t>
      </w:r>
      <w:r w:rsidRPr="005005B6">
        <w:rPr>
          <w:szCs w:val="24"/>
          <w:lang w:eastAsia="en-AU"/>
        </w:rPr>
        <w:t>efficien</w:t>
      </w:r>
      <w:r>
        <w:rPr>
          <w:szCs w:val="24"/>
          <w:lang w:eastAsia="en-AU"/>
        </w:rPr>
        <w:t xml:space="preserve">t premium filing </w:t>
      </w:r>
      <w:r w:rsidRPr="005005B6">
        <w:rPr>
          <w:szCs w:val="24"/>
          <w:lang w:eastAsia="en-AU"/>
        </w:rPr>
        <w:t xml:space="preserve">process </w:t>
      </w:r>
      <w:r>
        <w:rPr>
          <w:szCs w:val="24"/>
          <w:lang w:eastAsia="en-AU"/>
        </w:rPr>
        <w:t xml:space="preserve">under the MAI scheme </w:t>
      </w:r>
      <w:r w:rsidRPr="005005B6">
        <w:rPr>
          <w:szCs w:val="24"/>
          <w:lang w:eastAsia="en-AU"/>
        </w:rPr>
        <w:t xml:space="preserve">for all impacted parties, including the </w:t>
      </w:r>
      <w:r>
        <w:rPr>
          <w:szCs w:val="24"/>
          <w:lang w:eastAsia="en-AU"/>
        </w:rPr>
        <w:t>insurers; the MAI Commissioner;</w:t>
      </w:r>
      <w:r w:rsidRPr="005005B6">
        <w:rPr>
          <w:szCs w:val="24"/>
          <w:lang w:eastAsia="en-AU"/>
        </w:rPr>
        <w:t xml:space="preserve"> and </w:t>
      </w:r>
      <w:r>
        <w:rPr>
          <w:szCs w:val="24"/>
          <w:lang w:eastAsia="en-AU"/>
        </w:rPr>
        <w:t xml:space="preserve">the </w:t>
      </w:r>
      <w:r w:rsidRPr="005005B6">
        <w:rPr>
          <w:szCs w:val="24"/>
          <w:lang w:eastAsia="en-AU"/>
        </w:rPr>
        <w:t>Road Transport Authority, while also encouraging affordable premiums through ongoing competition.</w:t>
      </w:r>
    </w:p>
    <w:p w14:paraId="32C8D8D5" w14:textId="77777777" w:rsidR="0003302E" w:rsidRDefault="0003302E" w:rsidP="0003302E">
      <w:pPr>
        <w:autoSpaceDE w:val="0"/>
        <w:autoSpaceDN w:val="0"/>
        <w:adjustRightInd w:val="0"/>
        <w:rPr>
          <w:szCs w:val="24"/>
          <w:lang w:eastAsia="en-AU"/>
        </w:rPr>
      </w:pPr>
    </w:p>
    <w:p w14:paraId="5E3326AA" w14:textId="39201266" w:rsidR="0003302E" w:rsidRDefault="0003302E" w:rsidP="0003302E">
      <w:pPr>
        <w:autoSpaceDE w:val="0"/>
        <w:autoSpaceDN w:val="0"/>
        <w:adjustRightInd w:val="0"/>
        <w:rPr>
          <w:szCs w:val="24"/>
          <w:lang w:eastAsia="en-AU"/>
        </w:rPr>
      </w:pPr>
      <w:r>
        <w:rPr>
          <w:szCs w:val="24"/>
          <w:lang w:eastAsia="en-AU"/>
        </w:rPr>
        <w:t xml:space="preserve">There is a delayed revocation of the 2019 guidelines to allow them to have effect up until 1 </w:t>
      </w:r>
      <w:r w:rsidR="00955C70">
        <w:rPr>
          <w:szCs w:val="24"/>
          <w:lang w:eastAsia="en-AU"/>
        </w:rPr>
        <w:t>February</w:t>
      </w:r>
      <w:r>
        <w:rPr>
          <w:szCs w:val="24"/>
          <w:lang w:eastAsia="en-AU"/>
        </w:rPr>
        <w:t xml:space="preserve"> 2021 for premiums applicable until this date. </w:t>
      </w:r>
      <w:r w:rsidR="004F59BE">
        <w:rPr>
          <w:szCs w:val="24"/>
          <w:lang w:eastAsia="en-AU"/>
        </w:rPr>
        <w:t>T</w:t>
      </w:r>
      <w:r>
        <w:rPr>
          <w:szCs w:val="24"/>
          <w:lang w:eastAsia="en-AU"/>
        </w:rPr>
        <w:t xml:space="preserve">he 2020 guidelines </w:t>
      </w:r>
      <w:r w:rsidR="004F59BE">
        <w:rPr>
          <w:szCs w:val="24"/>
          <w:lang w:eastAsia="en-AU"/>
        </w:rPr>
        <w:t xml:space="preserve">will </w:t>
      </w:r>
      <w:r>
        <w:rPr>
          <w:szCs w:val="24"/>
          <w:lang w:eastAsia="en-AU"/>
        </w:rPr>
        <w:t>come into effect from 30 October 2020 for premiums effective from 1 February 2021 given the need for insurers to follow the</w:t>
      </w:r>
      <w:r w:rsidR="004F59BE">
        <w:rPr>
          <w:szCs w:val="24"/>
          <w:lang w:eastAsia="en-AU"/>
        </w:rPr>
        <w:t xml:space="preserve"> 2020</w:t>
      </w:r>
      <w:r>
        <w:rPr>
          <w:szCs w:val="24"/>
          <w:lang w:eastAsia="en-AU"/>
        </w:rPr>
        <w:t xml:space="preserve"> guideline requirements for new premium filings (with an effective date from 1 February 2021) and the long lead time associated with de novo premium filings.</w:t>
      </w:r>
    </w:p>
    <w:p w14:paraId="54A2E3FA" w14:textId="77777777" w:rsidR="00533049" w:rsidRDefault="00533049" w:rsidP="00533049">
      <w:pPr>
        <w:autoSpaceDE w:val="0"/>
        <w:autoSpaceDN w:val="0"/>
        <w:adjustRightInd w:val="0"/>
        <w:rPr>
          <w:szCs w:val="24"/>
          <w:lang w:eastAsia="en-AU"/>
        </w:rPr>
      </w:pPr>
    </w:p>
    <w:p w14:paraId="6BC63DD1" w14:textId="77777777" w:rsidR="00C0518F" w:rsidRDefault="00C0518F" w:rsidP="00F6376E">
      <w:pPr>
        <w:autoSpaceDE w:val="0"/>
        <w:autoSpaceDN w:val="0"/>
        <w:adjustRightInd w:val="0"/>
        <w:rPr>
          <w:szCs w:val="24"/>
          <w:lang w:eastAsia="en-AU"/>
        </w:rPr>
      </w:pPr>
    </w:p>
    <w:p w14:paraId="2F3E7B48" w14:textId="77777777" w:rsidR="001F722E" w:rsidRDefault="001F722E" w:rsidP="001F722E">
      <w:pPr>
        <w:autoSpaceDE w:val="0"/>
        <w:autoSpaceDN w:val="0"/>
        <w:adjustRightInd w:val="0"/>
        <w:rPr>
          <w:szCs w:val="24"/>
          <w:lang w:eastAsia="en-AU"/>
        </w:rPr>
      </w:pPr>
    </w:p>
    <w:p w14:paraId="0B0C327B" w14:textId="77777777" w:rsidR="001F722E" w:rsidRDefault="001F722E" w:rsidP="001F722E">
      <w:pPr>
        <w:autoSpaceDE w:val="0"/>
        <w:autoSpaceDN w:val="0"/>
        <w:adjustRightInd w:val="0"/>
        <w:rPr>
          <w:b/>
          <w:bCs/>
          <w:szCs w:val="24"/>
          <w:lang w:eastAsia="en-AU"/>
        </w:rPr>
      </w:pPr>
    </w:p>
    <w:sectPr w:rsidR="001F722E" w:rsidSect="008D1F6A">
      <w:headerReference w:type="even" r:id="rId8"/>
      <w:headerReference w:type="default" r:id="rId9"/>
      <w:footerReference w:type="even" r:id="rId10"/>
      <w:footerReference w:type="default" r:id="rId11"/>
      <w:headerReference w:type="first" r:id="rId12"/>
      <w:footerReference w:type="first" r:id="rId13"/>
      <w:pgSz w:w="11907" w:h="16839" w:code="9"/>
      <w:pgMar w:top="1440" w:right="170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64CE" w14:textId="77777777" w:rsidR="00FB1B81" w:rsidRDefault="00FB1B81">
      <w:r>
        <w:separator/>
      </w:r>
    </w:p>
  </w:endnote>
  <w:endnote w:type="continuationSeparator" w:id="0">
    <w:p w14:paraId="45DF74B3" w14:textId="77777777" w:rsidR="00FB1B81" w:rsidRDefault="00F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BA25" w14:textId="77777777" w:rsidR="009C4819" w:rsidRDefault="009C4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36B4" w14:textId="6B895F7B" w:rsidR="009C4819" w:rsidRPr="00841D30" w:rsidRDefault="00841D30" w:rsidP="00841D30">
    <w:pPr>
      <w:pStyle w:val="Footer"/>
      <w:jc w:val="center"/>
      <w:rPr>
        <w:rFonts w:cs="Arial"/>
        <w:sz w:val="14"/>
      </w:rPr>
    </w:pPr>
    <w:r w:rsidRPr="00841D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D1DB" w14:textId="77777777" w:rsidR="009C4819" w:rsidRDefault="009C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43A3" w14:textId="77777777" w:rsidR="00FB1B81" w:rsidRDefault="00FB1B81">
      <w:r>
        <w:separator/>
      </w:r>
    </w:p>
  </w:footnote>
  <w:footnote w:type="continuationSeparator" w:id="0">
    <w:p w14:paraId="0D2DFBDE" w14:textId="77777777" w:rsidR="00FB1B81" w:rsidRDefault="00F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D752" w14:textId="77777777" w:rsidR="009C4819" w:rsidRDefault="009C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35AB" w14:textId="77777777" w:rsidR="009C4819" w:rsidRDefault="009C4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A035" w14:textId="77777777" w:rsidR="009C4819" w:rsidRDefault="009C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98643B"/>
    <w:multiLevelType w:val="multilevel"/>
    <w:tmpl w:val="E0B2A3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09FE120B"/>
    <w:multiLevelType w:val="hybridMultilevel"/>
    <w:tmpl w:val="C234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CE722E"/>
    <w:multiLevelType w:val="hybridMultilevel"/>
    <w:tmpl w:val="A7CA5CD8"/>
    <w:lvl w:ilvl="0" w:tplc="4DF647A6">
      <w:start w:val="1"/>
      <w:numFmt w:val="bullet"/>
      <w:pStyle w:val="Recommentations"/>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C44147"/>
    <w:multiLevelType w:val="hybridMultilevel"/>
    <w:tmpl w:val="12A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41D575E"/>
    <w:multiLevelType w:val="hybridMultilevel"/>
    <w:tmpl w:val="F9B8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C6D69"/>
    <w:multiLevelType w:val="hybridMultilevel"/>
    <w:tmpl w:val="3BE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77686"/>
    <w:multiLevelType w:val="hybridMultilevel"/>
    <w:tmpl w:val="6E5A012A"/>
    <w:lvl w:ilvl="0" w:tplc="6A384222">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A6EF9"/>
    <w:multiLevelType w:val="hybridMultilevel"/>
    <w:tmpl w:val="2C40E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037F70"/>
    <w:multiLevelType w:val="hybridMultilevel"/>
    <w:tmpl w:val="9FB20246"/>
    <w:lvl w:ilvl="0" w:tplc="AF60A8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7B3730B1"/>
    <w:multiLevelType w:val="hybridMultilevel"/>
    <w:tmpl w:val="ECA61E9E"/>
    <w:lvl w:ilvl="0" w:tplc="AC6654DE">
      <w:start w:val="1"/>
      <w:numFmt w:val="bullet"/>
      <w:pStyle w:val="BSbullet10"/>
      <w:lvlText w:val=""/>
      <w:lvlJc w:val="left"/>
      <w:pPr>
        <w:tabs>
          <w:tab w:val="num" w:pos="360"/>
        </w:tabs>
        <w:ind w:left="357" w:hanging="357"/>
      </w:pPr>
      <w:rPr>
        <w:rFonts w:ascii="Symbol" w:hAnsi="Symbol" w:hint="default"/>
        <w:sz w:val="24"/>
      </w:rPr>
    </w:lvl>
    <w:lvl w:ilvl="1" w:tplc="277AF3A2">
      <w:start w:val="1"/>
      <w:numFmt w:val="bullet"/>
      <w:lvlText w:val="o"/>
      <w:lvlJc w:val="left"/>
      <w:pPr>
        <w:tabs>
          <w:tab w:val="num" w:pos="1800"/>
        </w:tabs>
        <w:ind w:left="1800" w:hanging="360"/>
      </w:pPr>
      <w:rPr>
        <w:rFonts w:ascii="Courier New" w:hAnsi="Courier New" w:hint="default"/>
      </w:rPr>
    </w:lvl>
    <w:lvl w:ilvl="2" w:tplc="29F87BEC">
      <w:start w:val="1"/>
      <w:numFmt w:val="bullet"/>
      <w:lvlText w:val=""/>
      <w:lvlJc w:val="left"/>
      <w:pPr>
        <w:tabs>
          <w:tab w:val="num" w:pos="2520"/>
        </w:tabs>
        <w:ind w:left="2520" w:hanging="360"/>
      </w:pPr>
      <w:rPr>
        <w:rFonts w:ascii="Wingdings" w:hAnsi="Wingdings" w:hint="default"/>
      </w:rPr>
    </w:lvl>
    <w:lvl w:ilvl="3" w:tplc="96141E3C">
      <w:start w:val="1"/>
      <w:numFmt w:val="bullet"/>
      <w:lvlText w:val=""/>
      <w:lvlJc w:val="left"/>
      <w:pPr>
        <w:tabs>
          <w:tab w:val="num" w:pos="3240"/>
        </w:tabs>
        <w:ind w:left="3240" w:hanging="360"/>
      </w:pPr>
      <w:rPr>
        <w:rFonts w:ascii="Symbol" w:hAnsi="Symbol" w:hint="default"/>
      </w:rPr>
    </w:lvl>
    <w:lvl w:ilvl="4" w:tplc="4836A9F6">
      <w:start w:val="1"/>
      <w:numFmt w:val="bullet"/>
      <w:lvlText w:val="o"/>
      <w:lvlJc w:val="left"/>
      <w:pPr>
        <w:tabs>
          <w:tab w:val="num" w:pos="3960"/>
        </w:tabs>
        <w:ind w:left="3960" w:hanging="360"/>
      </w:pPr>
      <w:rPr>
        <w:rFonts w:ascii="Courier New" w:hAnsi="Courier New" w:hint="default"/>
      </w:rPr>
    </w:lvl>
    <w:lvl w:ilvl="5" w:tplc="E0FA6F34">
      <w:start w:val="1"/>
      <w:numFmt w:val="bullet"/>
      <w:lvlText w:val=""/>
      <w:lvlJc w:val="left"/>
      <w:pPr>
        <w:tabs>
          <w:tab w:val="num" w:pos="4680"/>
        </w:tabs>
        <w:ind w:left="4680" w:hanging="360"/>
      </w:pPr>
      <w:rPr>
        <w:rFonts w:ascii="Wingdings" w:hAnsi="Wingdings" w:hint="default"/>
      </w:rPr>
    </w:lvl>
    <w:lvl w:ilvl="6" w:tplc="AB428FAE">
      <w:start w:val="1"/>
      <w:numFmt w:val="bullet"/>
      <w:lvlText w:val=""/>
      <w:lvlJc w:val="left"/>
      <w:pPr>
        <w:tabs>
          <w:tab w:val="num" w:pos="5400"/>
        </w:tabs>
        <w:ind w:left="5400" w:hanging="360"/>
      </w:pPr>
      <w:rPr>
        <w:rFonts w:ascii="Symbol" w:hAnsi="Symbol" w:hint="default"/>
      </w:rPr>
    </w:lvl>
    <w:lvl w:ilvl="7" w:tplc="9FCE3EDC">
      <w:start w:val="1"/>
      <w:numFmt w:val="bullet"/>
      <w:lvlText w:val="o"/>
      <w:lvlJc w:val="left"/>
      <w:pPr>
        <w:tabs>
          <w:tab w:val="num" w:pos="6120"/>
        </w:tabs>
        <w:ind w:left="6120" w:hanging="360"/>
      </w:pPr>
      <w:rPr>
        <w:rFonts w:ascii="Courier New" w:hAnsi="Courier New" w:hint="default"/>
      </w:rPr>
    </w:lvl>
    <w:lvl w:ilvl="8" w:tplc="DA2AF5E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730B9"/>
    <w:multiLevelType w:val="hybridMultilevel"/>
    <w:tmpl w:val="4E7EACC2"/>
    <w:lvl w:ilvl="0" w:tplc="50542CBA">
      <w:start w:val="1"/>
      <w:numFmt w:val="bullet"/>
      <w:pStyle w:val="BSbullet12"/>
      <w:lvlText w:val=""/>
      <w:lvlJc w:val="left"/>
      <w:pPr>
        <w:tabs>
          <w:tab w:val="num" w:pos="360"/>
        </w:tabs>
        <w:ind w:left="357" w:hanging="357"/>
      </w:pPr>
      <w:rPr>
        <w:rFonts w:ascii="Symbol" w:hAnsi="Symbol" w:hint="default"/>
        <w:sz w:val="24"/>
      </w:rPr>
    </w:lvl>
    <w:lvl w:ilvl="1" w:tplc="5F84CE34">
      <w:start w:val="1"/>
      <w:numFmt w:val="bullet"/>
      <w:lvlText w:val="o"/>
      <w:lvlJc w:val="left"/>
      <w:pPr>
        <w:tabs>
          <w:tab w:val="num" w:pos="1800"/>
        </w:tabs>
        <w:ind w:left="1800" w:hanging="360"/>
      </w:pPr>
      <w:rPr>
        <w:rFonts w:ascii="Courier New" w:hAnsi="Courier New" w:hint="default"/>
      </w:rPr>
    </w:lvl>
    <w:lvl w:ilvl="2" w:tplc="31E6A9C4">
      <w:start w:val="1"/>
      <w:numFmt w:val="bullet"/>
      <w:lvlText w:val=""/>
      <w:lvlJc w:val="left"/>
      <w:pPr>
        <w:tabs>
          <w:tab w:val="num" w:pos="2520"/>
        </w:tabs>
        <w:ind w:left="2520" w:hanging="360"/>
      </w:pPr>
      <w:rPr>
        <w:rFonts w:ascii="Wingdings" w:hAnsi="Wingdings" w:hint="default"/>
      </w:rPr>
    </w:lvl>
    <w:lvl w:ilvl="3" w:tplc="339416CC">
      <w:start w:val="1"/>
      <w:numFmt w:val="bullet"/>
      <w:lvlText w:val=""/>
      <w:lvlJc w:val="left"/>
      <w:pPr>
        <w:tabs>
          <w:tab w:val="num" w:pos="3240"/>
        </w:tabs>
        <w:ind w:left="3240" w:hanging="360"/>
      </w:pPr>
      <w:rPr>
        <w:rFonts w:ascii="Symbol" w:hAnsi="Symbol" w:hint="default"/>
      </w:rPr>
    </w:lvl>
    <w:lvl w:ilvl="4" w:tplc="113C7FDA">
      <w:start w:val="1"/>
      <w:numFmt w:val="bullet"/>
      <w:lvlText w:val="o"/>
      <w:lvlJc w:val="left"/>
      <w:pPr>
        <w:tabs>
          <w:tab w:val="num" w:pos="3960"/>
        </w:tabs>
        <w:ind w:left="3960" w:hanging="360"/>
      </w:pPr>
      <w:rPr>
        <w:rFonts w:ascii="Courier New" w:hAnsi="Courier New" w:hint="default"/>
      </w:rPr>
    </w:lvl>
    <w:lvl w:ilvl="5" w:tplc="2F24E824">
      <w:start w:val="1"/>
      <w:numFmt w:val="bullet"/>
      <w:lvlText w:val=""/>
      <w:lvlJc w:val="left"/>
      <w:pPr>
        <w:tabs>
          <w:tab w:val="num" w:pos="4680"/>
        </w:tabs>
        <w:ind w:left="4680" w:hanging="360"/>
      </w:pPr>
      <w:rPr>
        <w:rFonts w:ascii="Wingdings" w:hAnsi="Wingdings" w:hint="default"/>
      </w:rPr>
    </w:lvl>
    <w:lvl w:ilvl="6" w:tplc="35B264C4">
      <w:start w:val="1"/>
      <w:numFmt w:val="bullet"/>
      <w:lvlText w:val=""/>
      <w:lvlJc w:val="left"/>
      <w:pPr>
        <w:tabs>
          <w:tab w:val="num" w:pos="5400"/>
        </w:tabs>
        <w:ind w:left="5400" w:hanging="360"/>
      </w:pPr>
      <w:rPr>
        <w:rFonts w:ascii="Symbol" w:hAnsi="Symbol" w:hint="default"/>
      </w:rPr>
    </w:lvl>
    <w:lvl w:ilvl="7" w:tplc="3ADC662A">
      <w:start w:val="1"/>
      <w:numFmt w:val="bullet"/>
      <w:lvlText w:val="o"/>
      <w:lvlJc w:val="left"/>
      <w:pPr>
        <w:tabs>
          <w:tab w:val="num" w:pos="6120"/>
        </w:tabs>
        <w:ind w:left="6120" w:hanging="360"/>
      </w:pPr>
      <w:rPr>
        <w:rFonts w:ascii="Courier New" w:hAnsi="Courier New" w:hint="default"/>
      </w:rPr>
    </w:lvl>
    <w:lvl w:ilvl="8" w:tplc="C6309476">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16"/>
  </w:num>
  <w:num w:numId="6">
    <w:abstractNumId w:val="1"/>
  </w:num>
  <w:num w:numId="7">
    <w:abstractNumId w:val="8"/>
  </w:num>
  <w:num w:numId="8">
    <w:abstractNumId w:val="9"/>
  </w:num>
  <w:num w:numId="9">
    <w:abstractNumId w:val="2"/>
  </w:num>
  <w:num w:numId="10">
    <w:abstractNumId w:val="12"/>
  </w:num>
  <w:num w:numId="11">
    <w:abstractNumId w:val="15"/>
  </w:num>
  <w:num w:numId="12">
    <w:abstractNumId w:val="17"/>
  </w:num>
  <w:num w:numId="13">
    <w:abstractNumId w:val="18"/>
  </w:num>
  <w:num w:numId="14">
    <w:abstractNumId w:val="13"/>
  </w:num>
  <w:num w:numId="15">
    <w:abstractNumId w:val="11"/>
  </w:num>
  <w:num w:numId="16">
    <w:abstractNumId w:val="7"/>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32495"/>
    <w:rsid w:val="0003302E"/>
    <w:rsid w:val="0007069E"/>
    <w:rsid w:val="000727F0"/>
    <w:rsid w:val="00081CA7"/>
    <w:rsid w:val="000C7CCC"/>
    <w:rsid w:val="000C7DCE"/>
    <w:rsid w:val="0010402F"/>
    <w:rsid w:val="0011029D"/>
    <w:rsid w:val="001174F1"/>
    <w:rsid w:val="00131FC7"/>
    <w:rsid w:val="001335A1"/>
    <w:rsid w:val="001342D8"/>
    <w:rsid w:val="00141C66"/>
    <w:rsid w:val="00167729"/>
    <w:rsid w:val="00173BA0"/>
    <w:rsid w:val="00181800"/>
    <w:rsid w:val="00182554"/>
    <w:rsid w:val="00182B9E"/>
    <w:rsid w:val="00187647"/>
    <w:rsid w:val="00194A9A"/>
    <w:rsid w:val="001C5D5D"/>
    <w:rsid w:val="001D3F44"/>
    <w:rsid w:val="001D4053"/>
    <w:rsid w:val="001D6B31"/>
    <w:rsid w:val="001F6DD2"/>
    <w:rsid w:val="001F722E"/>
    <w:rsid w:val="0020688F"/>
    <w:rsid w:val="0021759B"/>
    <w:rsid w:val="00232271"/>
    <w:rsid w:val="002674B0"/>
    <w:rsid w:val="00273754"/>
    <w:rsid w:val="00277D60"/>
    <w:rsid w:val="00292041"/>
    <w:rsid w:val="002925FF"/>
    <w:rsid w:val="00295135"/>
    <w:rsid w:val="002B255C"/>
    <w:rsid w:val="002C1F2B"/>
    <w:rsid w:val="00314CCE"/>
    <w:rsid w:val="003332C9"/>
    <w:rsid w:val="00346700"/>
    <w:rsid w:val="00351DA5"/>
    <w:rsid w:val="00354305"/>
    <w:rsid w:val="00357B85"/>
    <w:rsid w:val="00380E55"/>
    <w:rsid w:val="00387087"/>
    <w:rsid w:val="00391227"/>
    <w:rsid w:val="003D4618"/>
    <w:rsid w:val="003E2ABC"/>
    <w:rsid w:val="003F1E72"/>
    <w:rsid w:val="00414BDF"/>
    <w:rsid w:val="00420A2A"/>
    <w:rsid w:val="004214F4"/>
    <w:rsid w:val="00425F65"/>
    <w:rsid w:val="00451EFF"/>
    <w:rsid w:val="0045532E"/>
    <w:rsid w:val="00471C05"/>
    <w:rsid w:val="00494761"/>
    <w:rsid w:val="004B4825"/>
    <w:rsid w:val="004B7803"/>
    <w:rsid w:val="004C4A40"/>
    <w:rsid w:val="004D6315"/>
    <w:rsid w:val="004E365C"/>
    <w:rsid w:val="004F59BE"/>
    <w:rsid w:val="005005B6"/>
    <w:rsid w:val="00500A87"/>
    <w:rsid w:val="00507609"/>
    <w:rsid w:val="00533049"/>
    <w:rsid w:val="00553FFB"/>
    <w:rsid w:val="00560038"/>
    <w:rsid w:val="00565828"/>
    <w:rsid w:val="005C5202"/>
    <w:rsid w:val="005D1588"/>
    <w:rsid w:val="005D70F1"/>
    <w:rsid w:val="005E225B"/>
    <w:rsid w:val="005F47E9"/>
    <w:rsid w:val="00617A22"/>
    <w:rsid w:val="00631133"/>
    <w:rsid w:val="006F055D"/>
    <w:rsid w:val="00706DC3"/>
    <w:rsid w:val="0070786F"/>
    <w:rsid w:val="007760A8"/>
    <w:rsid w:val="00777264"/>
    <w:rsid w:val="007A41C3"/>
    <w:rsid w:val="007A5AFB"/>
    <w:rsid w:val="007C292F"/>
    <w:rsid w:val="007C6C47"/>
    <w:rsid w:val="00810563"/>
    <w:rsid w:val="008132C3"/>
    <w:rsid w:val="0082663A"/>
    <w:rsid w:val="0083777D"/>
    <w:rsid w:val="00841D30"/>
    <w:rsid w:val="008612F9"/>
    <w:rsid w:val="00866C94"/>
    <w:rsid w:val="00894C30"/>
    <w:rsid w:val="008B4761"/>
    <w:rsid w:val="008D1F6A"/>
    <w:rsid w:val="008E35C0"/>
    <w:rsid w:val="008E41C4"/>
    <w:rsid w:val="009065BE"/>
    <w:rsid w:val="00912BE7"/>
    <w:rsid w:val="00921D63"/>
    <w:rsid w:val="00933DBB"/>
    <w:rsid w:val="009474A8"/>
    <w:rsid w:val="00955C70"/>
    <w:rsid w:val="00960F70"/>
    <w:rsid w:val="00962BDF"/>
    <w:rsid w:val="00973892"/>
    <w:rsid w:val="00975E8C"/>
    <w:rsid w:val="009A1659"/>
    <w:rsid w:val="009B3651"/>
    <w:rsid w:val="009C4819"/>
    <w:rsid w:val="009D1C76"/>
    <w:rsid w:val="009D4FB2"/>
    <w:rsid w:val="00A059B6"/>
    <w:rsid w:val="00A249E0"/>
    <w:rsid w:val="00A51EB2"/>
    <w:rsid w:val="00A5756E"/>
    <w:rsid w:val="00A67FBD"/>
    <w:rsid w:val="00A71FA1"/>
    <w:rsid w:val="00AA0D34"/>
    <w:rsid w:val="00AC5036"/>
    <w:rsid w:val="00AF7B73"/>
    <w:rsid w:val="00B15DB5"/>
    <w:rsid w:val="00B363DB"/>
    <w:rsid w:val="00B54842"/>
    <w:rsid w:val="00B77D25"/>
    <w:rsid w:val="00BD1711"/>
    <w:rsid w:val="00BE696D"/>
    <w:rsid w:val="00C0518F"/>
    <w:rsid w:val="00C153E4"/>
    <w:rsid w:val="00C27C72"/>
    <w:rsid w:val="00C4252F"/>
    <w:rsid w:val="00C63241"/>
    <w:rsid w:val="00C75EB2"/>
    <w:rsid w:val="00C8072F"/>
    <w:rsid w:val="00CB008E"/>
    <w:rsid w:val="00CC7311"/>
    <w:rsid w:val="00CE6E67"/>
    <w:rsid w:val="00CF78C9"/>
    <w:rsid w:val="00D069A6"/>
    <w:rsid w:val="00D11697"/>
    <w:rsid w:val="00D22C92"/>
    <w:rsid w:val="00D263FF"/>
    <w:rsid w:val="00D31892"/>
    <w:rsid w:val="00D31CF1"/>
    <w:rsid w:val="00D412A8"/>
    <w:rsid w:val="00D548C5"/>
    <w:rsid w:val="00D54D0C"/>
    <w:rsid w:val="00D84AA5"/>
    <w:rsid w:val="00DB35F0"/>
    <w:rsid w:val="00DC76FF"/>
    <w:rsid w:val="00DD4299"/>
    <w:rsid w:val="00DF7D93"/>
    <w:rsid w:val="00E168F8"/>
    <w:rsid w:val="00E308E9"/>
    <w:rsid w:val="00E33978"/>
    <w:rsid w:val="00E64877"/>
    <w:rsid w:val="00E662F6"/>
    <w:rsid w:val="00E71D15"/>
    <w:rsid w:val="00E76B71"/>
    <w:rsid w:val="00E82135"/>
    <w:rsid w:val="00EA6DA8"/>
    <w:rsid w:val="00EB005C"/>
    <w:rsid w:val="00EB1BB3"/>
    <w:rsid w:val="00EE38B4"/>
    <w:rsid w:val="00EE5B12"/>
    <w:rsid w:val="00EE7267"/>
    <w:rsid w:val="00EF525D"/>
    <w:rsid w:val="00F01379"/>
    <w:rsid w:val="00F17AA1"/>
    <w:rsid w:val="00F21C68"/>
    <w:rsid w:val="00F324BE"/>
    <w:rsid w:val="00F33099"/>
    <w:rsid w:val="00F33551"/>
    <w:rsid w:val="00F37A64"/>
    <w:rsid w:val="00F62170"/>
    <w:rsid w:val="00F62748"/>
    <w:rsid w:val="00F6376E"/>
    <w:rsid w:val="00F65911"/>
    <w:rsid w:val="00F6797D"/>
    <w:rsid w:val="00F7173B"/>
    <w:rsid w:val="00F763AE"/>
    <w:rsid w:val="00F93906"/>
    <w:rsid w:val="00F9612A"/>
    <w:rsid w:val="00FB1B81"/>
    <w:rsid w:val="00FC169E"/>
    <w:rsid w:val="00FC5F4A"/>
    <w:rsid w:val="00FD3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E0DA9"/>
  <w14:defaultImageDpi w14:val="0"/>
  <w15:docId w15:val="{A143CEAF-B2E3-48E5-BA49-B1B357F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609"/>
    <w:rPr>
      <w:sz w:val="24"/>
      <w:lang w:eastAsia="en-US"/>
    </w:rPr>
  </w:style>
  <w:style w:type="paragraph" w:styleId="Heading1">
    <w:name w:val="heading 1"/>
    <w:basedOn w:val="Normal"/>
    <w:next w:val="Normal"/>
    <w:link w:val="Heading1Char"/>
    <w:uiPriority w:val="9"/>
    <w:qFormat/>
    <w:rsid w:val="00507609"/>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07609"/>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07609"/>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07609"/>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07609"/>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0760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507609"/>
    <w:pPr>
      <w:tabs>
        <w:tab w:val="left" w:pos="2400"/>
        <w:tab w:val="left" w:pos="2880"/>
      </w:tabs>
      <w:spacing w:before="1220" w:after="100"/>
    </w:pPr>
    <w:rPr>
      <w:rFonts w:ascii="Arial" w:hAnsi="Arial"/>
      <w:b/>
      <w:sz w:val="40"/>
    </w:rPr>
  </w:style>
  <w:style w:type="paragraph" w:customStyle="1" w:styleId="Amain">
    <w:name w:val="A main"/>
    <w:basedOn w:val="Normal"/>
    <w:rsid w:val="00507609"/>
    <w:pPr>
      <w:tabs>
        <w:tab w:val="right" w:pos="500"/>
        <w:tab w:val="left" w:pos="700"/>
      </w:tabs>
      <w:spacing w:before="80" w:after="60"/>
      <w:ind w:left="700" w:hanging="700"/>
      <w:jc w:val="both"/>
      <w:outlineLvl w:val="5"/>
    </w:pPr>
  </w:style>
  <w:style w:type="paragraph" w:customStyle="1" w:styleId="N-line3">
    <w:name w:val="N-line3"/>
    <w:basedOn w:val="Normal"/>
    <w:next w:val="Normal"/>
    <w:rsid w:val="00507609"/>
    <w:pPr>
      <w:pBdr>
        <w:bottom w:val="single" w:sz="12" w:space="1" w:color="auto"/>
      </w:pBdr>
      <w:jc w:val="both"/>
    </w:pPr>
  </w:style>
  <w:style w:type="paragraph" w:customStyle="1" w:styleId="madeunder">
    <w:name w:val="made under"/>
    <w:basedOn w:val="Normal"/>
    <w:rsid w:val="00507609"/>
    <w:pPr>
      <w:spacing w:before="180" w:after="60"/>
      <w:jc w:val="both"/>
    </w:pPr>
  </w:style>
  <w:style w:type="paragraph" w:customStyle="1" w:styleId="CoverActName">
    <w:name w:val="CoverActName"/>
    <w:basedOn w:val="Normal"/>
    <w:rsid w:val="00507609"/>
    <w:pPr>
      <w:tabs>
        <w:tab w:val="left" w:pos="2600"/>
      </w:tabs>
      <w:spacing w:before="200" w:after="60"/>
      <w:jc w:val="both"/>
    </w:pPr>
    <w:rPr>
      <w:rFonts w:ascii="Arial" w:hAnsi="Arial"/>
      <w:b/>
    </w:rPr>
  </w:style>
  <w:style w:type="paragraph" w:customStyle="1" w:styleId="06Copyright">
    <w:name w:val="06Copyright"/>
    <w:basedOn w:val="Normal"/>
    <w:rsid w:val="00507609"/>
    <w:pPr>
      <w:tabs>
        <w:tab w:val="left" w:pos="2880"/>
      </w:tabs>
    </w:pPr>
  </w:style>
  <w:style w:type="paragraph" w:customStyle="1" w:styleId="Apara">
    <w:name w:val="A para"/>
    <w:basedOn w:val="Normal"/>
    <w:rsid w:val="00507609"/>
    <w:pPr>
      <w:numPr>
        <w:ilvl w:val="6"/>
        <w:numId w:val="9"/>
      </w:numPr>
      <w:spacing w:before="80" w:after="60"/>
      <w:jc w:val="both"/>
      <w:outlineLvl w:val="6"/>
    </w:pPr>
  </w:style>
  <w:style w:type="paragraph" w:customStyle="1" w:styleId="Asubpara">
    <w:name w:val="A subpara"/>
    <w:basedOn w:val="Normal"/>
    <w:rsid w:val="00507609"/>
    <w:pPr>
      <w:numPr>
        <w:ilvl w:val="7"/>
        <w:numId w:val="9"/>
      </w:numPr>
      <w:spacing w:before="80" w:after="60"/>
      <w:jc w:val="both"/>
      <w:outlineLvl w:val="7"/>
    </w:pPr>
  </w:style>
  <w:style w:type="paragraph" w:customStyle="1" w:styleId="Asubsubpara">
    <w:name w:val="A subsubpara"/>
    <w:basedOn w:val="Normal"/>
    <w:rsid w:val="00507609"/>
    <w:pPr>
      <w:numPr>
        <w:ilvl w:val="8"/>
        <w:numId w:val="9"/>
      </w:numPr>
      <w:spacing w:before="80" w:after="60"/>
      <w:jc w:val="both"/>
      <w:outlineLvl w:val="8"/>
    </w:pPr>
  </w:style>
  <w:style w:type="paragraph" w:customStyle="1" w:styleId="AH5Sec">
    <w:name w:val="A H5 Sec"/>
    <w:basedOn w:val="Normal"/>
    <w:next w:val="Amain"/>
    <w:rsid w:val="00507609"/>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07609"/>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507609"/>
    <w:pPr>
      <w:spacing w:after="60"/>
      <w:jc w:val="both"/>
    </w:pPr>
    <w:rPr>
      <w:sz w:val="18"/>
    </w:rPr>
  </w:style>
  <w:style w:type="character" w:customStyle="1" w:styleId="CharDivText">
    <w:name w:val="CharDivText"/>
    <w:basedOn w:val="DefaultParagraphFont"/>
    <w:rsid w:val="00507609"/>
    <w:rPr>
      <w:rFonts w:cs="Times New Roman"/>
    </w:rPr>
  </w:style>
  <w:style w:type="paragraph" w:customStyle="1" w:styleId="CoverInForce">
    <w:name w:val="CoverInForce"/>
    <w:basedOn w:val="Normal"/>
    <w:rsid w:val="00507609"/>
    <w:pPr>
      <w:tabs>
        <w:tab w:val="left" w:pos="2600"/>
      </w:tabs>
      <w:spacing w:before="200" w:after="60"/>
      <w:jc w:val="both"/>
    </w:pPr>
    <w:rPr>
      <w:rFonts w:ascii="Arial" w:hAnsi="Arial"/>
    </w:rPr>
  </w:style>
  <w:style w:type="paragraph" w:customStyle="1" w:styleId="AFHdg">
    <w:name w:val="AFHdg"/>
    <w:basedOn w:val="Normal"/>
    <w:rsid w:val="00507609"/>
    <w:pPr>
      <w:tabs>
        <w:tab w:val="left" w:pos="2600"/>
      </w:tabs>
      <w:spacing w:before="80" w:after="60"/>
      <w:jc w:val="both"/>
    </w:pPr>
    <w:rPr>
      <w:rFonts w:ascii="Arial" w:hAnsi="Arial"/>
      <w:b/>
      <w:sz w:val="32"/>
    </w:rPr>
  </w:style>
  <w:style w:type="paragraph" w:customStyle="1" w:styleId="ApprFormHd">
    <w:name w:val="ApprFormHd"/>
    <w:basedOn w:val="Normal"/>
    <w:rsid w:val="0050760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07609"/>
    <w:rPr>
      <w:rFonts w:cs="Times New Roman"/>
    </w:rPr>
  </w:style>
  <w:style w:type="paragraph" w:customStyle="1" w:styleId="Aparabullet">
    <w:name w:val="A para bullet"/>
    <w:basedOn w:val="Normal"/>
    <w:rsid w:val="00507609"/>
    <w:pPr>
      <w:numPr>
        <w:numId w:val="4"/>
      </w:numPr>
    </w:pPr>
  </w:style>
  <w:style w:type="paragraph" w:styleId="TOC1">
    <w:name w:val="toc 1"/>
    <w:basedOn w:val="Normal"/>
    <w:next w:val="Normal"/>
    <w:autoRedefine/>
    <w:uiPriority w:val="39"/>
    <w:semiHidden/>
    <w:rsid w:val="00507609"/>
  </w:style>
  <w:style w:type="paragraph" w:styleId="TOC2">
    <w:name w:val="toc 2"/>
    <w:basedOn w:val="Normal"/>
    <w:next w:val="Normal"/>
    <w:autoRedefine/>
    <w:uiPriority w:val="39"/>
    <w:semiHidden/>
    <w:rsid w:val="00507609"/>
    <w:pPr>
      <w:ind w:left="240"/>
    </w:pPr>
  </w:style>
  <w:style w:type="paragraph" w:styleId="TOC3">
    <w:name w:val="toc 3"/>
    <w:basedOn w:val="Normal"/>
    <w:next w:val="Normal"/>
    <w:autoRedefine/>
    <w:uiPriority w:val="39"/>
    <w:semiHidden/>
    <w:rsid w:val="00507609"/>
    <w:pPr>
      <w:ind w:left="480"/>
    </w:pPr>
  </w:style>
  <w:style w:type="paragraph" w:styleId="TOC4">
    <w:name w:val="toc 4"/>
    <w:basedOn w:val="Normal"/>
    <w:next w:val="Normal"/>
    <w:autoRedefine/>
    <w:uiPriority w:val="39"/>
    <w:semiHidden/>
    <w:rsid w:val="00507609"/>
    <w:pPr>
      <w:ind w:left="720"/>
    </w:pPr>
  </w:style>
  <w:style w:type="paragraph" w:styleId="TOC5">
    <w:name w:val="toc 5"/>
    <w:basedOn w:val="Normal"/>
    <w:next w:val="Normal"/>
    <w:autoRedefine/>
    <w:uiPriority w:val="39"/>
    <w:semiHidden/>
    <w:rsid w:val="00507609"/>
    <w:pPr>
      <w:ind w:left="960"/>
    </w:pPr>
  </w:style>
  <w:style w:type="paragraph" w:styleId="TOC6">
    <w:name w:val="toc 6"/>
    <w:basedOn w:val="Normal"/>
    <w:next w:val="Normal"/>
    <w:autoRedefine/>
    <w:uiPriority w:val="39"/>
    <w:semiHidden/>
    <w:rsid w:val="00507609"/>
    <w:pPr>
      <w:ind w:left="1200"/>
    </w:pPr>
  </w:style>
  <w:style w:type="paragraph" w:styleId="TOC7">
    <w:name w:val="toc 7"/>
    <w:basedOn w:val="Normal"/>
    <w:next w:val="Normal"/>
    <w:autoRedefine/>
    <w:uiPriority w:val="39"/>
    <w:semiHidden/>
    <w:rsid w:val="00507609"/>
    <w:pPr>
      <w:ind w:left="1440"/>
    </w:pPr>
  </w:style>
  <w:style w:type="paragraph" w:styleId="TOC8">
    <w:name w:val="toc 8"/>
    <w:basedOn w:val="Normal"/>
    <w:next w:val="Normal"/>
    <w:autoRedefine/>
    <w:uiPriority w:val="39"/>
    <w:semiHidden/>
    <w:rsid w:val="00507609"/>
    <w:pPr>
      <w:ind w:left="1680"/>
    </w:pPr>
  </w:style>
  <w:style w:type="paragraph" w:styleId="TOC9">
    <w:name w:val="toc 9"/>
    <w:basedOn w:val="Normal"/>
    <w:next w:val="Normal"/>
    <w:autoRedefine/>
    <w:uiPriority w:val="39"/>
    <w:semiHidden/>
    <w:rsid w:val="00507609"/>
    <w:pPr>
      <w:ind w:left="1920"/>
    </w:pPr>
  </w:style>
  <w:style w:type="character" w:styleId="Hyperlink">
    <w:name w:val="Hyperlink"/>
    <w:basedOn w:val="DefaultParagraphFont"/>
    <w:uiPriority w:val="99"/>
    <w:rsid w:val="00507609"/>
    <w:rPr>
      <w:rFonts w:cs="Times New Roman"/>
      <w:color w:val="0000FF"/>
      <w:u w:val="single"/>
    </w:rPr>
  </w:style>
  <w:style w:type="paragraph" w:styleId="BodyTextIndent">
    <w:name w:val="Body Text Indent"/>
    <w:basedOn w:val="Normal"/>
    <w:link w:val="BodyTextIndentChar"/>
    <w:uiPriority w:val="99"/>
    <w:rsid w:val="00507609"/>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507609"/>
    <w:pPr>
      <w:spacing w:before="880" w:after="60"/>
      <w:jc w:val="right"/>
    </w:pPr>
    <w:rPr>
      <w:caps/>
      <w:szCs w:val="24"/>
    </w:rPr>
  </w:style>
  <w:style w:type="paragraph" w:customStyle="1" w:styleId="DateLine">
    <w:name w:val="DateLine"/>
    <w:basedOn w:val="Normal"/>
    <w:rsid w:val="00507609"/>
    <w:pPr>
      <w:tabs>
        <w:tab w:val="left" w:pos="4320"/>
      </w:tabs>
      <w:spacing w:before="80" w:after="60"/>
      <w:jc w:val="both"/>
    </w:pPr>
    <w:rPr>
      <w:szCs w:val="24"/>
    </w:rPr>
  </w:style>
  <w:style w:type="paragraph" w:customStyle="1" w:styleId="MinisterWord">
    <w:name w:val="MinisterWord"/>
    <w:basedOn w:val="Normal"/>
    <w:rsid w:val="00507609"/>
    <w:pPr>
      <w:tabs>
        <w:tab w:val="left" w:pos="2880"/>
      </w:tabs>
      <w:jc w:val="right"/>
    </w:pPr>
    <w:rPr>
      <w:szCs w:val="24"/>
    </w:rPr>
  </w:style>
  <w:style w:type="character" w:styleId="FollowedHyperlink">
    <w:name w:val="FollowedHyperlink"/>
    <w:basedOn w:val="DefaultParagraphFont"/>
    <w:uiPriority w:val="99"/>
    <w:rsid w:val="00507609"/>
    <w:rPr>
      <w:rFonts w:cs="Times New Roman"/>
      <w:color w:val="800080"/>
      <w:u w:val="single"/>
    </w:rPr>
  </w:style>
  <w:style w:type="character" w:styleId="FootnoteReference">
    <w:name w:val="footnote reference"/>
    <w:basedOn w:val="DefaultParagraphFont"/>
    <w:uiPriority w:val="99"/>
    <w:semiHidden/>
    <w:rsid w:val="00507609"/>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07609"/>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50760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07609"/>
    <w:rPr>
      <w:rFonts w:cs="Times New Roman"/>
    </w:rPr>
  </w:style>
  <w:style w:type="paragraph" w:styleId="ListParagraph">
    <w:name w:val="List Paragraph"/>
    <w:basedOn w:val="Normal"/>
    <w:uiPriority w:val="34"/>
    <w:qFormat/>
    <w:rsid w:val="00C0518F"/>
    <w:pPr>
      <w:ind w:left="720"/>
    </w:pPr>
    <w:rPr>
      <w:rFonts w:ascii="Calibri" w:hAnsi="Calibri" w:cs="Calibri"/>
      <w:sz w:val="22"/>
      <w:szCs w:val="22"/>
      <w:lang w:eastAsia="en-AU"/>
    </w:rPr>
  </w:style>
  <w:style w:type="paragraph" w:customStyle="1" w:styleId="BSbullet10">
    <w:name w:val="BS_bullet 1_0"/>
    <w:basedOn w:val="Normal"/>
    <w:link w:val="BSbullet1Char0"/>
    <w:qFormat/>
    <w:rsid w:val="00C0518F"/>
    <w:pPr>
      <w:numPr>
        <w:numId w:val="12"/>
      </w:numPr>
      <w:spacing w:before="200" w:after="120"/>
    </w:pPr>
    <w:rPr>
      <w:rFonts w:ascii="Calibri" w:hAnsi="Calibri"/>
      <w:szCs w:val="24"/>
    </w:rPr>
  </w:style>
  <w:style w:type="character" w:customStyle="1" w:styleId="BSbullet1Char0">
    <w:name w:val="BS_bullet 1 Char_0"/>
    <w:basedOn w:val="DefaultParagraphFont"/>
    <w:link w:val="BSbullet10"/>
    <w:locked/>
    <w:rsid w:val="00C0518F"/>
    <w:rPr>
      <w:rFonts w:ascii="Calibri" w:hAnsi="Calibri" w:cs="Times New Roman"/>
      <w:sz w:val="24"/>
      <w:szCs w:val="24"/>
      <w:lang w:val="x-none" w:eastAsia="en-US"/>
    </w:rPr>
  </w:style>
  <w:style w:type="paragraph" w:customStyle="1" w:styleId="BSbullet12">
    <w:name w:val="BS_bullet 1_2"/>
    <w:basedOn w:val="Normal"/>
    <w:link w:val="BSbullet1Char2"/>
    <w:qFormat/>
    <w:rsid w:val="00C0518F"/>
    <w:pPr>
      <w:numPr>
        <w:numId w:val="13"/>
      </w:numPr>
      <w:tabs>
        <w:tab w:val="clear" w:pos="360"/>
      </w:tabs>
      <w:spacing w:before="200" w:after="120"/>
      <w:jc w:val="both"/>
    </w:pPr>
    <w:rPr>
      <w:rFonts w:ascii="Calibri" w:hAnsi="Calibri"/>
      <w:szCs w:val="24"/>
    </w:rPr>
  </w:style>
  <w:style w:type="character" w:customStyle="1" w:styleId="BSbullet1Char2">
    <w:name w:val="BS_bullet 1 Char_2"/>
    <w:basedOn w:val="DefaultParagraphFont"/>
    <w:link w:val="BSbullet12"/>
    <w:locked/>
    <w:rsid w:val="00C0518F"/>
    <w:rPr>
      <w:rFonts w:ascii="Calibri" w:hAnsi="Calibri" w:cs="Times New Roman"/>
      <w:sz w:val="24"/>
      <w:szCs w:val="24"/>
      <w:lang w:val="x-none" w:eastAsia="en-US"/>
    </w:rPr>
  </w:style>
  <w:style w:type="paragraph" w:styleId="BodyText2">
    <w:name w:val="Body Text 2"/>
    <w:basedOn w:val="Normal"/>
    <w:link w:val="BodyText2Char"/>
    <w:uiPriority w:val="99"/>
    <w:semiHidden/>
    <w:unhideWhenUsed/>
    <w:rsid w:val="004D6315"/>
    <w:pPr>
      <w:spacing w:after="120" w:line="480" w:lineRule="auto"/>
    </w:pPr>
  </w:style>
  <w:style w:type="character" w:customStyle="1" w:styleId="BodyText2Char">
    <w:name w:val="Body Text 2 Char"/>
    <w:basedOn w:val="DefaultParagraphFont"/>
    <w:link w:val="BodyText2"/>
    <w:uiPriority w:val="99"/>
    <w:semiHidden/>
    <w:locked/>
    <w:rsid w:val="004D6315"/>
    <w:rPr>
      <w:rFonts w:cs="Times New Roman"/>
      <w:sz w:val="24"/>
      <w:lang w:val="x-none" w:eastAsia="en-US"/>
    </w:rPr>
  </w:style>
  <w:style w:type="paragraph" w:styleId="BodyText3">
    <w:name w:val="Body Text 3"/>
    <w:basedOn w:val="Normal"/>
    <w:link w:val="BodyText3Char"/>
    <w:uiPriority w:val="99"/>
    <w:semiHidden/>
    <w:unhideWhenUsed/>
    <w:rsid w:val="004D6315"/>
    <w:pPr>
      <w:spacing w:after="120"/>
    </w:pPr>
    <w:rPr>
      <w:sz w:val="16"/>
      <w:szCs w:val="16"/>
    </w:rPr>
  </w:style>
  <w:style w:type="character" w:customStyle="1" w:styleId="BodyText3Char">
    <w:name w:val="Body Text 3 Char"/>
    <w:basedOn w:val="DefaultParagraphFont"/>
    <w:link w:val="BodyText3"/>
    <w:uiPriority w:val="99"/>
    <w:semiHidden/>
    <w:locked/>
    <w:rsid w:val="004D6315"/>
    <w:rPr>
      <w:rFonts w:cs="Times New Roman"/>
      <w:sz w:val="16"/>
      <w:szCs w:val="16"/>
      <w:lang w:val="x-none" w:eastAsia="en-US"/>
    </w:rPr>
  </w:style>
  <w:style w:type="paragraph" w:styleId="BalloonText">
    <w:name w:val="Balloon Text"/>
    <w:basedOn w:val="Normal"/>
    <w:link w:val="BalloonTextChar"/>
    <w:uiPriority w:val="99"/>
    <w:semiHidden/>
    <w:unhideWhenUsed/>
    <w:rsid w:val="0010402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402F"/>
    <w:rPr>
      <w:rFonts w:ascii="Segoe UI" w:hAnsi="Segoe UI" w:cs="Segoe UI"/>
      <w:sz w:val="18"/>
      <w:szCs w:val="18"/>
      <w:lang w:val="x-none" w:eastAsia="en-US"/>
    </w:rPr>
  </w:style>
  <w:style w:type="character" w:styleId="CommentReference">
    <w:name w:val="annotation reference"/>
    <w:basedOn w:val="DefaultParagraphFont"/>
    <w:semiHidden/>
    <w:unhideWhenUsed/>
    <w:rsid w:val="00921D63"/>
    <w:rPr>
      <w:sz w:val="16"/>
      <w:szCs w:val="16"/>
    </w:rPr>
  </w:style>
  <w:style w:type="paragraph" w:styleId="CommentText">
    <w:name w:val="annotation text"/>
    <w:basedOn w:val="Normal"/>
    <w:link w:val="CommentTextChar"/>
    <w:semiHidden/>
    <w:unhideWhenUsed/>
    <w:rsid w:val="00921D63"/>
    <w:rPr>
      <w:sz w:val="20"/>
    </w:rPr>
  </w:style>
  <w:style w:type="character" w:customStyle="1" w:styleId="CommentTextChar">
    <w:name w:val="Comment Text Char"/>
    <w:basedOn w:val="DefaultParagraphFont"/>
    <w:link w:val="CommentText"/>
    <w:semiHidden/>
    <w:rsid w:val="00921D63"/>
    <w:rPr>
      <w:lang w:eastAsia="en-US"/>
    </w:rPr>
  </w:style>
  <w:style w:type="paragraph" w:styleId="CommentSubject">
    <w:name w:val="annotation subject"/>
    <w:basedOn w:val="CommentText"/>
    <w:next w:val="CommentText"/>
    <w:link w:val="CommentSubjectChar"/>
    <w:semiHidden/>
    <w:unhideWhenUsed/>
    <w:rsid w:val="00921D63"/>
    <w:rPr>
      <w:b/>
      <w:bCs/>
    </w:rPr>
  </w:style>
  <w:style w:type="character" w:customStyle="1" w:styleId="CommentSubjectChar">
    <w:name w:val="Comment Subject Char"/>
    <w:basedOn w:val="CommentTextChar"/>
    <w:link w:val="CommentSubject"/>
    <w:semiHidden/>
    <w:rsid w:val="00921D63"/>
    <w:rPr>
      <w:b/>
      <w:bCs/>
      <w:lang w:eastAsia="en-US"/>
    </w:rPr>
  </w:style>
  <w:style w:type="paragraph" w:customStyle="1" w:styleId="Recommentations">
    <w:name w:val="Recommentations"/>
    <w:basedOn w:val="Normal"/>
    <w:link w:val="RecommentationsChar"/>
    <w:qFormat/>
    <w:rsid w:val="00631133"/>
    <w:pPr>
      <w:numPr>
        <w:numId w:val="18"/>
      </w:numPr>
      <w:spacing w:after="120"/>
    </w:pPr>
    <w:rPr>
      <w:rFonts w:ascii="Calibri" w:hAnsi="Calibri"/>
    </w:rPr>
  </w:style>
  <w:style w:type="character" w:customStyle="1" w:styleId="RecommentationsChar">
    <w:name w:val="Recommentations Char"/>
    <w:link w:val="Recommentations"/>
    <w:rsid w:val="00631133"/>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55F0-56DC-497F-BEDA-45749FBE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3607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2020-10-28T02:20:00Z</cp:lastPrinted>
  <dcterms:created xsi:type="dcterms:W3CDTF">2020-10-28T23:37:00Z</dcterms:created>
  <dcterms:modified xsi:type="dcterms:W3CDTF">2020-10-28T23:37:00Z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1260937</vt:lpwstr>
  </property>
  <property fmtid="{D5CDD505-2E9C-101B-9397-08002B2CF9AE}" pid="4" name="JMSREQUIREDCHECKIN">
    <vt:lpwstr/>
  </property>
</Properties>
</file>