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99A9E"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A2D592A" w14:textId="77777777" w:rsidR="00954BB9" w:rsidRPr="00AE30D3" w:rsidRDefault="00954BB9" w:rsidP="003857EE">
      <w:pPr>
        <w:spacing w:before="700" w:after="100"/>
        <w:ind w:right="-312"/>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0"/>
      <w:r w:rsidR="00EE01D0">
        <w:rPr>
          <w:rFonts w:ascii="Arial" w:hAnsi="Arial" w:cs="Arial"/>
          <w:b/>
          <w:bCs/>
          <w:sz w:val="40"/>
          <w:szCs w:val="28"/>
        </w:rPr>
        <w:t>20</w:t>
      </w:r>
      <w:r w:rsidR="006671E5">
        <w:rPr>
          <w:rFonts w:ascii="Arial" w:hAnsi="Arial" w:cs="Arial"/>
          <w:b/>
          <w:bCs/>
          <w:sz w:val="40"/>
          <w:szCs w:val="28"/>
        </w:rPr>
        <w:t xml:space="preserve"> (No </w:t>
      </w:r>
      <w:r w:rsidR="00292332">
        <w:rPr>
          <w:rFonts w:ascii="Arial" w:hAnsi="Arial" w:cs="Arial"/>
          <w:b/>
          <w:bCs/>
          <w:sz w:val="40"/>
          <w:szCs w:val="28"/>
        </w:rPr>
        <w:t>3</w:t>
      </w:r>
      <w:r w:rsidR="006F513F" w:rsidRPr="00AE30D3">
        <w:rPr>
          <w:rFonts w:ascii="Arial" w:hAnsi="Arial" w:cs="Arial"/>
          <w:b/>
          <w:bCs/>
          <w:sz w:val="40"/>
          <w:szCs w:val="28"/>
        </w:rPr>
        <w:t>)</w:t>
      </w:r>
    </w:p>
    <w:p w14:paraId="68C2A22E"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EE01D0">
        <w:rPr>
          <w:rFonts w:ascii="Arial" w:hAnsi="Arial" w:cs="Arial"/>
          <w:b/>
          <w:bCs/>
        </w:rPr>
        <w:t>20</w:t>
      </w:r>
      <w:r w:rsidRPr="00AE30D3">
        <w:rPr>
          <w:rFonts w:ascii="Arial" w:hAnsi="Arial" w:cs="Arial"/>
          <w:b/>
          <w:bCs/>
        </w:rPr>
        <w:t>-</w:t>
      </w:r>
      <w:r w:rsidRPr="00AE30D3">
        <w:rPr>
          <w:rFonts w:ascii="Arial" w:hAnsi="Arial" w:cs="Arial"/>
          <w:b/>
          <w:bCs/>
        </w:rPr>
        <w:fldChar w:fldCharType="end"/>
      </w:r>
      <w:r w:rsidR="008F2277">
        <w:rPr>
          <w:rFonts w:ascii="Arial" w:hAnsi="Arial" w:cs="Arial"/>
          <w:b/>
          <w:bCs/>
        </w:rPr>
        <w:t>295</w:t>
      </w:r>
    </w:p>
    <w:p w14:paraId="0DD4BD91" w14:textId="77777777" w:rsidR="00954BB9" w:rsidRPr="00AE30D3" w:rsidRDefault="00954BB9">
      <w:pPr>
        <w:spacing w:before="60" w:after="60"/>
        <w:rPr>
          <w:rFonts w:ascii="Arial" w:hAnsi="Arial" w:cs="Arial"/>
          <w:b/>
          <w:bCs/>
          <w:sz w:val="20"/>
        </w:rPr>
      </w:pPr>
    </w:p>
    <w:p w14:paraId="35792B02"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0473C293" w14:textId="77777777" w:rsidR="00954BB9" w:rsidRPr="00AE30D3" w:rsidRDefault="00954BB9">
      <w:pPr>
        <w:pStyle w:val="N-line3"/>
        <w:pBdr>
          <w:bottom w:val="none" w:sz="0" w:space="0" w:color="auto"/>
        </w:pBdr>
      </w:pPr>
    </w:p>
    <w:p w14:paraId="67FC2285" w14:textId="77777777" w:rsidR="00954BB9" w:rsidRPr="00AE30D3" w:rsidRDefault="00954BB9">
      <w:pPr>
        <w:pStyle w:val="BillBasic"/>
        <w:rPr>
          <w:b/>
          <w:bCs/>
        </w:rPr>
      </w:pPr>
      <w:r w:rsidRPr="00AE30D3">
        <w:rPr>
          <w:b/>
          <w:bCs/>
        </w:rPr>
        <w:t>EXPLANATORY STATEMENT</w:t>
      </w:r>
    </w:p>
    <w:p w14:paraId="4EC52D18" w14:textId="77777777" w:rsidR="00954BB9" w:rsidRPr="00AE30D3" w:rsidRDefault="00954BB9">
      <w:pPr>
        <w:pStyle w:val="N-line3"/>
        <w:pBdr>
          <w:top w:val="single" w:sz="12" w:space="1" w:color="auto"/>
          <w:bottom w:val="none" w:sz="0" w:space="0" w:color="auto"/>
        </w:pBdr>
      </w:pPr>
    </w:p>
    <w:p w14:paraId="7D5FD751"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60D44A51" w14:textId="77777777" w:rsidR="00954BB9" w:rsidRPr="00AE30D3" w:rsidRDefault="00954BB9">
      <w:pPr>
        <w:pStyle w:val="RenumProvEntries"/>
        <w:spacing w:before="0"/>
        <w:rPr>
          <w:rFonts w:ascii="Times New Roman" w:hAnsi="Times New Roman"/>
        </w:rPr>
      </w:pPr>
    </w:p>
    <w:p w14:paraId="4B33E40F"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20C0FD1A" w14:textId="77777777" w:rsidR="00954BB9" w:rsidRPr="00AE30D3" w:rsidRDefault="00954BB9">
      <w:pPr>
        <w:pStyle w:val="RenumProvEntries"/>
        <w:spacing w:before="0"/>
        <w:rPr>
          <w:rFonts w:ascii="Times New Roman" w:hAnsi="Times New Roman"/>
          <w:sz w:val="24"/>
          <w:szCs w:val="24"/>
        </w:rPr>
      </w:pPr>
    </w:p>
    <w:p w14:paraId="26BA8645"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5CBDC4E7" w14:textId="77777777" w:rsidR="00954BB9" w:rsidRPr="00AE30D3" w:rsidRDefault="00954BB9">
      <w:pPr>
        <w:pStyle w:val="Header"/>
        <w:tabs>
          <w:tab w:val="clear" w:pos="4153"/>
          <w:tab w:val="clear" w:pos="8306"/>
        </w:tabs>
      </w:pPr>
    </w:p>
    <w:p w14:paraId="7737C8D3"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322050F9" w14:textId="77777777" w:rsidR="00954BB9" w:rsidRPr="00AE30D3" w:rsidRDefault="00954BB9">
      <w:pPr>
        <w:pStyle w:val="RenumProvEntries"/>
        <w:spacing w:before="0"/>
        <w:rPr>
          <w:rFonts w:ascii="Times New Roman" w:hAnsi="Times New Roman"/>
          <w:sz w:val="24"/>
          <w:szCs w:val="24"/>
        </w:rPr>
      </w:pPr>
    </w:p>
    <w:p w14:paraId="1CCF1FEC" w14:textId="77777777" w:rsidR="00E932BB" w:rsidRDefault="002D48F1" w:rsidP="00C50855">
      <w:pPr>
        <w:ind w:right="-312"/>
      </w:pPr>
      <w:r>
        <w:t>The</w:t>
      </w:r>
      <w:r w:rsidR="00954BB9" w:rsidRPr="00AE30D3">
        <w:t xml:space="preserve"> Instrument revoke</w:t>
      </w:r>
      <w:r w:rsidR="00AF1977" w:rsidRPr="00AE30D3">
        <w:t>s dis</w:t>
      </w:r>
      <w:r w:rsidR="000201AD" w:rsidRPr="00AE30D3">
        <w:t xml:space="preserve">allowable instrument </w:t>
      </w:r>
      <w:r w:rsidR="00DF1A65">
        <w:t>DI20</w:t>
      </w:r>
      <w:r w:rsidR="003857EE">
        <w:t>20</w:t>
      </w:r>
      <w:r w:rsidR="007F3C7E">
        <w:t>-</w:t>
      </w:r>
      <w:r w:rsidR="003857EE">
        <w:t>146</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salary allocations</w:t>
      </w:r>
      <w:r w:rsidR="00293F4A" w:rsidRPr="00AE30D3">
        <w:t xml:space="preserve"> </w:t>
      </w:r>
      <w:r w:rsidR="006671E5">
        <w:t>for the 20</w:t>
      </w:r>
      <w:r w:rsidR="003857EE">
        <w:t>20</w:t>
      </w:r>
      <w:r w:rsidR="006671E5">
        <w:t>–20</w:t>
      </w:r>
      <w:r w:rsidR="00EE01D0">
        <w:t>2</w:t>
      </w:r>
      <w:r w:rsidR="003857EE">
        <w:t>1</w:t>
      </w:r>
      <w:r w:rsidR="00AF1977" w:rsidRPr="00AE30D3">
        <w:t xml:space="preserve"> financial year</w:t>
      </w:r>
      <w:r w:rsidR="00954BB9" w:rsidRPr="00AE30D3">
        <w:t>.</w:t>
      </w:r>
      <w:r w:rsidR="00F67ECF" w:rsidRPr="00AE30D3">
        <w:t xml:space="preserve"> </w:t>
      </w:r>
    </w:p>
    <w:p w14:paraId="510874CE" w14:textId="77777777" w:rsidR="00355652" w:rsidRDefault="00355652" w:rsidP="00E22B40">
      <w:pPr>
        <w:ind w:right="-312"/>
      </w:pPr>
    </w:p>
    <w:p w14:paraId="4C75D508" w14:textId="77777777" w:rsidR="00BB3861" w:rsidRDefault="00BA0487" w:rsidP="00E22B40">
      <w:pPr>
        <w:ind w:right="-312"/>
      </w:pPr>
      <w:r w:rsidRPr="00AE30D3">
        <w:t>The ins</w:t>
      </w:r>
      <w:r>
        <w:t xml:space="preserve">trument determines </w:t>
      </w:r>
      <w:r w:rsidR="003B2EA2">
        <w:t>new</w:t>
      </w:r>
      <w:r w:rsidR="00BB3861">
        <w:t xml:space="preserve"> </w:t>
      </w:r>
      <w:r>
        <w:t xml:space="preserve">allocations </w:t>
      </w:r>
      <w:r w:rsidRPr="00AE30D3">
        <w:t xml:space="preserve">for </w:t>
      </w:r>
      <w:r>
        <w:t xml:space="preserve">non-Executive </w:t>
      </w:r>
      <w:r w:rsidR="00BB3861">
        <w:t>m</w:t>
      </w:r>
      <w:r>
        <w:t xml:space="preserve">embers </w:t>
      </w:r>
      <w:r w:rsidR="00BB3861">
        <w:t xml:space="preserve">following the declaration of the poll for the tenth Legislative Assembly. </w:t>
      </w:r>
      <w:r w:rsidR="005774AC">
        <w:t>The allocations for Opposition Leader and Deputy Opposition Leader have been increased with the agreement of the Chief Minister from the previous allocation for the 2020–2021</w:t>
      </w:r>
      <w:r w:rsidR="005774AC" w:rsidRPr="00AE30D3">
        <w:t xml:space="preserve"> financial year</w:t>
      </w:r>
      <w:r w:rsidR="005774AC">
        <w:t xml:space="preserve">. </w:t>
      </w:r>
      <w:r w:rsidR="00BB3861">
        <w:t xml:space="preserve">The </w:t>
      </w:r>
      <w:r>
        <w:t>separate</w:t>
      </w:r>
      <w:r w:rsidRPr="00AE30D3">
        <w:t xml:space="preserve"> </w:t>
      </w:r>
      <w:r w:rsidR="00BB3861">
        <w:t>allo</w:t>
      </w:r>
      <w:r w:rsidR="00AF4028">
        <w:t>cation for party whips has been extended to include</w:t>
      </w:r>
      <w:r>
        <w:t xml:space="preserve"> the </w:t>
      </w:r>
      <w:r w:rsidR="00BB3861">
        <w:t>ACT Greens whip</w:t>
      </w:r>
      <w:r w:rsidR="005774AC">
        <w:t xml:space="preserve"> at the same level as</w:t>
      </w:r>
      <w:r w:rsidR="00BB3861">
        <w:t xml:space="preserve"> the </w:t>
      </w:r>
      <w:r>
        <w:t>Government whip and the Opposition whip</w:t>
      </w:r>
      <w:r w:rsidRPr="00AE30D3">
        <w:t xml:space="preserve">. </w:t>
      </w:r>
      <w:r w:rsidR="00D6757F">
        <w:t>In addition, t</w:t>
      </w:r>
      <w:r w:rsidR="00BB3861">
        <w:t xml:space="preserve">he instrument </w:t>
      </w:r>
      <w:r w:rsidR="005774AC">
        <w:rPr>
          <w:rStyle w:val="Calibri12"/>
        </w:rPr>
        <w:t>removes the separate allocation for Crossbench members</w:t>
      </w:r>
      <w:r w:rsidR="005774AC">
        <w:t xml:space="preserve"> (there previously </w:t>
      </w:r>
      <w:r w:rsidR="001265D3">
        <w:t xml:space="preserve">being </w:t>
      </w:r>
      <w:r w:rsidR="005774AC">
        <w:t xml:space="preserve">one ACT Greens non-Executive MLA forming the Crossbench in the nineth Legislative Assembly) </w:t>
      </w:r>
      <w:r w:rsidR="00BB3861">
        <w:t>a</w:t>
      </w:r>
      <w:r w:rsidR="005774AC">
        <w:t>nd</w:t>
      </w:r>
      <w:r w:rsidR="00BB3861">
        <w:t xml:space="preserve"> sets the allocation for </w:t>
      </w:r>
      <w:r w:rsidR="00BB3861">
        <w:rPr>
          <w:rStyle w:val="Calibri12"/>
        </w:rPr>
        <w:t xml:space="preserve">the other ACT Greens non-Executive </w:t>
      </w:r>
      <w:r w:rsidR="00AF4028">
        <w:rPr>
          <w:rStyle w:val="Calibri12"/>
        </w:rPr>
        <w:t>m</w:t>
      </w:r>
      <w:r w:rsidR="00BB3861">
        <w:rPr>
          <w:rStyle w:val="Calibri12"/>
        </w:rPr>
        <w:t xml:space="preserve">embers </w:t>
      </w:r>
      <w:r w:rsidR="005774AC">
        <w:rPr>
          <w:rStyle w:val="Calibri12"/>
        </w:rPr>
        <w:t xml:space="preserve">in the tenth Legislative Assembly </w:t>
      </w:r>
      <w:r w:rsidR="00BB3861">
        <w:rPr>
          <w:rStyle w:val="Calibri12"/>
        </w:rPr>
        <w:t xml:space="preserve">at the same level as Government and Opposition backbench </w:t>
      </w:r>
      <w:r w:rsidR="00AF0CE2">
        <w:rPr>
          <w:rStyle w:val="Calibri12"/>
        </w:rPr>
        <w:t>m</w:t>
      </w:r>
      <w:r w:rsidR="00BB3861">
        <w:rPr>
          <w:rStyle w:val="Calibri12"/>
        </w:rPr>
        <w:t>embers</w:t>
      </w:r>
      <w:r w:rsidR="00AD6DCF">
        <w:rPr>
          <w:rStyle w:val="Calibri12"/>
        </w:rPr>
        <w:t xml:space="preserve">. </w:t>
      </w:r>
    </w:p>
    <w:p w14:paraId="5F7A77B6" w14:textId="77777777" w:rsidR="00BB3861" w:rsidRDefault="00BB3861" w:rsidP="00E22B40">
      <w:pPr>
        <w:ind w:right="-312"/>
      </w:pPr>
    </w:p>
    <w:p w14:paraId="784F58DB" w14:textId="77777777" w:rsidR="002D48F1" w:rsidRDefault="00BA0487" w:rsidP="00E22B40">
      <w:pPr>
        <w:ind w:right="-312"/>
      </w:pPr>
      <w:r>
        <w:t xml:space="preserve">The </w:t>
      </w:r>
      <w:r w:rsidR="003B2EA2">
        <w:t xml:space="preserve">new </w:t>
      </w:r>
      <w:r>
        <w:t xml:space="preserve">allocations are to operate from </w:t>
      </w:r>
      <w:r w:rsidR="00AD6DCF">
        <w:t>29 October</w:t>
      </w:r>
      <w:r>
        <w:t xml:space="preserve"> 20</w:t>
      </w:r>
      <w:r w:rsidR="00EE01D0">
        <w:t>20</w:t>
      </w:r>
      <w:r w:rsidR="00AD6DCF">
        <w:t xml:space="preserve"> </w:t>
      </w:r>
      <w:r w:rsidR="00AD6DCF">
        <w:rPr>
          <w:rStyle w:val="Calibri12"/>
        </w:rPr>
        <w:t>the day immediately following the date of formal declaration of the poll</w:t>
      </w:r>
      <w:r w:rsidR="005774AC">
        <w:rPr>
          <w:rStyle w:val="Calibri12"/>
        </w:rPr>
        <w:t xml:space="preserve"> and the date from which members of the tenth Legislative Assembly may employ staff</w:t>
      </w:r>
      <w:r w:rsidR="00E932BB">
        <w:t>.</w:t>
      </w:r>
      <w:r w:rsidR="002D48F1">
        <w:t xml:space="preserve"> </w:t>
      </w:r>
      <w:r w:rsidR="005774AC">
        <w:t xml:space="preserve">The retrospective date of effect of the instrument is </w:t>
      </w:r>
      <w:r w:rsidR="001265D3">
        <w:t xml:space="preserve">non-prejudicial as the allocations for the Opposition Leader and Deputy Opposition Leader have been increased along with that of the ACT Greens whip. The removal of </w:t>
      </w:r>
      <w:r w:rsidR="001265D3">
        <w:rPr>
          <w:rStyle w:val="Calibri12"/>
        </w:rPr>
        <w:t xml:space="preserve">the separate allocation for Crossbench members is also non-prejudicial </w:t>
      </w:r>
      <w:r w:rsidR="001265D3">
        <w:t xml:space="preserve">as none of the </w:t>
      </w:r>
      <w:r w:rsidR="001265D3">
        <w:rPr>
          <w:rStyle w:val="Calibri12"/>
        </w:rPr>
        <w:t>ACT Greens non-Executive members were members in the ninth Assembly, and so did not have a previous allocation</w:t>
      </w:r>
      <w:r w:rsidR="00E02315">
        <w:rPr>
          <w:rStyle w:val="Calibri12"/>
        </w:rPr>
        <w:t xml:space="preserve"> for </w:t>
      </w:r>
      <w:r w:rsidR="00E02315">
        <w:t>the 2020–2021</w:t>
      </w:r>
      <w:r w:rsidR="00E02315" w:rsidRPr="00AE30D3">
        <w:t xml:space="preserve"> financial year</w:t>
      </w:r>
      <w:r w:rsidR="001265D3">
        <w:rPr>
          <w:rStyle w:val="Calibri12"/>
        </w:rPr>
        <w:t xml:space="preserve">. Their allocation </w:t>
      </w:r>
      <w:r w:rsidR="001265D3">
        <w:t>commences on 29 October 2020.</w:t>
      </w:r>
    </w:p>
    <w:p w14:paraId="1710BE4D" w14:textId="77777777" w:rsidR="002D48F1" w:rsidRDefault="002D48F1" w:rsidP="002D48F1">
      <w:pPr>
        <w:ind w:right="-29"/>
      </w:pPr>
    </w:p>
    <w:p w14:paraId="78614372" w14:textId="77777777" w:rsidR="00954BB9" w:rsidRPr="00AE30D3" w:rsidRDefault="00954BB9">
      <w:pPr>
        <w:pStyle w:val="Heading9"/>
        <w:spacing w:before="0" w:after="0"/>
        <w:rPr>
          <w:rFonts w:cs="Arial"/>
          <w:i w:val="0"/>
          <w:iCs/>
          <w:sz w:val="24"/>
        </w:rPr>
      </w:pPr>
      <w:r w:rsidRPr="00AE30D3">
        <w:rPr>
          <w:rFonts w:cs="Arial"/>
          <w:i w:val="0"/>
          <w:iCs/>
          <w:sz w:val="24"/>
        </w:rPr>
        <w:lastRenderedPageBreak/>
        <w:t>Conditions</w:t>
      </w:r>
    </w:p>
    <w:p w14:paraId="46656473" w14:textId="77777777" w:rsidR="00954BB9" w:rsidRPr="00AE30D3" w:rsidRDefault="00954BB9">
      <w:pPr>
        <w:pStyle w:val="Header"/>
        <w:tabs>
          <w:tab w:val="clear" w:pos="4153"/>
          <w:tab w:val="clear" w:pos="8306"/>
        </w:tabs>
        <w:rPr>
          <w:szCs w:val="24"/>
        </w:rPr>
      </w:pPr>
    </w:p>
    <w:p w14:paraId="3ACB6951"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AF0CE2">
        <w:t>29 October</w:t>
      </w:r>
      <w:r w:rsidR="00BA0487">
        <w:t xml:space="preserve"> 20</w:t>
      </w:r>
      <w:r w:rsidR="00EE01D0">
        <w:t>20</w:t>
      </w:r>
      <w:r w:rsidRPr="00AE30D3">
        <w:t>.</w:t>
      </w:r>
      <w:r w:rsidR="00032CF9" w:rsidRPr="00AE30D3">
        <w:t xml:space="preserve"> </w:t>
      </w:r>
    </w:p>
    <w:p w14:paraId="28942497" w14:textId="77777777" w:rsidR="00954BB9" w:rsidRPr="00AE30D3" w:rsidRDefault="00954BB9">
      <w:pPr>
        <w:pStyle w:val="RenumProvEntries"/>
        <w:spacing w:before="0"/>
        <w:rPr>
          <w:rFonts w:ascii="Times New Roman" w:hAnsi="Times New Roman"/>
          <w:sz w:val="24"/>
          <w:szCs w:val="24"/>
        </w:rPr>
      </w:pPr>
    </w:p>
    <w:p w14:paraId="564C785D"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4EB27AE0" w14:textId="77777777" w:rsidR="00502C6C" w:rsidRPr="00121074" w:rsidRDefault="00502C6C" w:rsidP="00121074">
      <w:pPr>
        <w:pStyle w:val="RenumProvEntries"/>
        <w:spacing w:before="0"/>
        <w:rPr>
          <w:rFonts w:ascii="Times New Roman" w:hAnsi="Times New Roman"/>
        </w:rPr>
      </w:pPr>
    </w:p>
    <w:p w14:paraId="3020BD37" w14:textId="77777777" w:rsidR="00954BB9" w:rsidRPr="00AE30D3" w:rsidRDefault="00954BB9">
      <w:r w:rsidRPr="00AE30D3">
        <w:t>Numbered clause 5 revoke</w:t>
      </w:r>
      <w:r w:rsidR="00E1396D" w:rsidRPr="00AE30D3">
        <w:t>s di</w:t>
      </w:r>
      <w:r w:rsidR="000201AD" w:rsidRPr="00AE30D3">
        <w:t xml:space="preserve">sallowable </w:t>
      </w:r>
      <w:r w:rsidR="007F3C7E">
        <w:t>instrument DI20</w:t>
      </w:r>
      <w:r w:rsidR="00AF0CE2">
        <w:t>20</w:t>
      </w:r>
      <w:r w:rsidR="007F3C7E">
        <w:t>-</w:t>
      </w:r>
      <w:r w:rsidR="00AF0CE2">
        <w:t>146</w:t>
      </w:r>
      <w:r w:rsidRPr="00AE30D3">
        <w:t>.</w:t>
      </w:r>
    </w:p>
    <w:p w14:paraId="7307B8A6" w14:textId="77777777" w:rsidR="00954BB9" w:rsidRDefault="00954BB9">
      <w:pPr>
        <w:pStyle w:val="RenumProvEntries"/>
        <w:spacing w:before="0"/>
        <w:rPr>
          <w:rFonts w:ascii="Times New Roman" w:hAnsi="Times New Roman"/>
          <w:sz w:val="24"/>
          <w:szCs w:val="24"/>
        </w:rPr>
      </w:pPr>
    </w:p>
    <w:p w14:paraId="0A43B810" w14:textId="77777777" w:rsidR="000A3D54" w:rsidRPr="000A3D54" w:rsidRDefault="000A3D54" w:rsidP="0048354C">
      <w:pPr>
        <w:pStyle w:val="RenumProvEntries"/>
        <w:spacing w:before="0"/>
        <w:ind w:right="-170"/>
        <w:rPr>
          <w:rFonts w:ascii="Times New Roman" w:hAnsi="Times New Roman"/>
          <w:sz w:val="24"/>
          <w:szCs w:val="24"/>
        </w:rPr>
      </w:pPr>
      <w:r w:rsidRPr="000A3D54">
        <w:rPr>
          <w:rFonts w:ascii="Times New Roman" w:hAnsi="Times New Roman"/>
          <w:sz w:val="24"/>
          <w:szCs w:val="24"/>
        </w:rPr>
        <w:t>Numbered clause 6 sets that the instrument determines the conditions that apply to the hire, by members, of staff, contractors and consultants under the Act.</w:t>
      </w:r>
    </w:p>
    <w:p w14:paraId="62F8E5BF" w14:textId="77777777" w:rsidR="000A3D54" w:rsidRPr="00AE30D3" w:rsidRDefault="000A3D54">
      <w:pPr>
        <w:pStyle w:val="RenumProvEntries"/>
        <w:spacing w:before="0"/>
        <w:rPr>
          <w:rFonts w:ascii="Times New Roman" w:hAnsi="Times New Roman"/>
          <w:sz w:val="24"/>
          <w:szCs w:val="24"/>
        </w:rPr>
      </w:pPr>
    </w:p>
    <w:p w14:paraId="0192C97A"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1 July 20</w:t>
      </w:r>
      <w:r w:rsidR="00EE01D0">
        <w:t>20</w:t>
      </w:r>
      <w:r w:rsidR="00C763C0" w:rsidRPr="00F435F9">
        <w:t xml:space="preserve"> and ends on</w:t>
      </w:r>
      <w:r w:rsidR="007F3C7E">
        <w:t xml:space="preserve"> 30 June 202</w:t>
      </w:r>
      <w:r w:rsidR="00EE01D0">
        <w:t>1</w:t>
      </w:r>
      <w:r w:rsidR="00C763C0" w:rsidRPr="00F435F9">
        <w:t>, or the date on which the instrument is revoked, whichever is the later.</w:t>
      </w:r>
    </w:p>
    <w:p w14:paraId="7747EECF" w14:textId="77777777" w:rsidR="00DF1A65" w:rsidRPr="00D117D4" w:rsidRDefault="00DF1A65" w:rsidP="00DF1A65">
      <w:pPr>
        <w:pStyle w:val="RenumProvEntries"/>
        <w:spacing w:before="0"/>
        <w:rPr>
          <w:rFonts w:ascii="Times New Roman" w:hAnsi="Times New Roman"/>
          <w:sz w:val="24"/>
          <w:szCs w:val="24"/>
        </w:rPr>
      </w:pPr>
    </w:p>
    <w:p w14:paraId="1DA182D3"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58248ED3" w14:textId="77777777" w:rsidR="00DF1A65" w:rsidRPr="00D117D4" w:rsidRDefault="00DF1A65" w:rsidP="00DF1A65">
      <w:pPr>
        <w:pStyle w:val="RenumProvEntries"/>
        <w:spacing w:before="0"/>
        <w:rPr>
          <w:rFonts w:ascii="Times New Roman" w:hAnsi="Times New Roman"/>
          <w:sz w:val="24"/>
          <w:szCs w:val="24"/>
        </w:rPr>
      </w:pPr>
    </w:p>
    <w:p w14:paraId="0D881B02"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3980D3D9" w14:textId="77777777" w:rsidR="00DF1A65" w:rsidRPr="00D117D4" w:rsidRDefault="00DF1A65" w:rsidP="00DF1A65">
      <w:pPr>
        <w:pStyle w:val="RenumProvEntries"/>
        <w:spacing w:before="0"/>
        <w:rPr>
          <w:rFonts w:ascii="Times New Roman" w:hAnsi="Times New Roman"/>
          <w:sz w:val="24"/>
          <w:szCs w:val="24"/>
        </w:rPr>
      </w:pPr>
    </w:p>
    <w:p w14:paraId="1E4C078C" w14:textId="77777777" w:rsidR="00422F26" w:rsidRDefault="00DF1A65" w:rsidP="00656F89">
      <w:pPr>
        <w:ind w:right="-312"/>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201</w:t>
      </w:r>
      <w:r w:rsidR="00DC245B">
        <w:t>9</w:t>
      </w:r>
      <w:r w:rsidR="007F3C7E">
        <w:t>–20</w:t>
      </w:r>
      <w:r w:rsidR="00DC245B">
        <w:t>20</w:t>
      </w:r>
      <w:r>
        <w:t xml:space="preserve"> financial year.  </w:t>
      </w:r>
    </w:p>
    <w:p w14:paraId="65CA45EC" w14:textId="77777777" w:rsidR="00422F26" w:rsidRDefault="00422F26" w:rsidP="00DF1A65">
      <w:pPr>
        <w:ind w:right="-47"/>
      </w:pPr>
    </w:p>
    <w:p w14:paraId="1BE95431" w14:textId="77777777" w:rsidR="00DF1A65" w:rsidRDefault="00DF1A65" w:rsidP="0048354C">
      <w:pPr>
        <w:ind w:right="-170"/>
      </w:pPr>
      <w:r>
        <w:t>Numbered clause 8(3) limits the carry over to no more than 10% of the member’s annua</w:t>
      </w:r>
      <w:r w:rsidR="007F3C7E">
        <w:t>l salary allocation for the 201</w:t>
      </w:r>
      <w:r w:rsidR="00DC245B">
        <w:t>9</w:t>
      </w:r>
      <w:r w:rsidR="007F3C7E">
        <w:t>–20</w:t>
      </w:r>
      <w:r w:rsidR="00DC245B">
        <w:t>20</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614F8D07" w14:textId="77777777" w:rsidR="00DF1A65" w:rsidRDefault="00DF1A65" w:rsidP="00DF1A65"/>
    <w:p w14:paraId="43E22C58"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56CC0DE6" w14:textId="77777777" w:rsidR="00422F26" w:rsidRDefault="00422F26" w:rsidP="00422F26">
      <w:pPr>
        <w:pStyle w:val="BodyText3"/>
      </w:pPr>
    </w:p>
    <w:p w14:paraId="6D3E19E7" w14:textId="77777777" w:rsidR="00422F26" w:rsidRDefault="00422F26" w:rsidP="00656F89">
      <w:pPr>
        <w:pStyle w:val="BodyText3"/>
        <w:ind w:right="-312"/>
      </w:pPr>
      <w:r>
        <w:t>Numbered clause 8(5) requires that an amount may only be excluded from a member’s salary cap if the Clerk of the Legislative Assembly is satisfied that all of the specified conditions have been met.</w:t>
      </w:r>
    </w:p>
    <w:p w14:paraId="02749B99" w14:textId="77777777" w:rsidR="001E40F2" w:rsidRDefault="001E40F2" w:rsidP="001E40F2"/>
    <w:p w14:paraId="4E81E69E"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6879116B" w14:textId="77777777" w:rsidR="00F44650" w:rsidRPr="00AE30D3" w:rsidRDefault="00F44650" w:rsidP="001E40F2"/>
    <w:p w14:paraId="079E146F"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5682A2A4" w14:textId="77777777" w:rsidR="00F44650" w:rsidRPr="00AE30D3" w:rsidRDefault="00F44650" w:rsidP="001E40F2"/>
    <w:p w14:paraId="6CA64FE2" w14:textId="77777777" w:rsidR="00AF0CE2" w:rsidRDefault="006E5361" w:rsidP="004D72E7">
      <w:pPr>
        <w:pStyle w:val="BillBasic"/>
        <w:spacing w:before="0" w:after="0"/>
        <w:ind w:right="-596"/>
        <w:jc w:val="left"/>
      </w:pPr>
      <w:r w:rsidRPr="00AE30D3">
        <w:lastRenderedPageBreak/>
        <w:t>Schedule 1 sets</w:t>
      </w:r>
      <w:r w:rsidR="00A40FE7" w:rsidRPr="00AE30D3">
        <w:t xml:space="preserve"> </w:t>
      </w:r>
      <w:r w:rsidR="00C5480C">
        <w:t xml:space="preserve">new </w:t>
      </w:r>
      <w:r w:rsidR="00954BB9" w:rsidRPr="00AE30D3">
        <w:t>allocations for the relevant positions</w:t>
      </w:r>
      <w:r w:rsidR="0072000A" w:rsidRPr="00AE30D3">
        <w:t xml:space="preserve"> covered by the determination</w:t>
      </w:r>
      <w:r w:rsidR="008A31DC">
        <w:t xml:space="preserve"> for the 20</w:t>
      </w:r>
      <w:r w:rsidR="00DC245B">
        <w:t>20</w:t>
      </w:r>
      <w:r w:rsidR="008A31DC">
        <w:t>-202</w:t>
      </w:r>
      <w:r w:rsidR="00DC245B">
        <w:t>1</w:t>
      </w:r>
      <w:r w:rsidR="008A31DC">
        <w:t xml:space="preserve"> financial year</w:t>
      </w:r>
      <w:r w:rsidR="00AF4028">
        <w:t>. The allocations for Opposition Leader and Deputy Opposition Leader have been increased, and the</w:t>
      </w:r>
      <w:r w:rsidR="00985AA4">
        <w:t xml:space="preserve"> separate allocation for members designated to perform the role of </w:t>
      </w:r>
      <w:r w:rsidR="00AF0CE2">
        <w:t xml:space="preserve">party </w:t>
      </w:r>
      <w:r w:rsidR="00112211">
        <w:t>whip</w:t>
      </w:r>
      <w:r w:rsidR="00AF4028">
        <w:t xml:space="preserve"> has been extended to</w:t>
      </w:r>
      <w:r w:rsidR="00AF0CE2">
        <w:t xml:space="preserve"> includ</w:t>
      </w:r>
      <w:r w:rsidR="00AF4028">
        <w:t>e</w:t>
      </w:r>
      <w:r w:rsidR="00AF0CE2">
        <w:t xml:space="preserve"> the ACT Greens whip</w:t>
      </w:r>
      <w:r w:rsidR="00112211">
        <w:t>.</w:t>
      </w:r>
      <w:r w:rsidR="00AF0CE2">
        <w:t xml:space="preserve"> The separate allocation for Crossbench members is remove</w:t>
      </w:r>
      <w:r w:rsidR="001464B2">
        <w:t xml:space="preserve">d and the allocation for the other </w:t>
      </w:r>
      <w:r w:rsidR="001464B2">
        <w:rPr>
          <w:rStyle w:val="Calibri12"/>
        </w:rPr>
        <w:t xml:space="preserve">ACT Greens non-Executive members </w:t>
      </w:r>
      <w:r w:rsidR="004D72E7">
        <w:rPr>
          <w:rStyle w:val="Calibri12"/>
        </w:rPr>
        <w:t xml:space="preserve">is </w:t>
      </w:r>
      <w:r w:rsidR="001464B2">
        <w:rPr>
          <w:rStyle w:val="Calibri12"/>
        </w:rPr>
        <w:t xml:space="preserve">set at the same level as </w:t>
      </w:r>
      <w:r w:rsidR="004D72E7">
        <w:rPr>
          <w:rStyle w:val="Calibri12"/>
        </w:rPr>
        <w:t xml:space="preserve">other </w:t>
      </w:r>
      <w:r w:rsidR="001464B2">
        <w:rPr>
          <w:rStyle w:val="Calibri12"/>
        </w:rPr>
        <w:t>backbench members. Th</w:t>
      </w:r>
      <w:r w:rsidR="004D72E7">
        <w:rPr>
          <w:rStyle w:val="Calibri12"/>
        </w:rPr>
        <w:t>e removal of the Crossbench member allocation</w:t>
      </w:r>
      <w:r w:rsidR="001464B2">
        <w:t xml:space="preserve"> is non-prejudicial as </w:t>
      </w:r>
      <w:r w:rsidR="004D72E7">
        <w:t>no</w:t>
      </w:r>
      <w:r w:rsidR="00AF4028">
        <w:t>ne of the</w:t>
      </w:r>
      <w:r w:rsidR="004D72E7">
        <w:t xml:space="preserve"> </w:t>
      </w:r>
      <w:r w:rsidR="004D72E7">
        <w:rPr>
          <w:rStyle w:val="Calibri12"/>
        </w:rPr>
        <w:t>ACT Greens non-Executive member</w:t>
      </w:r>
      <w:r w:rsidR="00AF4028">
        <w:rPr>
          <w:rStyle w:val="Calibri12"/>
        </w:rPr>
        <w:t>s</w:t>
      </w:r>
      <w:r w:rsidR="004D72E7">
        <w:rPr>
          <w:rStyle w:val="Calibri12"/>
        </w:rPr>
        <w:t xml:space="preserve"> was a member in the ninth Assembly</w:t>
      </w:r>
      <w:r w:rsidR="00E02315">
        <w:rPr>
          <w:rStyle w:val="Calibri12"/>
        </w:rPr>
        <w:t xml:space="preserve">, and so did not have a previous allocation for </w:t>
      </w:r>
      <w:r w:rsidR="00E02315">
        <w:t>the 2020–2021</w:t>
      </w:r>
      <w:r w:rsidR="00E02315" w:rsidRPr="00AE30D3">
        <w:t xml:space="preserve"> financial year</w:t>
      </w:r>
      <w:r w:rsidR="00E02315">
        <w:rPr>
          <w:rStyle w:val="Calibri12"/>
        </w:rPr>
        <w:t xml:space="preserve">. Their allocation </w:t>
      </w:r>
      <w:r w:rsidR="00E02315">
        <w:t>commences on 29 October 2020</w:t>
      </w:r>
      <w:r w:rsidR="004D72E7">
        <w:rPr>
          <w:rStyle w:val="Calibri12"/>
        </w:rPr>
        <w:t>.</w:t>
      </w:r>
    </w:p>
    <w:p w14:paraId="435376EE" w14:textId="77777777" w:rsidR="00AF0CE2" w:rsidRDefault="00AF0CE2" w:rsidP="00121074">
      <w:pPr>
        <w:pStyle w:val="BillBasic"/>
        <w:spacing w:before="0" w:after="0"/>
        <w:ind w:right="-454"/>
        <w:jc w:val="left"/>
      </w:pPr>
    </w:p>
    <w:p w14:paraId="74065C9A" w14:textId="77777777" w:rsidR="00E22B40" w:rsidRDefault="001464B2" w:rsidP="00121074">
      <w:pPr>
        <w:pStyle w:val="BillBasic"/>
        <w:spacing w:before="0" w:after="0"/>
        <w:ind w:right="-454"/>
        <w:jc w:val="left"/>
      </w:pPr>
      <w:r>
        <w:t xml:space="preserve">The </w:t>
      </w:r>
      <w:r w:rsidR="00AF0CE2">
        <w:t xml:space="preserve">Dictionary definition </w:t>
      </w:r>
      <w:r>
        <w:t xml:space="preserve">for </w:t>
      </w:r>
      <w:r w:rsidRPr="001464B2">
        <w:rPr>
          <w:i/>
          <w:iCs/>
        </w:rPr>
        <w:t>Crossbench member</w:t>
      </w:r>
      <w:r>
        <w:t xml:space="preserve"> is removed and the definition for </w:t>
      </w:r>
      <w:r w:rsidRPr="001464B2">
        <w:rPr>
          <w:i/>
          <w:iCs/>
        </w:rPr>
        <w:t>other member</w:t>
      </w:r>
      <w:r>
        <w:t xml:space="preserve"> </w:t>
      </w:r>
      <w:r w:rsidR="00E02315">
        <w:t xml:space="preserve">and </w:t>
      </w:r>
      <w:r w:rsidR="00E02315" w:rsidRPr="00E02315">
        <w:rPr>
          <w:i/>
          <w:iCs/>
        </w:rPr>
        <w:t>whip</w:t>
      </w:r>
      <w:r w:rsidR="00E02315">
        <w:t xml:space="preserve"> </w:t>
      </w:r>
      <w:r w:rsidR="00B81CC1">
        <w:t>are</w:t>
      </w:r>
      <w:r>
        <w:t xml:space="preserve"> amended accordingly.</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845CE" w14:textId="77777777" w:rsidR="00C00E5C" w:rsidRDefault="00C00E5C">
      <w:r>
        <w:separator/>
      </w:r>
    </w:p>
  </w:endnote>
  <w:endnote w:type="continuationSeparator" w:id="0">
    <w:p w14:paraId="1A713062" w14:textId="77777777" w:rsidR="00C00E5C" w:rsidRDefault="00C0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C3F0" w14:textId="77777777" w:rsidR="00BE1008" w:rsidRDefault="00BE1008" w:rsidP="00BE1008">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BE1008" w14:paraId="381CC083" w14:textId="77777777" w:rsidTr="008C60D7">
      <w:trPr>
        <w:jc w:val="center"/>
      </w:trPr>
      <w:tc>
        <w:tcPr>
          <w:tcW w:w="1553" w:type="dxa"/>
          <w:tcBorders>
            <w:top w:val="single" w:sz="4" w:space="0" w:color="auto"/>
          </w:tcBorders>
        </w:tcPr>
        <w:p w14:paraId="0DB28C3B" w14:textId="56F2CCFA" w:rsidR="00BE1008" w:rsidRDefault="00BE1008" w:rsidP="00BE1008">
          <w:pPr>
            <w:pStyle w:val="Footer"/>
          </w:pP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tcBorders>
        </w:tcPr>
        <w:p w14:paraId="15BA7633" w14:textId="77777777" w:rsidR="00BE1008" w:rsidRPr="009A31AB" w:rsidRDefault="00BE1008" w:rsidP="00BE1008">
          <w:pPr>
            <w:pStyle w:val="Footer"/>
            <w:spacing w:after="0"/>
            <w:jc w:val="center"/>
            <w:rPr>
              <w:rFonts w:cs="Arial"/>
              <w:sz w:val="16"/>
              <w:szCs w:val="16"/>
            </w:rPr>
          </w:pPr>
          <w:r>
            <w:rPr>
              <w:szCs w:val="18"/>
            </w:rPr>
            <w:t>Legislative Assembly (Members’ Staff) Members’ Salary Cap Determination 2020</w:t>
          </w:r>
          <w:r w:rsidRPr="00344727">
            <w:rPr>
              <w:szCs w:val="18"/>
            </w:rPr>
            <w:t xml:space="preserve"> </w:t>
          </w:r>
          <w:r>
            <w:rPr>
              <w:szCs w:val="18"/>
            </w:rPr>
            <w:t>(No 3</w:t>
          </w:r>
          <w:r w:rsidRPr="00AE30D3">
            <w:rPr>
              <w:szCs w:val="18"/>
            </w:rPr>
            <w:t>)</w:t>
          </w:r>
        </w:p>
      </w:tc>
      <w:tc>
        <w:tcPr>
          <w:tcW w:w="1240" w:type="dxa"/>
          <w:tcBorders>
            <w:top w:val="single" w:sz="4" w:space="0" w:color="auto"/>
          </w:tcBorders>
        </w:tcPr>
        <w:p w14:paraId="2D552FEF" w14:textId="3DFA51D5" w:rsidR="00BE1008" w:rsidRDefault="00BE1008" w:rsidP="00BE1008">
          <w:pPr>
            <w:pStyle w:val="Footer"/>
            <w:jc w:val="right"/>
          </w:pPr>
          <w:r>
            <w:t xml:space="preserve">page </w:t>
          </w:r>
          <w:r>
            <w:rPr>
              <w:rStyle w:val="PageNumber"/>
            </w:rPr>
            <w:t>3</w:t>
          </w:r>
        </w:p>
      </w:tc>
    </w:tr>
  </w:tbl>
  <w:p w14:paraId="42122F84" w14:textId="7355AE50" w:rsidR="00BE1008" w:rsidRPr="0016590D" w:rsidRDefault="0016590D" w:rsidP="0016590D">
    <w:pPr>
      <w:pStyle w:val="Status"/>
      <w:spacing w:before="120"/>
      <w:rPr>
        <w:rFonts w:cs="Arial"/>
      </w:rPr>
    </w:pPr>
    <w:r w:rsidRPr="0016590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81117"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3D579A4F" w14:textId="77777777">
      <w:trPr>
        <w:jc w:val="center"/>
      </w:trPr>
      <w:tc>
        <w:tcPr>
          <w:tcW w:w="1553" w:type="dxa"/>
          <w:tcBorders>
            <w:top w:val="single" w:sz="4" w:space="0" w:color="auto"/>
          </w:tcBorders>
        </w:tcPr>
        <w:p w14:paraId="7254936B" w14:textId="2668A58E"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tcBorders>
        </w:tcPr>
        <w:p w14:paraId="31A857A6"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20</w:t>
          </w:r>
          <w:r w:rsidRPr="00344727">
            <w:rPr>
              <w:szCs w:val="18"/>
            </w:rPr>
            <w:t xml:space="preserve"> </w:t>
          </w:r>
          <w:r w:rsidR="001258E0">
            <w:rPr>
              <w:szCs w:val="18"/>
            </w:rPr>
            <w:t xml:space="preserve">(No </w:t>
          </w:r>
          <w:r w:rsidR="001464B2">
            <w:rPr>
              <w:szCs w:val="18"/>
            </w:rPr>
            <w:t>3</w:t>
          </w:r>
          <w:r w:rsidRPr="00AE30D3">
            <w:rPr>
              <w:szCs w:val="18"/>
            </w:rPr>
            <w:t>)</w:t>
          </w:r>
        </w:p>
      </w:tc>
      <w:tc>
        <w:tcPr>
          <w:tcW w:w="1240" w:type="dxa"/>
          <w:tcBorders>
            <w:top w:val="single" w:sz="4" w:space="0" w:color="auto"/>
          </w:tcBorders>
        </w:tcPr>
        <w:p w14:paraId="223744D0" w14:textId="77777777" w:rsidR="00C763C0" w:rsidRDefault="00C763C0">
          <w:pPr>
            <w:pStyle w:val="Footer"/>
            <w:jc w:val="right"/>
          </w:pPr>
        </w:p>
      </w:tc>
    </w:tr>
  </w:tbl>
  <w:p w14:paraId="64C78BC2" w14:textId="73C1F80B" w:rsidR="00C763C0" w:rsidRPr="0016590D" w:rsidRDefault="0016590D" w:rsidP="0016590D">
    <w:pPr>
      <w:pStyle w:val="Status"/>
      <w:spacing w:before="120"/>
      <w:rPr>
        <w:rFonts w:cs="Arial"/>
      </w:rPr>
    </w:pPr>
    <w:r w:rsidRPr="0016590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B4E76" w14:textId="561EB992" w:rsidR="00C763C0" w:rsidRPr="0016590D" w:rsidRDefault="0016590D" w:rsidP="0016590D">
    <w:pPr>
      <w:pStyle w:val="Footer"/>
      <w:jc w:val="center"/>
      <w:rPr>
        <w:rFonts w:cs="Arial"/>
        <w:sz w:val="14"/>
      </w:rPr>
    </w:pPr>
    <w:r w:rsidRPr="0016590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B7F79" w14:textId="77777777" w:rsidR="00C00E5C" w:rsidRDefault="00C00E5C">
      <w:r>
        <w:separator/>
      </w:r>
    </w:p>
  </w:footnote>
  <w:footnote w:type="continuationSeparator" w:id="0">
    <w:p w14:paraId="3DEE3F70" w14:textId="77777777" w:rsidR="00C00E5C" w:rsidRDefault="00C0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533C" w14:textId="77777777" w:rsidR="0016590D" w:rsidRDefault="00165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E642" w14:textId="77777777" w:rsidR="0016590D" w:rsidRDefault="00165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1B879" w14:textId="77777777" w:rsidR="0016590D" w:rsidRDefault="00165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D"/>
    <w:rsid w:val="0000060D"/>
    <w:rsid w:val="000201AD"/>
    <w:rsid w:val="00032CF9"/>
    <w:rsid w:val="00035A93"/>
    <w:rsid w:val="00045A9F"/>
    <w:rsid w:val="00056CF2"/>
    <w:rsid w:val="00074980"/>
    <w:rsid w:val="0007698C"/>
    <w:rsid w:val="00086B8A"/>
    <w:rsid w:val="00086F62"/>
    <w:rsid w:val="000A3D54"/>
    <w:rsid w:val="000B748E"/>
    <w:rsid w:val="000E7B0A"/>
    <w:rsid w:val="000F64C5"/>
    <w:rsid w:val="00112211"/>
    <w:rsid w:val="00114C7F"/>
    <w:rsid w:val="00121074"/>
    <w:rsid w:val="00124813"/>
    <w:rsid w:val="0012572F"/>
    <w:rsid w:val="001258E0"/>
    <w:rsid w:val="001265D3"/>
    <w:rsid w:val="001302C5"/>
    <w:rsid w:val="00143712"/>
    <w:rsid w:val="001464B2"/>
    <w:rsid w:val="001557B8"/>
    <w:rsid w:val="0016590D"/>
    <w:rsid w:val="0017167E"/>
    <w:rsid w:val="001E40F2"/>
    <w:rsid w:val="002243DD"/>
    <w:rsid w:val="00241637"/>
    <w:rsid w:val="002419BD"/>
    <w:rsid w:val="00242A30"/>
    <w:rsid w:val="00243D2C"/>
    <w:rsid w:val="00250C0A"/>
    <w:rsid w:val="00256AC0"/>
    <w:rsid w:val="00274D26"/>
    <w:rsid w:val="002840D6"/>
    <w:rsid w:val="00292332"/>
    <w:rsid w:val="00293F4A"/>
    <w:rsid w:val="00296529"/>
    <w:rsid w:val="002B4849"/>
    <w:rsid w:val="002B67AB"/>
    <w:rsid w:val="002C08EA"/>
    <w:rsid w:val="002C403B"/>
    <w:rsid w:val="002D48F1"/>
    <w:rsid w:val="002E63FA"/>
    <w:rsid w:val="00301F4A"/>
    <w:rsid w:val="00305E66"/>
    <w:rsid w:val="00312108"/>
    <w:rsid w:val="003144E4"/>
    <w:rsid w:val="00330458"/>
    <w:rsid w:val="00331FF5"/>
    <w:rsid w:val="00337F05"/>
    <w:rsid w:val="00344727"/>
    <w:rsid w:val="003448B3"/>
    <w:rsid w:val="0034581D"/>
    <w:rsid w:val="00347094"/>
    <w:rsid w:val="00355652"/>
    <w:rsid w:val="00364299"/>
    <w:rsid w:val="00375861"/>
    <w:rsid w:val="003857EE"/>
    <w:rsid w:val="0039412A"/>
    <w:rsid w:val="003A6A10"/>
    <w:rsid w:val="003A6CAB"/>
    <w:rsid w:val="003B06F5"/>
    <w:rsid w:val="003B1E25"/>
    <w:rsid w:val="003B2EA2"/>
    <w:rsid w:val="003B6F12"/>
    <w:rsid w:val="003D6CFE"/>
    <w:rsid w:val="003E3508"/>
    <w:rsid w:val="003E3BBE"/>
    <w:rsid w:val="00407703"/>
    <w:rsid w:val="004205A2"/>
    <w:rsid w:val="004213BB"/>
    <w:rsid w:val="00422F26"/>
    <w:rsid w:val="004412F7"/>
    <w:rsid w:val="004427A7"/>
    <w:rsid w:val="004560FA"/>
    <w:rsid w:val="0045741B"/>
    <w:rsid w:val="004647A2"/>
    <w:rsid w:val="004809B2"/>
    <w:rsid w:val="0048354C"/>
    <w:rsid w:val="004848FD"/>
    <w:rsid w:val="00494546"/>
    <w:rsid w:val="004A72A3"/>
    <w:rsid w:val="004B41AC"/>
    <w:rsid w:val="004B63A2"/>
    <w:rsid w:val="004D4050"/>
    <w:rsid w:val="004D72E7"/>
    <w:rsid w:val="004F5B07"/>
    <w:rsid w:val="004F68D1"/>
    <w:rsid w:val="00502C6C"/>
    <w:rsid w:val="005071B4"/>
    <w:rsid w:val="005175EC"/>
    <w:rsid w:val="00534F5B"/>
    <w:rsid w:val="00540FAB"/>
    <w:rsid w:val="00561F37"/>
    <w:rsid w:val="0056589B"/>
    <w:rsid w:val="0056669D"/>
    <w:rsid w:val="005774AC"/>
    <w:rsid w:val="0059518C"/>
    <w:rsid w:val="00597666"/>
    <w:rsid w:val="005A10AE"/>
    <w:rsid w:val="005A1CB0"/>
    <w:rsid w:val="005A6787"/>
    <w:rsid w:val="005A7278"/>
    <w:rsid w:val="005B2CCA"/>
    <w:rsid w:val="005D4DB4"/>
    <w:rsid w:val="005D5668"/>
    <w:rsid w:val="005F3048"/>
    <w:rsid w:val="00607CCC"/>
    <w:rsid w:val="00620D70"/>
    <w:rsid w:val="006318C6"/>
    <w:rsid w:val="0063198E"/>
    <w:rsid w:val="00632ABD"/>
    <w:rsid w:val="00656F89"/>
    <w:rsid w:val="006570C2"/>
    <w:rsid w:val="0066422F"/>
    <w:rsid w:val="006671E5"/>
    <w:rsid w:val="00676AD7"/>
    <w:rsid w:val="006836E4"/>
    <w:rsid w:val="0068677C"/>
    <w:rsid w:val="0068687E"/>
    <w:rsid w:val="006B33C3"/>
    <w:rsid w:val="006C20AB"/>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44CC6"/>
    <w:rsid w:val="00856218"/>
    <w:rsid w:val="0086486B"/>
    <w:rsid w:val="00873A1E"/>
    <w:rsid w:val="00875395"/>
    <w:rsid w:val="0088526A"/>
    <w:rsid w:val="00890D6F"/>
    <w:rsid w:val="008A31DC"/>
    <w:rsid w:val="008B53CC"/>
    <w:rsid w:val="008D1BAF"/>
    <w:rsid w:val="008E2659"/>
    <w:rsid w:val="008E3A34"/>
    <w:rsid w:val="008E6EF9"/>
    <w:rsid w:val="008F2277"/>
    <w:rsid w:val="008F52E8"/>
    <w:rsid w:val="008F7831"/>
    <w:rsid w:val="00922915"/>
    <w:rsid w:val="009266BF"/>
    <w:rsid w:val="00930494"/>
    <w:rsid w:val="009513A0"/>
    <w:rsid w:val="00951E01"/>
    <w:rsid w:val="00954BB9"/>
    <w:rsid w:val="0096383E"/>
    <w:rsid w:val="00964EAC"/>
    <w:rsid w:val="00966FF4"/>
    <w:rsid w:val="00977A1D"/>
    <w:rsid w:val="00985AA4"/>
    <w:rsid w:val="009945B0"/>
    <w:rsid w:val="00997821"/>
    <w:rsid w:val="009A2341"/>
    <w:rsid w:val="009A31AB"/>
    <w:rsid w:val="009C31FC"/>
    <w:rsid w:val="009D7A08"/>
    <w:rsid w:val="009F6691"/>
    <w:rsid w:val="00A03DD9"/>
    <w:rsid w:val="00A309BE"/>
    <w:rsid w:val="00A40FE7"/>
    <w:rsid w:val="00A42EB1"/>
    <w:rsid w:val="00A87AC8"/>
    <w:rsid w:val="00A90F89"/>
    <w:rsid w:val="00AA6A70"/>
    <w:rsid w:val="00AA7CE5"/>
    <w:rsid w:val="00AB2281"/>
    <w:rsid w:val="00AC7BD2"/>
    <w:rsid w:val="00AD05D0"/>
    <w:rsid w:val="00AD3BAC"/>
    <w:rsid w:val="00AD6DCF"/>
    <w:rsid w:val="00AD722D"/>
    <w:rsid w:val="00AE30D3"/>
    <w:rsid w:val="00AE6397"/>
    <w:rsid w:val="00AF0CE2"/>
    <w:rsid w:val="00AF1977"/>
    <w:rsid w:val="00AF4028"/>
    <w:rsid w:val="00B059EF"/>
    <w:rsid w:val="00B20F63"/>
    <w:rsid w:val="00B219D7"/>
    <w:rsid w:val="00B260BF"/>
    <w:rsid w:val="00B32AD9"/>
    <w:rsid w:val="00B33AA9"/>
    <w:rsid w:val="00B4190E"/>
    <w:rsid w:val="00B433E9"/>
    <w:rsid w:val="00B608D6"/>
    <w:rsid w:val="00B7130C"/>
    <w:rsid w:val="00B71695"/>
    <w:rsid w:val="00B7305C"/>
    <w:rsid w:val="00B74852"/>
    <w:rsid w:val="00B80688"/>
    <w:rsid w:val="00B80926"/>
    <w:rsid w:val="00B81CC1"/>
    <w:rsid w:val="00B85CBB"/>
    <w:rsid w:val="00BA0487"/>
    <w:rsid w:val="00BA3A8E"/>
    <w:rsid w:val="00BA45AE"/>
    <w:rsid w:val="00BB3861"/>
    <w:rsid w:val="00BB5B99"/>
    <w:rsid w:val="00BC20F6"/>
    <w:rsid w:val="00BC6B0D"/>
    <w:rsid w:val="00BD3BC2"/>
    <w:rsid w:val="00BE1008"/>
    <w:rsid w:val="00BE50A3"/>
    <w:rsid w:val="00BF4F9C"/>
    <w:rsid w:val="00C00E5C"/>
    <w:rsid w:val="00C043B4"/>
    <w:rsid w:val="00C06112"/>
    <w:rsid w:val="00C120D0"/>
    <w:rsid w:val="00C2296F"/>
    <w:rsid w:val="00C271D7"/>
    <w:rsid w:val="00C31F17"/>
    <w:rsid w:val="00C3798B"/>
    <w:rsid w:val="00C45B94"/>
    <w:rsid w:val="00C50855"/>
    <w:rsid w:val="00C5480C"/>
    <w:rsid w:val="00C57D8C"/>
    <w:rsid w:val="00C61B43"/>
    <w:rsid w:val="00C705A5"/>
    <w:rsid w:val="00C763C0"/>
    <w:rsid w:val="00C901B1"/>
    <w:rsid w:val="00C9206F"/>
    <w:rsid w:val="00CC7228"/>
    <w:rsid w:val="00CD11A7"/>
    <w:rsid w:val="00CE04CA"/>
    <w:rsid w:val="00D07C23"/>
    <w:rsid w:val="00D10A4C"/>
    <w:rsid w:val="00D117D4"/>
    <w:rsid w:val="00D318FA"/>
    <w:rsid w:val="00D4295B"/>
    <w:rsid w:val="00D431E6"/>
    <w:rsid w:val="00D6757F"/>
    <w:rsid w:val="00D83D4A"/>
    <w:rsid w:val="00D8666E"/>
    <w:rsid w:val="00D96A42"/>
    <w:rsid w:val="00DB724D"/>
    <w:rsid w:val="00DC245B"/>
    <w:rsid w:val="00DE328E"/>
    <w:rsid w:val="00DF1A65"/>
    <w:rsid w:val="00DF1F85"/>
    <w:rsid w:val="00E02315"/>
    <w:rsid w:val="00E07834"/>
    <w:rsid w:val="00E1396D"/>
    <w:rsid w:val="00E22B40"/>
    <w:rsid w:val="00E4735C"/>
    <w:rsid w:val="00E47CA5"/>
    <w:rsid w:val="00E53CE8"/>
    <w:rsid w:val="00E56B81"/>
    <w:rsid w:val="00E900A2"/>
    <w:rsid w:val="00E932BB"/>
    <w:rsid w:val="00EA3690"/>
    <w:rsid w:val="00EA7AEF"/>
    <w:rsid w:val="00EB41A1"/>
    <w:rsid w:val="00EC3D34"/>
    <w:rsid w:val="00EC731B"/>
    <w:rsid w:val="00ED34BE"/>
    <w:rsid w:val="00EE01D0"/>
    <w:rsid w:val="00EE6A6B"/>
    <w:rsid w:val="00EF51D7"/>
    <w:rsid w:val="00F051C4"/>
    <w:rsid w:val="00F1022A"/>
    <w:rsid w:val="00F2615D"/>
    <w:rsid w:val="00F26509"/>
    <w:rsid w:val="00F27FD2"/>
    <w:rsid w:val="00F435F9"/>
    <w:rsid w:val="00F44650"/>
    <w:rsid w:val="00F67ECF"/>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6FD8C4"/>
  <w14:defaultImageDpi w14:val="0"/>
  <w15:docId w15:val="{43D6CC69-E59E-4D04-9696-A246EFC1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customStyle="1" w:styleId="Calibri12">
    <w:name w:val="Calibri 12"/>
    <w:uiPriority w:val="1"/>
    <w:qFormat/>
    <w:rsid w:val="00BB3861"/>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5541</Characters>
  <Application>Microsoft Office Word</Application>
  <DocSecurity>0</DocSecurity>
  <Lines>111</Lines>
  <Paragraphs>28</Paragraphs>
  <ScaleCrop>false</ScaleCrop>
  <Company>ACT Government</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2016-06-13T23:43:00Z</cp:lastPrinted>
  <dcterms:created xsi:type="dcterms:W3CDTF">2020-11-13T02:20:00Z</dcterms:created>
  <dcterms:modified xsi:type="dcterms:W3CDTF">2020-11-13T02:20:00Z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