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7A5" w14:textId="77777777" w:rsidR="001713C4" w:rsidRDefault="001713C4" w:rsidP="001713C4">
      <w:pPr>
        <w:autoSpaceDE w:val="0"/>
        <w:autoSpaceDN w:val="0"/>
        <w:spacing w:after="120"/>
        <w:jc w:val="center"/>
        <w:outlineLvl w:val="0"/>
        <w:rPr>
          <w:rFonts w:ascii="Arial" w:hAnsi="Arial" w:cs="Arial"/>
          <w:b/>
          <w:bCs/>
        </w:rPr>
      </w:pPr>
    </w:p>
    <w:p w14:paraId="1F3A2263" w14:textId="3B32BA50" w:rsidR="001713C4" w:rsidRPr="00D837EA" w:rsidRDefault="001713C4" w:rsidP="001713C4">
      <w:pPr>
        <w:autoSpaceDE w:val="0"/>
        <w:autoSpaceDN w:val="0"/>
        <w:spacing w:after="120"/>
        <w:jc w:val="center"/>
        <w:outlineLvl w:val="0"/>
        <w:rPr>
          <w:rFonts w:ascii="Arial" w:hAnsi="Arial" w:cs="Arial"/>
          <w:b/>
          <w:bCs/>
        </w:rPr>
      </w:pPr>
      <w:r w:rsidRPr="00D837EA">
        <w:rPr>
          <w:rFonts w:ascii="Arial" w:hAnsi="Arial" w:cs="Arial"/>
          <w:b/>
          <w:bCs/>
        </w:rPr>
        <w:t>20</w:t>
      </w:r>
      <w:r w:rsidR="00427872" w:rsidRPr="00D837EA">
        <w:rPr>
          <w:rFonts w:ascii="Arial" w:hAnsi="Arial" w:cs="Arial"/>
          <w:b/>
          <w:bCs/>
        </w:rPr>
        <w:t>22</w:t>
      </w:r>
    </w:p>
    <w:p w14:paraId="1445E158" w14:textId="77777777" w:rsidR="001713C4" w:rsidRPr="00D837EA" w:rsidRDefault="001713C4" w:rsidP="001713C4">
      <w:pPr>
        <w:autoSpaceDE w:val="0"/>
        <w:autoSpaceDN w:val="0"/>
        <w:spacing w:after="120"/>
        <w:outlineLvl w:val="0"/>
        <w:rPr>
          <w:rFonts w:ascii="Arial" w:hAnsi="Arial" w:cs="Arial"/>
          <w:b/>
          <w:bCs/>
        </w:rPr>
      </w:pPr>
    </w:p>
    <w:p w14:paraId="57E2BB58" w14:textId="77777777" w:rsidR="001713C4" w:rsidRPr="00D837EA" w:rsidRDefault="001713C4" w:rsidP="001713C4">
      <w:pPr>
        <w:autoSpaceDE w:val="0"/>
        <w:autoSpaceDN w:val="0"/>
        <w:spacing w:after="120"/>
        <w:jc w:val="center"/>
        <w:outlineLvl w:val="0"/>
        <w:rPr>
          <w:rFonts w:ascii="Arial" w:hAnsi="Arial" w:cs="Arial"/>
          <w:b/>
          <w:bCs/>
        </w:rPr>
      </w:pPr>
    </w:p>
    <w:p w14:paraId="3039F8A9" w14:textId="1C38C313" w:rsidR="001713C4" w:rsidRPr="00D837EA" w:rsidRDefault="001713C4" w:rsidP="001713C4">
      <w:pPr>
        <w:autoSpaceDE w:val="0"/>
        <w:autoSpaceDN w:val="0"/>
        <w:spacing w:after="120"/>
        <w:jc w:val="center"/>
        <w:outlineLvl w:val="0"/>
        <w:rPr>
          <w:rFonts w:ascii="Arial" w:hAnsi="Arial" w:cs="Arial"/>
          <w:b/>
          <w:bCs/>
        </w:rPr>
      </w:pPr>
    </w:p>
    <w:p w14:paraId="48A082C6" w14:textId="50C5BBB9" w:rsidR="0083438F" w:rsidRPr="00D837EA" w:rsidRDefault="0083438F" w:rsidP="001713C4">
      <w:pPr>
        <w:autoSpaceDE w:val="0"/>
        <w:autoSpaceDN w:val="0"/>
        <w:spacing w:after="120"/>
        <w:jc w:val="center"/>
        <w:outlineLvl w:val="0"/>
        <w:rPr>
          <w:rFonts w:ascii="Arial" w:hAnsi="Arial" w:cs="Arial"/>
          <w:b/>
          <w:bCs/>
        </w:rPr>
      </w:pPr>
    </w:p>
    <w:p w14:paraId="4CBF8139" w14:textId="69CD3974" w:rsidR="0083438F" w:rsidRPr="00D837EA" w:rsidRDefault="0083438F" w:rsidP="001713C4">
      <w:pPr>
        <w:autoSpaceDE w:val="0"/>
        <w:autoSpaceDN w:val="0"/>
        <w:spacing w:after="120"/>
        <w:jc w:val="center"/>
        <w:outlineLvl w:val="0"/>
        <w:rPr>
          <w:rFonts w:ascii="Arial" w:hAnsi="Arial" w:cs="Arial"/>
          <w:b/>
          <w:bCs/>
        </w:rPr>
      </w:pPr>
    </w:p>
    <w:p w14:paraId="0121F781" w14:textId="0F20B39B" w:rsidR="0083438F" w:rsidRPr="00D837EA" w:rsidRDefault="0083438F" w:rsidP="001713C4">
      <w:pPr>
        <w:autoSpaceDE w:val="0"/>
        <w:autoSpaceDN w:val="0"/>
        <w:spacing w:after="120"/>
        <w:jc w:val="center"/>
        <w:outlineLvl w:val="0"/>
        <w:rPr>
          <w:rFonts w:ascii="Arial" w:hAnsi="Arial" w:cs="Arial"/>
          <w:b/>
          <w:bCs/>
        </w:rPr>
      </w:pPr>
    </w:p>
    <w:p w14:paraId="74970D6F" w14:textId="77777777" w:rsidR="0083438F" w:rsidRPr="00D837EA" w:rsidRDefault="0083438F" w:rsidP="001713C4">
      <w:pPr>
        <w:autoSpaceDE w:val="0"/>
        <w:autoSpaceDN w:val="0"/>
        <w:spacing w:after="120"/>
        <w:jc w:val="center"/>
        <w:outlineLvl w:val="0"/>
        <w:rPr>
          <w:rFonts w:ascii="Arial" w:hAnsi="Arial" w:cs="Arial"/>
          <w:b/>
          <w:bCs/>
        </w:rPr>
      </w:pPr>
    </w:p>
    <w:p w14:paraId="3B052F21" w14:textId="77777777" w:rsidR="001713C4" w:rsidRPr="00D837EA" w:rsidRDefault="001713C4" w:rsidP="001713C4">
      <w:pPr>
        <w:autoSpaceDE w:val="0"/>
        <w:autoSpaceDN w:val="0"/>
        <w:spacing w:after="120"/>
        <w:jc w:val="center"/>
        <w:outlineLvl w:val="0"/>
        <w:rPr>
          <w:rFonts w:ascii="Arial" w:hAnsi="Arial" w:cs="Arial"/>
          <w:b/>
          <w:bCs/>
        </w:rPr>
      </w:pPr>
      <w:r w:rsidRPr="00D837EA">
        <w:rPr>
          <w:rFonts w:ascii="Arial" w:hAnsi="Arial" w:cs="Arial"/>
          <w:b/>
          <w:bCs/>
        </w:rPr>
        <w:t xml:space="preserve">THE LEGISLATIVE ASSEMBLY FOR THE </w:t>
      </w:r>
      <w:smartTag w:uri="urn:schemas-microsoft-com:office:smarttags" w:element="State">
        <w:smartTag w:uri="urn:schemas-microsoft-com:office:smarttags" w:element="place">
          <w:r w:rsidRPr="00D837EA">
            <w:rPr>
              <w:rFonts w:ascii="Arial" w:hAnsi="Arial" w:cs="Arial"/>
              <w:b/>
              <w:bCs/>
            </w:rPr>
            <w:t>AUSTRALIAN CAPITAL TERRITORY</w:t>
          </w:r>
        </w:smartTag>
      </w:smartTag>
    </w:p>
    <w:p w14:paraId="50EDE69E" w14:textId="77777777" w:rsidR="001713C4" w:rsidRPr="00D837EA" w:rsidRDefault="001713C4" w:rsidP="001713C4">
      <w:pPr>
        <w:autoSpaceDE w:val="0"/>
        <w:autoSpaceDN w:val="0"/>
        <w:spacing w:after="120"/>
        <w:jc w:val="center"/>
        <w:outlineLvl w:val="0"/>
        <w:rPr>
          <w:rFonts w:ascii="Arial" w:hAnsi="Arial" w:cs="Arial"/>
          <w:b/>
          <w:bCs/>
        </w:rPr>
      </w:pPr>
    </w:p>
    <w:p w14:paraId="51B52F3D" w14:textId="77777777" w:rsidR="001713C4" w:rsidRPr="00D837EA" w:rsidRDefault="001713C4" w:rsidP="001713C4">
      <w:pPr>
        <w:autoSpaceDE w:val="0"/>
        <w:autoSpaceDN w:val="0"/>
        <w:spacing w:after="120"/>
        <w:jc w:val="center"/>
        <w:outlineLvl w:val="0"/>
        <w:rPr>
          <w:rFonts w:ascii="Arial" w:hAnsi="Arial" w:cs="Arial"/>
          <w:b/>
          <w:bCs/>
        </w:rPr>
      </w:pPr>
    </w:p>
    <w:p w14:paraId="2EE209F5" w14:textId="77777777" w:rsidR="001713C4" w:rsidRPr="00D837EA" w:rsidRDefault="001713C4" w:rsidP="001713C4">
      <w:pPr>
        <w:autoSpaceDE w:val="0"/>
        <w:autoSpaceDN w:val="0"/>
        <w:spacing w:after="120"/>
        <w:jc w:val="center"/>
        <w:outlineLvl w:val="0"/>
        <w:rPr>
          <w:rFonts w:ascii="Arial" w:hAnsi="Arial" w:cs="Arial"/>
          <w:b/>
          <w:bCs/>
        </w:rPr>
      </w:pPr>
    </w:p>
    <w:p w14:paraId="30A4CAD4" w14:textId="77777777" w:rsidR="001713C4" w:rsidRPr="00D837EA" w:rsidRDefault="001713C4" w:rsidP="001713C4">
      <w:pPr>
        <w:autoSpaceDE w:val="0"/>
        <w:autoSpaceDN w:val="0"/>
        <w:spacing w:after="120"/>
        <w:jc w:val="center"/>
        <w:outlineLvl w:val="0"/>
        <w:rPr>
          <w:rFonts w:ascii="Arial" w:hAnsi="Arial" w:cs="Arial"/>
          <w:b/>
          <w:bCs/>
        </w:rPr>
      </w:pPr>
    </w:p>
    <w:p w14:paraId="3D060427" w14:textId="77777777" w:rsidR="001713C4" w:rsidRPr="00D837EA" w:rsidRDefault="001713C4" w:rsidP="001713C4">
      <w:pPr>
        <w:autoSpaceDE w:val="0"/>
        <w:autoSpaceDN w:val="0"/>
        <w:spacing w:after="120"/>
        <w:jc w:val="center"/>
        <w:outlineLvl w:val="0"/>
        <w:rPr>
          <w:rFonts w:ascii="Arial" w:hAnsi="Arial" w:cs="Arial"/>
          <w:b/>
          <w:bCs/>
        </w:rPr>
      </w:pPr>
    </w:p>
    <w:p w14:paraId="2ADA1D8B" w14:textId="2C7010E9" w:rsidR="001713C4" w:rsidRPr="00D837EA" w:rsidRDefault="001C226C" w:rsidP="001713C4">
      <w:pPr>
        <w:autoSpaceDE w:val="0"/>
        <w:autoSpaceDN w:val="0"/>
        <w:spacing w:after="120"/>
        <w:jc w:val="center"/>
        <w:outlineLvl w:val="0"/>
        <w:rPr>
          <w:rFonts w:ascii="Arial" w:hAnsi="Arial" w:cs="Arial"/>
          <w:b/>
          <w:bCs/>
        </w:rPr>
      </w:pPr>
      <w:bookmarkStart w:id="0" w:name="_Hlk13573875"/>
      <w:r w:rsidRPr="00D837EA">
        <w:rPr>
          <w:rFonts w:ascii="Arial" w:hAnsi="Arial" w:cs="Arial"/>
          <w:b/>
          <w:bCs/>
        </w:rPr>
        <w:t>DRUGS OF DEPENDENCE (PERSONAL USE) AMENDMENT BILL 20</w:t>
      </w:r>
      <w:r w:rsidR="00427872" w:rsidRPr="00D837EA">
        <w:rPr>
          <w:rFonts w:ascii="Arial" w:hAnsi="Arial" w:cs="Arial"/>
          <w:b/>
          <w:bCs/>
        </w:rPr>
        <w:t>21</w:t>
      </w:r>
    </w:p>
    <w:bookmarkEnd w:id="0"/>
    <w:p w14:paraId="0CAC1B04" w14:textId="77777777" w:rsidR="001713C4" w:rsidRPr="00D837EA" w:rsidRDefault="001713C4" w:rsidP="001713C4">
      <w:pPr>
        <w:autoSpaceDE w:val="0"/>
        <w:autoSpaceDN w:val="0"/>
        <w:spacing w:after="120"/>
        <w:jc w:val="center"/>
        <w:outlineLvl w:val="0"/>
        <w:rPr>
          <w:rFonts w:ascii="Arial" w:hAnsi="Arial" w:cs="Arial"/>
          <w:b/>
          <w:bCs/>
        </w:rPr>
      </w:pPr>
    </w:p>
    <w:p w14:paraId="419520CD" w14:textId="77777777" w:rsidR="001713C4" w:rsidRPr="00D837EA" w:rsidRDefault="001713C4" w:rsidP="001713C4">
      <w:pPr>
        <w:autoSpaceDE w:val="0"/>
        <w:autoSpaceDN w:val="0"/>
        <w:spacing w:after="120"/>
        <w:jc w:val="center"/>
        <w:outlineLvl w:val="0"/>
        <w:rPr>
          <w:rFonts w:ascii="Arial" w:hAnsi="Arial" w:cs="Arial"/>
          <w:b/>
          <w:bCs/>
        </w:rPr>
      </w:pPr>
    </w:p>
    <w:p w14:paraId="111822BB" w14:textId="77777777" w:rsidR="001713C4" w:rsidRPr="00D837EA" w:rsidRDefault="001713C4" w:rsidP="001713C4">
      <w:pPr>
        <w:autoSpaceDE w:val="0"/>
        <w:autoSpaceDN w:val="0"/>
        <w:spacing w:after="120"/>
        <w:jc w:val="center"/>
        <w:outlineLvl w:val="0"/>
        <w:rPr>
          <w:rFonts w:ascii="Arial" w:hAnsi="Arial" w:cs="Arial"/>
          <w:b/>
          <w:bCs/>
        </w:rPr>
      </w:pPr>
    </w:p>
    <w:p w14:paraId="65F913A2" w14:textId="2B5E43C4" w:rsidR="001713C4" w:rsidRPr="00D837EA" w:rsidRDefault="00FC6197" w:rsidP="001713C4">
      <w:pPr>
        <w:autoSpaceDE w:val="0"/>
        <w:autoSpaceDN w:val="0"/>
        <w:spacing w:after="120"/>
        <w:jc w:val="center"/>
        <w:outlineLvl w:val="0"/>
        <w:rPr>
          <w:rFonts w:ascii="Arial" w:hAnsi="Arial" w:cs="Arial"/>
          <w:b/>
          <w:bCs/>
        </w:rPr>
      </w:pPr>
      <w:r w:rsidRPr="00D837EA">
        <w:rPr>
          <w:rFonts w:ascii="Arial" w:hAnsi="Arial" w:cs="Arial"/>
          <w:b/>
          <w:bCs/>
        </w:rPr>
        <w:t>SUPPLEMENTARY</w:t>
      </w:r>
      <w:r w:rsidR="00A5364A" w:rsidRPr="00D837EA">
        <w:rPr>
          <w:rFonts w:ascii="Arial" w:hAnsi="Arial" w:cs="Arial"/>
          <w:b/>
          <w:bCs/>
        </w:rPr>
        <w:t xml:space="preserve"> </w:t>
      </w:r>
      <w:r w:rsidR="001713C4" w:rsidRPr="00D837EA">
        <w:rPr>
          <w:rFonts w:ascii="Arial" w:hAnsi="Arial" w:cs="Arial"/>
          <w:b/>
          <w:bCs/>
        </w:rPr>
        <w:t>EXPLANATORY STATEMENT</w:t>
      </w:r>
    </w:p>
    <w:p w14:paraId="1F73146E" w14:textId="77777777" w:rsidR="001713C4" w:rsidRPr="00D837EA" w:rsidRDefault="001713C4" w:rsidP="001713C4">
      <w:pPr>
        <w:autoSpaceDE w:val="0"/>
        <w:autoSpaceDN w:val="0"/>
        <w:spacing w:after="120"/>
        <w:jc w:val="center"/>
        <w:outlineLvl w:val="0"/>
        <w:rPr>
          <w:rFonts w:ascii="Arial" w:hAnsi="Arial" w:cs="Arial"/>
          <w:b/>
          <w:bCs/>
        </w:rPr>
      </w:pPr>
    </w:p>
    <w:p w14:paraId="1CE38CFD" w14:textId="77777777" w:rsidR="001713C4" w:rsidRPr="00D837EA" w:rsidRDefault="001713C4" w:rsidP="001713C4">
      <w:pPr>
        <w:autoSpaceDE w:val="0"/>
        <w:autoSpaceDN w:val="0"/>
        <w:spacing w:after="120"/>
        <w:jc w:val="center"/>
        <w:outlineLvl w:val="0"/>
        <w:rPr>
          <w:rFonts w:ascii="Arial" w:hAnsi="Arial" w:cs="Arial"/>
          <w:b/>
          <w:bCs/>
        </w:rPr>
      </w:pPr>
    </w:p>
    <w:p w14:paraId="60A49542" w14:textId="77777777" w:rsidR="001713C4" w:rsidRPr="00D837EA" w:rsidRDefault="001713C4" w:rsidP="001713C4">
      <w:pPr>
        <w:autoSpaceDE w:val="0"/>
        <w:autoSpaceDN w:val="0"/>
        <w:spacing w:after="120"/>
        <w:jc w:val="center"/>
        <w:outlineLvl w:val="0"/>
        <w:rPr>
          <w:rFonts w:ascii="Arial" w:hAnsi="Arial" w:cs="Arial"/>
          <w:b/>
          <w:bCs/>
        </w:rPr>
      </w:pPr>
    </w:p>
    <w:p w14:paraId="24FEEC88" w14:textId="77777777" w:rsidR="001713C4" w:rsidRPr="00D837EA" w:rsidRDefault="001713C4" w:rsidP="001713C4">
      <w:pPr>
        <w:autoSpaceDE w:val="0"/>
        <w:autoSpaceDN w:val="0"/>
        <w:spacing w:after="120"/>
        <w:jc w:val="center"/>
        <w:outlineLvl w:val="0"/>
        <w:rPr>
          <w:rFonts w:ascii="Arial" w:hAnsi="Arial" w:cs="Arial"/>
          <w:b/>
          <w:bCs/>
        </w:rPr>
      </w:pPr>
    </w:p>
    <w:p w14:paraId="62C4D1EE" w14:textId="77777777" w:rsidR="001713C4" w:rsidRPr="00D837EA" w:rsidRDefault="001713C4" w:rsidP="001713C4">
      <w:pPr>
        <w:autoSpaceDE w:val="0"/>
        <w:autoSpaceDN w:val="0"/>
        <w:spacing w:after="120"/>
        <w:jc w:val="center"/>
        <w:outlineLvl w:val="0"/>
        <w:rPr>
          <w:rFonts w:ascii="Arial" w:hAnsi="Arial" w:cs="Arial"/>
          <w:b/>
          <w:bCs/>
        </w:rPr>
      </w:pPr>
    </w:p>
    <w:p w14:paraId="33B67DF7" w14:textId="77777777" w:rsidR="001713C4" w:rsidRPr="00D837EA" w:rsidRDefault="001713C4" w:rsidP="001713C4">
      <w:pPr>
        <w:autoSpaceDE w:val="0"/>
        <w:autoSpaceDN w:val="0"/>
        <w:spacing w:after="120"/>
        <w:jc w:val="center"/>
        <w:outlineLvl w:val="0"/>
        <w:rPr>
          <w:rFonts w:ascii="Arial" w:hAnsi="Arial" w:cs="Arial"/>
          <w:b/>
          <w:bCs/>
        </w:rPr>
      </w:pPr>
    </w:p>
    <w:p w14:paraId="7B0B32C9" w14:textId="77777777" w:rsidR="001713C4" w:rsidRPr="00D837EA" w:rsidRDefault="001713C4" w:rsidP="001713C4">
      <w:pPr>
        <w:autoSpaceDE w:val="0"/>
        <w:autoSpaceDN w:val="0"/>
        <w:spacing w:after="120"/>
        <w:jc w:val="center"/>
        <w:outlineLvl w:val="0"/>
        <w:rPr>
          <w:rFonts w:ascii="Arial" w:hAnsi="Arial" w:cs="Arial"/>
          <w:b/>
          <w:bCs/>
        </w:rPr>
      </w:pPr>
    </w:p>
    <w:p w14:paraId="77A842DA" w14:textId="77777777" w:rsidR="001713C4" w:rsidRPr="00D837EA" w:rsidRDefault="001713C4" w:rsidP="001713C4">
      <w:pPr>
        <w:autoSpaceDE w:val="0"/>
        <w:autoSpaceDN w:val="0"/>
        <w:spacing w:after="120"/>
        <w:jc w:val="center"/>
        <w:outlineLvl w:val="0"/>
        <w:rPr>
          <w:rFonts w:ascii="Arial" w:hAnsi="Arial" w:cs="Arial"/>
          <w:b/>
          <w:bCs/>
        </w:rPr>
      </w:pPr>
    </w:p>
    <w:p w14:paraId="0D198C86" w14:textId="77777777" w:rsidR="001713C4" w:rsidRPr="00D837EA" w:rsidRDefault="001713C4" w:rsidP="001713C4">
      <w:pPr>
        <w:autoSpaceDE w:val="0"/>
        <w:autoSpaceDN w:val="0"/>
        <w:spacing w:after="120"/>
        <w:jc w:val="center"/>
        <w:outlineLvl w:val="0"/>
        <w:rPr>
          <w:rFonts w:ascii="Arial" w:hAnsi="Arial" w:cs="Arial"/>
          <w:b/>
          <w:bCs/>
        </w:rPr>
      </w:pPr>
    </w:p>
    <w:p w14:paraId="2830B6BD" w14:textId="77777777" w:rsidR="001713C4" w:rsidRPr="00D837EA" w:rsidRDefault="001713C4" w:rsidP="001713C4">
      <w:pPr>
        <w:autoSpaceDE w:val="0"/>
        <w:autoSpaceDN w:val="0"/>
        <w:spacing w:after="120"/>
        <w:jc w:val="center"/>
        <w:outlineLvl w:val="0"/>
        <w:rPr>
          <w:rFonts w:ascii="Arial" w:hAnsi="Arial" w:cs="Arial"/>
          <w:b/>
          <w:bCs/>
        </w:rPr>
      </w:pPr>
    </w:p>
    <w:p w14:paraId="6FDF4421" w14:textId="77777777" w:rsidR="001713C4" w:rsidRPr="00D837EA" w:rsidRDefault="001713C4" w:rsidP="001713C4">
      <w:pPr>
        <w:autoSpaceDE w:val="0"/>
        <w:autoSpaceDN w:val="0"/>
        <w:spacing w:after="120"/>
        <w:jc w:val="center"/>
        <w:outlineLvl w:val="0"/>
        <w:rPr>
          <w:rFonts w:ascii="Arial" w:hAnsi="Arial" w:cs="Arial"/>
          <w:b/>
          <w:bCs/>
        </w:rPr>
      </w:pPr>
    </w:p>
    <w:p w14:paraId="63458D2A" w14:textId="77777777" w:rsidR="001713C4" w:rsidRPr="00D837EA" w:rsidRDefault="001713C4" w:rsidP="001713C4">
      <w:pPr>
        <w:autoSpaceDE w:val="0"/>
        <w:autoSpaceDN w:val="0"/>
        <w:spacing w:after="120"/>
        <w:jc w:val="center"/>
        <w:outlineLvl w:val="0"/>
        <w:rPr>
          <w:rFonts w:ascii="Arial" w:hAnsi="Arial" w:cs="Arial"/>
          <w:b/>
          <w:bCs/>
        </w:rPr>
      </w:pPr>
    </w:p>
    <w:p w14:paraId="7E4562BD" w14:textId="77777777" w:rsidR="001713C4" w:rsidRPr="00D837EA" w:rsidRDefault="001713C4" w:rsidP="001713C4">
      <w:pPr>
        <w:autoSpaceDE w:val="0"/>
        <w:autoSpaceDN w:val="0"/>
        <w:spacing w:after="120"/>
        <w:jc w:val="right"/>
        <w:outlineLvl w:val="0"/>
        <w:rPr>
          <w:rFonts w:ascii="Arial" w:hAnsi="Arial" w:cs="Arial"/>
          <w:b/>
          <w:bCs/>
        </w:rPr>
      </w:pPr>
      <w:r w:rsidRPr="00D837EA">
        <w:rPr>
          <w:rFonts w:ascii="Arial" w:hAnsi="Arial" w:cs="Arial"/>
          <w:b/>
          <w:bCs/>
        </w:rPr>
        <w:t>Presented by</w:t>
      </w:r>
    </w:p>
    <w:p w14:paraId="46E9EEBC" w14:textId="5C321DF5" w:rsidR="001713C4" w:rsidRPr="00D837EA" w:rsidRDefault="00427872" w:rsidP="001713C4">
      <w:pPr>
        <w:autoSpaceDE w:val="0"/>
        <w:autoSpaceDN w:val="0"/>
        <w:spacing w:after="120"/>
        <w:jc w:val="right"/>
        <w:outlineLvl w:val="0"/>
        <w:rPr>
          <w:rFonts w:ascii="Arial" w:hAnsi="Arial" w:cs="Arial"/>
          <w:b/>
          <w:bCs/>
        </w:rPr>
      </w:pPr>
      <w:r w:rsidRPr="00D837EA">
        <w:rPr>
          <w:rFonts w:ascii="Arial" w:hAnsi="Arial" w:cs="Arial"/>
          <w:b/>
          <w:bCs/>
        </w:rPr>
        <w:t>Rachel Stephen</w:t>
      </w:r>
      <w:r w:rsidRPr="00D837EA">
        <w:rPr>
          <w:rFonts w:ascii="Arial" w:hAnsi="Arial" w:cs="Arial"/>
          <w:b/>
          <w:bCs/>
        </w:rPr>
        <w:noBreakHyphen/>
        <w:t>Smith MLA</w:t>
      </w:r>
    </w:p>
    <w:p w14:paraId="177888BA" w14:textId="7C0B05C4" w:rsidR="001713C4" w:rsidRPr="00D837EA" w:rsidRDefault="00427872" w:rsidP="001713C4">
      <w:pPr>
        <w:autoSpaceDE w:val="0"/>
        <w:autoSpaceDN w:val="0"/>
        <w:spacing w:after="120"/>
        <w:jc w:val="right"/>
        <w:outlineLvl w:val="0"/>
        <w:rPr>
          <w:rFonts w:ascii="Arial" w:hAnsi="Arial" w:cs="Arial"/>
          <w:b/>
          <w:bCs/>
        </w:rPr>
      </w:pPr>
      <w:r w:rsidRPr="00D837EA">
        <w:rPr>
          <w:rFonts w:ascii="Arial" w:hAnsi="Arial" w:cs="Arial"/>
          <w:b/>
          <w:bCs/>
        </w:rPr>
        <w:t>Minister for Health</w:t>
      </w:r>
    </w:p>
    <w:p w14:paraId="18254EE9" w14:textId="73E1F6B9" w:rsidR="001C226C" w:rsidRPr="00D837EA" w:rsidRDefault="001C226C" w:rsidP="001C226C">
      <w:pPr>
        <w:autoSpaceDE w:val="0"/>
        <w:autoSpaceDN w:val="0"/>
        <w:spacing w:after="120"/>
        <w:jc w:val="center"/>
        <w:outlineLvl w:val="0"/>
        <w:rPr>
          <w:rFonts w:ascii="Arial" w:hAnsi="Arial" w:cs="Arial"/>
          <w:b/>
          <w:bCs/>
          <w:u w:val="single"/>
        </w:rPr>
      </w:pPr>
      <w:r w:rsidRPr="00D837EA">
        <w:rPr>
          <w:rFonts w:ascii="Arial" w:hAnsi="Arial" w:cs="Arial"/>
          <w:b/>
          <w:bCs/>
          <w:u w:val="single"/>
        </w:rPr>
        <w:lastRenderedPageBreak/>
        <w:t>DRUGS OF DEPENDENCE (PERSONAL USE) AMENDMENT BILL 20</w:t>
      </w:r>
      <w:r w:rsidR="00427872" w:rsidRPr="00D837EA">
        <w:rPr>
          <w:rFonts w:ascii="Arial" w:hAnsi="Arial" w:cs="Arial"/>
          <w:b/>
          <w:bCs/>
          <w:u w:val="single"/>
        </w:rPr>
        <w:t>21</w:t>
      </w:r>
    </w:p>
    <w:p w14:paraId="7A24CA6D" w14:textId="6445383C" w:rsidR="00686013" w:rsidRPr="00D837EA" w:rsidRDefault="00686013" w:rsidP="003167B6">
      <w:pPr>
        <w:spacing w:before="240"/>
        <w:ind w:left="1440" w:hanging="1440"/>
        <w:rPr>
          <w:rFonts w:ascii="Arial" w:hAnsi="Arial" w:cs="Arial"/>
          <w:b/>
        </w:rPr>
      </w:pPr>
      <w:r w:rsidRPr="00D837EA">
        <w:rPr>
          <w:rFonts w:ascii="Arial" w:hAnsi="Arial" w:cs="Arial"/>
          <w:b/>
        </w:rPr>
        <w:t>INTRODUCTION</w:t>
      </w:r>
    </w:p>
    <w:p w14:paraId="68FF2F99" w14:textId="0DD57869" w:rsidR="00845358" w:rsidRPr="00D837EA" w:rsidRDefault="00845358" w:rsidP="003167B6">
      <w:pPr>
        <w:spacing w:before="240"/>
        <w:rPr>
          <w:rFonts w:ascii="Arial" w:hAnsi="Arial" w:cs="Arial"/>
        </w:rPr>
      </w:pPr>
      <w:r w:rsidRPr="00D837EA">
        <w:rPr>
          <w:rFonts w:ascii="Arial" w:hAnsi="Arial" w:cs="Arial"/>
        </w:rPr>
        <w:t xml:space="preserve">This explanatory statement relates to </w:t>
      </w:r>
      <w:r w:rsidR="00AC10F5" w:rsidRPr="00D837EA">
        <w:rPr>
          <w:rFonts w:ascii="Arial" w:hAnsi="Arial" w:cs="Arial"/>
        </w:rPr>
        <w:t xml:space="preserve">Government amendments to </w:t>
      </w:r>
      <w:r w:rsidRPr="00D837EA">
        <w:rPr>
          <w:rFonts w:ascii="Arial" w:hAnsi="Arial" w:cs="Arial"/>
        </w:rPr>
        <w:t xml:space="preserve">the Drugs of Dependence (Personal Use) Amendment Bill 2021 as presented to the Legislative Assembly. It has been prepared in order to assist the reader of the </w:t>
      </w:r>
      <w:r w:rsidR="000D19D4" w:rsidRPr="00D837EA">
        <w:rPr>
          <w:rFonts w:ascii="Arial" w:hAnsi="Arial" w:cs="Arial"/>
        </w:rPr>
        <w:t>B</w:t>
      </w:r>
      <w:r w:rsidRPr="00D837EA">
        <w:rPr>
          <w:rFonts w:ascii="Arial" w:hAnsi="Arial" w:cs="Arial"/>
        </w:rPr>
        <w:t>ill and to help inform debate on it. It does not form part of the amendments and has not been endorsed by the Assembly.</w:t>
      </w:r>
      <w:r w:rsidR="000D19D4" w:rsidRPr="00D837EA">
        <w:rPr>
          <w:rFonts w:ascii="Arial" w:hAnsi="Arial" w:cs="Arial"/>
        </w:rPr>
        <w:t xml:space="preserve"> This Supplementary Explanatory Statement outlines the Government amendments to be made to the Private Member’s Bill (PMB).</w:t>
      </w:r>
    </w:p>
    <w:p w14:paraId="4E8B52C7" w14:textId="0ACFAD5F" w:rsidR="00845358" w:rsidRPr="00D837EA" w:rsidRDefault="00845358" w:rsidP="003167B6">
      <w:pPr>
        <w:spacing w:before="240"/>
        <w:rPr>
          <w:rFonts w:ascii="Arial" w:hAnsi="Arial" w:cs="Arial"/>
        </w:rPr>
      </w:pPr>
      <w:r w:rsidRPr="00D837EA">
        <w:rPr>
          <w:rFonts w:ascii="Arial" w:hAnsi="Arial" w:cs="Arial"/>
        </w:rPr>
        <w:t>The statement must be read in conjunction with the amendments. It is not, and is not meant to be, a comprehensive description of the amendments. What is said about a provision is not to be taken as an authoritative guide to the meaning of a provision, this being a task for the courts.</w:t>
      </w:r>
    </w:p>
    <w:p w14:paraId="7812FF94" w14:textId="59EC1265" w:rsidR="00DE5006" w:rsidRPr="00D837EA" w:rsidRDefault="00DE5006" w:rsidP="003167B6">
      <w:pPr>
        <w:spacing w:before="240"/>
        <w:ind w:left="1440" w:hanging="1440"/>
        <w:rPr>
          <w:rFonts w:ascii="Arial" w:hAnsi="Arial" w:cs="Arial"/>
          <w:b/>
        </w:rPr>
      </w:pPr>
      <w:r w:rsidRPr="00D837EA">
        <w:rPr>
          <w:rFonts w:ascii="Arial" w:hAnsi="Arial" w:cs="Arial"/>
          <w:b/>
        </w:rPr>
        <w:t>BACKGROUND</w:t>
      </w:r>
    </w:p>
    <w:p w14:paraId="50E34721" w14:textId="77777777" w:rsidR="00AC10F5" w:rsidRPr="00D837EA" w:rsidRDefault="00D515CA" w:rsidP="003167B6">
      <w:pPr>
        <w:spacing w:before="240"/>
        <w:rPr>
          <w:rFonts w:ascii="Arial" w:hAnsi="Arial" w:cs="Arial"/>
        </w:rPr>
      </w:pPr>
      <w:r w:rsidRPr="00D837EA">
        <w:rPr>
          <w:rFonts w:ascii="Arial" w:hAnsi="Arial" w:cs="Arial"/>
        </w:rPr>
        <w:t>On 11 February 2021, Michael Petterson MLA introduced the Drugs of Dependence (Personal Use) Amendment Bill 2021</w:t>
      </w:r>
      <w:r w:rsidR="00205F36" w:rsidRPr="00D837EA">
        <w:rPr>
          <w:rFonts w:ascii="Arial" w:hAnsi="Arial" w:cs="Arial"/>
        </w:rPr>
        <w:t xml:space="preserve"> (Private Member’s Bill)</w:t>
      </w:r>
      <w:r w:rsidRPr="00D837EA">
        <w:rPr>
          <w:rFonts w:ascii="Arial" w:hAnsi="Arial" w:cs="Arial"/>
        </w:rPr>
        <w:t xml:space="preserve"> into the Legislative Assembly</w:t>
      </w:r>
      <w:r w:rsidR="00205F36" w:rsidRPr="00D837EA">
        <w:rPr>
          <w:rFonts w:ascii="Arial" w:hAnsi="Arial" w:cs="Arial"/>
        </w:rPr>
        <w:t>.</w:t>
      </w:r>
      <w:r w:rsidRPr="00D837EA">
        <w:rPr>
          <w:rFonts w:ascii="Arial" w:hAnsi="Arial" w:cs="Arial"/>
        </w:rPr>
        <w:t xml:space="preserve"> Th</w:t>
      </w:r>
      <w:r w:rsidR="00205F36" w:rsidRPr="00D837EA">
        <w:rPr>
          <w:rFonts w:ascii="Arial" w:hAnsi="Arial" w:cs="Arial"/>
        </w:rPr>
        <w:t>e</w:t>
      </w:r>
      <w:r w:rsidR="00920053" w:rsidRPr="00D837EA">
        <w:rPr>
          <w:rFonts w:ascii="Arial" w:hAnsi="Arial" w:cs="Arial"/>
        </w:rPr>
        <w:t xml:space="preserve"> </w:t>
      </w:r>
      <w:r w:rsidRPr="00D837EA">
        <w:rPr>
          <w:rFonts w:ascii="Arial" w:hAnsi="Arial" w:cs="Arial"/>
        </w:rPr>
        <w:t xml:space="preserve">Private Member’s Bill </w:t>
      </w:r>
      <w:r w:rsidR="009E778E" w:rsidRPr="00D837EA">
        <w:rPr>
          <w:rFonts w:ascii="Arial" w:hAnsi="Arial" w:cs="Arial"/>
        </w:rPr>
        <w:t xml:space="preserve">proposes to </w:t>
      </w:r>
      <w:r w:rsidR="00845358" w:rsidRPr="00D837EA">
        <w:rPr>
          <w:rFonts w:ascii="Arial" w:hAnsi="Arial" w:cs="Arial"/>
        </w:rPr>
        <w:t xml:space="preserve">reform the </w:t>
      </w:r>
      <w:r w:rsidR="00845358" w:rsidRPr="00D837EA">
        <w:rPr>
          <w:rFonts w:ascii="Arial" w:hAnsi="Arial" w:cs="Arial"/>
          <w:i/>
          <w:iCs/>
        </w:rPr>
        <w:t>Drugs of Dependence Act 1989</w:t>
      </w:r>
      <w:r w:rsidR="00C66148" w:rsidRPr="00D837EA">
        <w:rPr>
          <w:rFonts w:ascii="Arial" w:hAnsi="Arial" w:cs="Arial"/>
          <w:i/>
          <w:iCs/>
        </w:rPr>
        <w:t xml:space="preserve"> </w:t>
      </w:r>
      <w:r w:rsidR="00C66148" w:rsidRPr="00D837EA">
        <w:rPr>
          <w:rFonts w:ascii="Arial" w:hAnsi="Arial" w:cs="Arial"/>
        </w:rPr>
        <w:t>(DoD Act)</w:t>
      </w:r>
      <w:r w:rsidR="00845358" w:rsidRPr="00D837EA">
        <w:rPr>
          <w:rFonts w:ascii="Arial" w:hAnsi="Arial" w:cs="Arial"/>
          <w:i/>
          <w:iCs/>
        </w:rPr>
        <w:t xml:space="preserve"> </w:t>
      </w:r>
      <w:r w:rsidR="00845358" w:rsidRPr="00D837EA">
        <w:rPr>
          <w:rFonts w:ascii="Arial" w:hAnsi="Arial" w:cs="Arial"/>
        </w:rPr>
        <w:t xml:space="preserve">in relation to personal possession of </w:t>
      </w:r>
      <w:r w:rsidRPr="00D837EA">
        <w:rPr>
          <w:rFonts w:ascii="Arial" w:hAnsi="Arial" w:cs="Arial"/>
        </w:rPr>
        <w:t>certain illicit drugs</w:t>
      </w:r>
      <w:r w:rsidR="00845358" w:rsidRPr="00D837EA">
        <w:rPr>
          <w:rFonts w:ascii="Arial" w:hAnsi="Arial" w:cs="Arial"/>
        </w:rPr>
        <w:t>,</w:t>
      </w:r>
      <w:r w:rsidR="00920053" w:rsidRPr="00D837EA">
        <w:rPr>
          <w:rFonts w:ascii="Arial" w:hAnsi="Arial" w:cs="Arial"/>
        </w:rPr>
        <w:t xml:space="preserve"> by renaming</w:t>
      </w:r>
      <w:r w:rsidR="0079000C" w:rsidRPr="00D837EA">
        <w:rPr>
          <w:rFonts w:ascii="Arial" w:hAnsi="Arial" w:cs="Arial"/>
        </w:rPr>
        <w:t xml:space="preserve"> and expanding</w:t>
      </w:r>
      <w:r w:rsidR="00920053" w:rsidRPr="00D837EA">
        <w:rPr>
          <w:rFonts w:ascii="Arial" w:hAnsi="Arial" w:cs="Arial"/>
        </w:rPr>
        <w:t xml:space="preserve"> the Simple Cannabis Offence Notice (SCON) Scheme to </w:t>
      </w:r>
      <w:r w:rsidR="0079000C" w:rsidRPr="00D837EA">
        <w:rPr>
          <w:rFonts w:ascii="Arial" w:hAnsi="Arial" w:cs="Arial"/>
        </w:rPr>
        <w:t>become a</w:t>
      </w:r>
      <w:r w:rsidR="00920053" w:rsidRPr="00D837EA">
        <w:rPr>
          <w:rFonts w:ascii="Arial" w:hAnsi="Arial" w:cs="Arial"/>
        </w:rPr>
        <w:t xml:space="preserve"> Simple Drug Offence Notice (SDON) Scheme </w:t>
      </w:r>
      <w:r w:rsidR="0079000C" w:rsidRPr="00D837EA">
        <w:rPr>
          <w:rFonts w:ascii="Arial" w:hAnsi="Arial" w:cs="Arial"/>
        </w:rPr>
        <w:t>by</w:t>
      </w:r>
      <w:r w:rsidR="00920053" w:rsidRPr="00D837EA">
        <w:rPr>
          <w:rFonts w:ascii="Arial" w:hAnsi="Arial" w:cs="Arial"/>
        </w:rPr>
        <w:t xml:space="preserve"> adding other common illicit drugs to this diversionary pathway</w:t>
      </w:r>
      <w:r w:rsidR="0079000C" w:rsidRPr="00D837EA">
        <w:rPr>
          <w:rFonts w:ascii="Arial" w:hAnsi="Arial" w:cs="Arial"/>
        </w:rPr>
        <w:t xml:space="preserve">. The Bill also </w:t>
      </w:r>
      <w:r w:rsidR="009E778E" w:rsidRPr="00D837EA">
        <w:rPr>
          <w:rFonts w:ascii="Arial" w:hAnsi="Arial" w:cs="Arial"/>
        </w:rPr>
        <w:t>proposes reducing</w:t>
      </w:r>
      <w:r w:rsidR="00920053" w:rsidRPr="00D837EA">
        <w:rPr>
          <w:rFonts w:ascii="Arial" w:hAnsi="Arial" w:cs="Arial"/>
        </w:rPr>
        <w:t xml:space="preserve"> </w:t>
      </w:r>
      <w:r w:rsidR="0079000C" w:rsidRPr="00D837EA">
        <w:rPr>
          <w:rFonts w:ascii="Arial" w:hAnsi="Arial" w:cs="Arial"/>
        </w:rPr>
        <w:t xml:space="preserve">the </w:t>
      </w:r>
      <w:r w:rsidR="00920053" w:rsidRPr="00D837EA">
        <w:rPr>
          <w:rFonts w:ascii="Arial" w:hAnsi="Arial" w:cs="Arial"/>
        </w:rPr>
        <w:t>maximum penalties</w:t>
      </w:r>
      <w:r w:rsidR="0079000C" w:rsidRPr="00D837EA">
        <w:rPr>
          <w:rFonts w:ascii="Arial" w:hAnsi="Arial" w:cs="Arial"/>
        </w:rPr>
        <w:t>,</w:t>
      </w:r>
      <w:r w:rsidR="00920053" w:rsidRPr="00D837EA">
        <w:rPr>
          <w:rFonts w:ascii="Arial" w:hAnsi="Arial" w:cs="Arial"/>
        </w:rPr>
        <w:t xml:space="preserve"> and removing the possibility of imprisonment</w:t>
      </w:r>
      <w:r w:rsidR="0079000C" w:rsidRPr="00D837EA">
        <w:rPr>
          <w:rFonts w:ascii="Arial" w:hAnsi="Arial" w:cs="Arial"/>
        </w:rPr>
        <w:t>,</w:t>
      </w:r>
      <w:r w:rsidR="00920053" w:rsidRPr="00D837EA">
        <w:rPr>
          <w:rFonts w:ascii="Arial" w:hAnsi="Arial" w:cs="Arial"/>
        </w:rPr>
        <w:t xml:space="preserve"> for possession of small amounts of certain illicit drugs.</w:t>
      </w:r>
    </w:p>
    <w:p w14:paraId="5B88420A" w14:textId="77777777" w:rsidR="00AC10F5" w:rsidRPr="00D837EA" w:rsidRDefault="002C7EAF" w:rsidP="003167B6">
      <w:pPr>
        <w:spacing w:before="240"/>
        <w:rPr>
          <w:rFonts w:ascii="Arial" w:hAnsi="Arial" w:cs="Arial"/>
        </w:rPr>
      </w:pPr>
      <w:r w:rsidRPr="00D837EA">
        <w:rPr>
          <w:rFonts w:ascii="Arial" w:hAnsi="Arial" w:cs="Arial"/>
        </w:rPr>
        <w:t>The Legislative Assembly referred the Private Member’s Bill to the Select Committee into the Drugs of Dependence (Personal Use) Amendment Bill 2021.</w:t>
      </w:r>
    </w:p>
    <w:p w14:paraId="24331F88" w14:textId="51664595" w:rsidR="00AC10F5" w:rsidRPr="00D837EA" w:rsidRDefault="007820FD" w:rsidP="003167B6">
      <w:pPr>
        <w:spacing w:before="240"/>
        <w:rPr>
          <w:rFonts w:ascii="Arial" w:hAnsi="Arial" w:cs="Arial"/>
        </w:rPr>
      </w:pPr>
      <w:r w:rsidRPr="00D837EA">
        <w:rPr>
          <w:rFonts w:ascii="Arial" w:hAnsi="Arial" w:cs="Arial"/>
        </w:rPr>
        <w:t>On 30 March 2021, a separate Inquiry into alcohol, tobacco and other drug policy and programs was combined with the Select Committee’s Inquiry</w:t>
      </w:r>
      <w:r w:rsidR="0079000C" w:rsidRPr="00D837EA">
        <w:rPr>
          <w:rFonts w:ascii="Arial" w:hAnsi="Arial" w:cs="Arial"/>
        </w:rPr>
        <w:t xml:space="preserve"> into the Bill</w:t>
      </w:r>
      <w:r w:rsidRPr="00D837EA">
        <w:rPr>
          <w:rFonts w:ascii="Arial" w:hAnsi="Arial" w:cs="Arial"/>
        </w:rPr>
        <w:t>.</w:t>
      </w:r>
    </w:p>
    <w:p w14:paraId="2C1095D4" w14:textId="77777777" w:rsidR="00AC10F5" w:rsidRPr="00D837EA" w:rsidRDefault="00845358" w:rsidP="003167B6">
      <w:pPr>
        <w:spacing w:before="240"/>
        <w:rPr>
          <w:rFonts w:ascii="Arial" w:hAnsi="Arial" w:cs="Arial"/>
        </w:rPr>
      </w:pPr>
      <w:r w:rsidRPr="00D837EA">
        <w:rPr>
          <w:rFonts w:ascii="Arial" w:hAnsi="Arial" w:cs="Arial"/>
        </w:rPr>
        <w:t xml:space="preserve">The </w:t>
      </w:r>
      <w:r w:rsidR="007820FD" w:rsidRPr="00D837EA">
        <w:rPr>
          <w:rFonts w:ascii="Arial" w:hAnsi="Arial" w:cs="Arial"/>
        </w:rPr>
        <w:t xml:space="preserve">Select </w:t>
      </w:r>
      <w:r w:rsidRPr="00D837EA">
        <w:rPr>
          <w:rFonts w:ascii="Arial" w:hAnsi="Arial" w:cs="Arial"/>
        </w:rPr>
        <w:t xml:space="preserve">Committee received </w:t>
      </w:r>
      <w:r w:rsidR="003D5315" w:rsidRPr="00D837EA">
        <w:rPr>
          <w:rFonts w:ascii="Arial" w:hAnsi="Arial" w:cs="Arial"/>
        </w:rPr>
        <w:t>59</w:t>
      </w:r>
      <w:r w:rsidRPr="00D837EA">
        <w:rPr>
          <w:rFonts w:ascii="Arial" w:hAnsi="Arial" w:cs="Arial"/>
        </w:rPr>
        <w:t xml:space="preserve"> written submissions</w:t>
      </w:r>
      <w:r w:rsidR="007820FD" w:rsidRPr="00D837EA">
        <w:rPr>
          <w:rFonts w:ascii="Arial" w:hAnsi="Arial" w:cs="Arial"/>
        </w:rPr>
        <w:t xml:space="preserve">, </w:t>
      </w:r>
      <w:r w:rsidRPr="00D837EA">
        <w:rPr>
          <w:rFonts w:ascii="Arial" w:hAnsi="Arial" w:cs="Arial"/>
        </w:rPr>
        <w:t>heard evidence over f</w:t>
      </w:r>
      <w:r w:rsidR="003D5315" w:rsidRPr="00D837EA">
        <w:rPr>
          <w:rFonts w:ascii="Arial" w:hAnsi="Arial" w:cs="Arial"/>
        </w:rPr>
        <w:t>ive</w:t>
      </w:r>
      <w:r w:rsidRPr="00D837EA">
        <w:rPr>
          <w:rFonts w:ascii="Arial" w:hAnsi="Arial" w:cs="Arial"/>
        </w:rPr>
        <w:t xml:space="preserve"> public hearings</w:t>
      </w:r>
      <w:r w:rsidR="007820FD" w:rsidRPr="00D837EA">
        <w:rPr>
          <w:rFonts w:ascii="Arial" w:hAnsi="Arial" w:cs="Arial"/>
        </w:rPr>
        <w:t xml:space="preserve"> and conducted an online public survey</w:t>
      </w:r>
      <w:r w:rsidR="002C7EAF" w:rsidRPr="00D837EA">
        <w:rPr>
          <w:rFonts w:ascii="Arial" w:hAnsi="Arial" w:cs="Arial"/>
        </w:rPr>
        <w:t xml:space="preserve">. It </w:t>
      </w:r>
      <w:r w:rsidRPr="00D837EA">
        <w:rPr>
          <w:rFonts w:ascii="Arial" w:hAnsi="Arial" w:cs="Arial"/>
        </w:rPr>
        <w:t xml:space="preserve">tabled a final report </w:t>
      </w:r>
      <w:r w:rsidR="003D5315" w:rsidRPr="00D837EA">
        <w:rPr>
          <w:rFonts w:ascii="Arial" w:hAnsi="Arial" w:cs="Arial"/>
        </w:rPr>
        <w:t>on 30 November 2021</w:t>
      </w:r>
      <w:r w:rsidRPr="00D837EA">
        <w:rPr>
          <w:rFonts w:ascii="Arial" w:hAnsi="Arial" w:cs="Arial"/>
        </w:rPr>
        <w:t>.</w:t>
      </w:r>
      <w:r w:rsidR="00205F36" w:rsidRPr="00D837EA">
        <w:rPr>
          <w:rFonts w:ascii="Arial" w:hAnsi="Arial" w:cs="Arial"/>
        </w:rPr>
        <w:t xml:space="preserve"> The Committee Chair also tabled a dissenting report. </w:t>
      </w:r>
      <w:r w:rsidRPr="00D837EA">
        <w:rPr>
          <w:rFonts w:ascii="Arial" w:hAnsi="Arial" w:cs="Arial"/>
        </w:rPr>
        <w:t xml:space="preserve">The </w:t>
      </w:r>
      <w:r w:rsidR="00205F36" w:rsidRPr="00D837EA">
        <w:rPr>
          <w:rFonts w:ascii="Arial" w:hAnsi="Arial" w:cs="Arial"/>
        </w:rPr>
        <w:t xml:space="preserve">Select Committee’s </w:t>
      </w:r>
      <w:r w:rsidRPr="00D837EA">
        <w:rPr>
          <w:rFonts w:ascii="Arial" w:hAnsi="Arial" w:cs="Arial"/>
        </w:rPr>
        <w:t xml:space="preserve">Report made </w:t>
      </w:r>
      <w:r w:rsidR="000855E8" w:rsidRPr="00D837EA">
        <w:rPr>
          <w:rFonts w:ascii="Arial" w:hAnsi="Arial" w:cs="Arial"/>
        </w:rPr>
        <w:t>17</w:t>
      </w:r>
      <w:r w:rsidRPr="00D837EA">
        <w:rPr>
          <w:rFonts w:ascii="Arial" w:hAnsi="Arial" w:cs="Arial"/>
        </w:rPr>
        <w:t xml:space="preserve"> recommendations</w:t>
      </w:r>
      <w:r w:rsidR="00C32224" w:rsidRPr="00D837EA">
        <w:rPr>
          <w:rFonts w:ascii="Arial" w:hAnsi="Arial" w:cs="Arial"/>
        </w:rPr>
        <w:t>. Recommendations in relation to the Bill</w:t>
      </w:r>
      <w:r w:rsidRPr="00D837EA">
        <w:rPr>
          <w:rFonts w:ascii="Arial" w:hAnsi="Arial" w:cs="Arial"/>
        </w:rPr>
        <w:t xml:space="preserve"> supported the intent of the Bill, whil</w:t>
      </w:r>
      <w:r w:rsidR="00C32224" w:rsidRPr="00D837EA">
        <w:rPr>
          <w:rFonts w:ascii="Arial" w:hAnsi="Arial" w:cs="Arial"/>
        </w:rPr>
        <w:t>e</w:t>
      </w:r>
      <w:r w:rsidRPr="00D837EA">
        <w:rPr>
          <w:rFonts w:ascii="Arial" w:hAnsi="Arial" w:cs="Arial"/>
        </w:rPr>
        <w:t xml:space="preserve"> also seeking to provide direction on </w:t>
      </w:r>
      <w:r w:rsidR="000855E8" w:rsidRPr="00D837EA">
        <w:rPr>
          <w:rFonts w:ascii="Arial" w:hAnsi="Arial" w:cs="Arial"/>
        </w:rPr>
        <w:t xml:space="preserve">potential </w:t>
      </w:r>
      <w:r w:rsidRPr="00D837EA">
        <w:rPr>
          <w:rFonts w:ascii="Arial" w:hAnsi="Arial" w:cs="Arial"/>
        </w:rPr>
        <w:t>improvements.</w:t>
      </w:r>
      <w:r w:rsidR="000855E8" w:rsidRPr="00D837EA">
        <w:rPr>
          <w:rFonts w:ascii="Arial" w:hAnsi="Arial" w:cs="Arial"/>
        </w:rPr>
        <w:t xml:space="preserve"> </w:t>
      </w:r>
    </w:p>
    <w:p w14:paraId="5E775935" w14:textId="77777777" w:rsidR="00AC10F5" w:rsidRPr="00D837EA" w:rsidRDefault="00845358" w:rsidP="003167B6">
      <w:pPr>
        <w:spacing w:before="240"/>
        <w:rPr>
          <w:rFonts w:ascii="Arial" w:hAnsi="Arial" w:cs="Arial"/>
        </w:rPr>
      </w:pPr>
      <w:r w:rsidRPr="00D837EA">
        <w:rPr>
          <w:rFonts w:ascii="Arial" w:hAnsi="Arial" w:cs="Arial"/>
        </w:rPr>
        <w:t xml:space="preserve">On </w:t>
      </w:r>
      <w:r w:rsidR="00AF7A00" w:rsidRPr="00D837EA">
        <w:rPr>
          <w:rFonts w:ascii="Arial" w:hAnsi="Arial" w:cs="Arial"/>
        </w:rPr>
        <w:t>9</w:t>
      </w:r>
      <w:r w:rsidR="00C32224" w:rsidRPr="00D837EA">
        <w:rPr>
          <w:rFonts w:ascii="Arial" w:hAnsi="Arial" w:cs="Arial"/>
        </w:rPr>
        <w:t xml:space="preserve"> June</w:t>
      </w:r>
      <w:r w:rsidRPr="00D837EA">
        <w:rPr>
          <w:rFonts w:ascii="Arial" w:hAnsi="Arial" w:cs="Arial"/>
        </w:rPr>
        <w:t xml:space="preserve"> 2</w:t>
      </w:r>
      <w:r w:rsidR="00C32224" w:rsidRPr="00D837EA">
        <w:rPr>
          <w:rFonts w:ascii="Arial" w:hAnsi="Arial" w:cs="Arial"/>
        </w:rPr>
        <w:t>022</w:t>
      </w:r>
      <w:r w:rsidRPr="00D837EA">
        <w:rPr>
          <w:rFonts w:ascii="Arial" w:hAnsi="Arial" w:cs="Arial"/>
        </w:rPr>
        <w:t>, the Government respond</w:t>
      </w:r>
      <w:r w:rsidR="00C32224" w:rsidRPr="00D837EA">
        <w:rPr>
          <w:rFonts w:ascii="Arial" w:hAnsi="Arial" w:cs="Arial"/>
        </w:rPr>
        <w:t>ed</w:t>
      </w:r>
      <w:r w:rsidRPr="00D837EA">
        <w:rPr>
          <w:rFonts w:ascii="Arial" w:hAnsi="Arial" w:cs="Arial"/>
        </w:rPr>
        <w:t xml:space="preserve"> to the </w:t>
      </w:r>
      <w:r w:rsidR="00C32224" w:rsidRPr="00D837EA">
        <w:rPr>
          <w:rFonts w:ascii="Arial" w:hAnsi="Arial" w:cs="Arial"/>
        </w:rPr>
        <w:t>C</w:t>
      </w:r>
      <w:r w:rsidRPr="00D837EA">
        <w:rPr>
          <w:rFonts w:ascii="Arial" w:hAnsi="Arial" w:cs="Arial"/>
        </w:rPr>
        <w:t xml:space="preserve">ommittee report and agreed </w:t>
      </w:r>
      <w:r w:rsidR="000855E8" w:rsidRPr="00D837EA">
        <w:rPr>
          <w:rFonts w:ascii="Arial" w:hAnsi="Arial" w:cs="Arial"/>
        </w:rPr>
        <w:t xml:space="preserve">in full or in principle </w:t>
      </w:r>
      <w:r w:rsidRPr="00D837EA">
        <w:rPr>
          <w:rFonts w:ascii="Arial" w:hAnsi="Arial" w:cs="Arial"/>
        </w:rPr>
        <w:t xml:space="preserve">to </w:t>
      </w:r>
      <w:r w:rsidR="000855E8" w:rsidRPr="00D837EA">
        <w:rPr>
          <w:rFonts w:ascii="Arial" w:hAnsi="Arial" w:cs="Arial"/>
        </w:rPr>
        <w:t>the majority of the recommendations.</w:t>
      </w:r>
    </w:p>
    <w:p w14:paraId="5FC17813" w14:textId="2EC3C6CB" w:rsidR="00AC10F5" w:rsidRPr="00D837EA" w:rsidRDefault="00845358" w:rsidP="003167B6">
      <w:pPr>
        <w:spacing w:before="240"/>
        <w:rPr>
          <w:rFonts w:ascii="Arial" w:hAnsi="Arial" w:cs="Arial"/>
        </w:rPr>
      </w:pPr>
      <w:r w:rsidRPr="00D837EA">
        <w:rPr>
          <w:rFonts w:ascii="Arial" w:hAnsi="Arial" w:cs="Arial"/>
        </w:rPr>
        <w:t xml:space="preserve">The purpose of </w:t>
      </w:r>
      <w:r w:rsidR="00C32224" w:rsidRPr="00D837EA">
        <w:rPr>
          <w:rFonts w:ascii="Arial" w:hAnsi="Arial" w:cs="Arial"/>
        </w:rPr>
        <w:t>the Government amendments</w:t>
      </w:r>
      <w:r w:rsidRPr="00D837EA">
        <w:rPr>
          <w:rFonts w:ascii="Arial" w:hAnsi="Arial" w:cs="Arial"/>
        </w:rPr>
        <w:t xml:space="preserve"> </w:t>
      </w:r>
      <w:r w:rsidR="00984DFC" w:rsidRPr="00D837EA">
        <w:rPr>
          <w:rFonts w:ascii="Arial" w:hAnsi="Arial" w:cs="Arial"/>
        </w:rPr>
        <w:t xml:space="preserve">is to </w:t>
      </w:r>
      <w:r w:rsidR="00AC10F5" w:rsidRPr="00D837EA">
        <w:rPr>
          <w:rFonts w:ascii="Arial" w:hAnsi="Arial" w:cs="Arial"/>
        </w:rPr>
        <w:t xml:space="preserve">enable </w:t>
      </w:r>
      <w:r w:rsidR="00984DFC" w:rsidRPr="00D837EA">
        <w:rPr>
          <w:rFonts w:ascii="Arial" w:hAnsi="Arial" w:cs="Arial"/>
        </w:rPr>
        <w:t xml:space="preserve">the </w:t>
      </w:r>
      <w:r w:rsidR="000855E8" w:rsidRPr="00D837EA">
        <w:rPr>
          <w:rFonts w:ascii="Arial" w:hAnsi="Arial" w:cs="Arial"/>
        </w:rPr>
        <w:t xml:space="preserve">Private Member’s </w:t>
      </w:r>
      <w:r w:rsidR="00984DFC" w:rsidRPr="00D837EA">
        <w:rPr>
          <w:rFonts w:ascii="Arial" w:hAnsi="Arial" w:cs="Arial"/>
        </w:rPr>
        <w:t xml:space="preserve">Bill better meet its aims </w:t>
      </w:r>
      <w:r w:rsidR="00AC10F5" w:rsidRPr="00D837EA">
        <w:rPr>
          <w:rFonts w:ascii="Arial" w:hAnsi="Arial" w:cs="Arial"/>
        </w:rPr>
        <w:t xml:space="preserve">of prioritising </w:t>
      </w:r>
      <w:r w:rsidR="00984DFC" w:rsidRPr="00D837EA">
        <w:rPr>
          <w:rFonts w:ascii="Arial" w:hAnsi="Arial" w:cs="Arial"/>
        </w:rPr>
        <w:t>a health</w:t>
      </w:r>
      <w:r w:rsidR="00984DFC" w:rsidRPr="00D837EA">
        <w:rPr>
          <w:rFonts w:ascii="Arial" w:hAnsi="Arial" w:cs="Arial"/>
        </w:rPr>
        <w:noBreakHyphen/>
        <w:t xml:space="preserve">focused response to illicit drug </w:t>
      </w:r>
      <w:r w:rsidR="00AC10F5" w:rsidRPr="00D837EA">
        <w:rPr>
          <w:rFonts w:ascii="Arial" w:hAnsi="Arial" w:cs="Arial"/>
        </w:rPr>
        <w:t xml:space="preserve">personal </w:t>
      </w:r>
      <w:r w:rsidR="00984DFC" w:rsidRPr="00D837EA">
        <w:rPr>
          <w:rFonts w:ascii="Arial" w:hAnsi="Arial" w:cs="Arial"/>
        </w:rPr>
        <w:t>possession and increase diversion away from the criminal justice system.</w:t>
      </w:r>
    </w:p>
    <w:p w14:paraId="1A77DE2A" w14:textId="27AE1C82" w:rsidR="0033351E" w:rsidRPr="00D837EA" w:rsidRDefault="0033351E" w:rsidP="003167B6">
      <w:pPr>
        <w:spacing w:before="240"/>
        <w:rPr>
          <w:rFonts w:ascii="Arial" w:hAnsi="Arial" w:cs="Arial"/>
        </w:rPr>
      </w:pPr>
      <w:r w:rsidRPr="00D837EA">
        <w:rPr>
          <w:rFonts w:ascii="Arial" w:hAnsi="Arial" w:cs="Arial"/>
        </w:rPr>
        <w:t xml:space="preserve">The ACT Government does not condone or encourage the recreational use of illicit drugs. This is a message </w:t>
      </w:r>
      <w:r w:rsidR="00AC10F5" w:rsidRPr="00D837EA">
        <w:rPr>
          <w:rFonts w:ascii="Arial" w:hAnsi="Arial" w:cs="Arial"/>
        </w:rPr>
        <w:t xml:space="preserve">the Government </w:t>
      </w:r>
      <w:r w:rsidRPr="00D837EA">
        <w:rPr>
          <w:rFonts w:ascii="Arial" w:hAnsi="Arial" w:cs="Arial"/>
        </w:rPr>
        <w:t>will continue to share with the Canberra community both in the context of this legislation, and more broadly.</w:t>
      </w:r>
    </w:p>
    <w:p w14:paraId="0392A8A2" w14:textId="410A7FED" w:rsidR="0033351E" w:rsidRPr="00D837EA" w:rsidRDefault="0033351E" w:rsidP="003167B6">
      <w:pPr>
        <w:spacing w:before="240"/>
        <w:rPr>
          <w:rFonts w:ascii="Arial" w:hAnsi="Arial" w:cs="Arial"/>
        </w:rPr>
      </w:pPr>
      <w:r w:rsidRPr="00D837EA">
        <w:rPr>
          <w:rFonts w:ascii="Arial" w:hAnsi="Arial" w:cs="Arial"/>
        </w:rPr>
        <w:lastRenderedPageBreak/>
        <w:t xml:space="preserve">However, we must also acknowledge that the outright prohibition model of drug policy is not working, as drug use is prevalent across Australia and within the ACT. There is good evidence from drug law reform around the world that a harm minimisation approach delivers better outcomes both for individuals and communities. </w:t>
      </w:r>
    </w:p>
    <w:p w14:paraId="622832CC" w14:textId="51046F18" w:rsidR="0033351E" w:rsidRPr="00D837EA" w:rsidRDefault="0033351E" w:rsidP="003167B6">
      <w:pPr>
        <w:pStyle w:val="Body"/>
        <w:spacing w:before="240" w:after="0" w:line="240" w:lineRule="auto"/>
        <w:rPr>
          <w:rFonts w:ascii="Arial" w:eastAsia="Times New Roman" w:hAnsi="Arial" w:cs="Arial"/>
          <w:color w:val="auto"/>
          <w:sz w:val="24"/>
          <w:szCs w:val="24"/>
          <w:bdr w:val="none" w:sz="0" w:space="0" w:color="auto"/>
          <w:lang w:val="en-AU"/>
        </w:rPr>
      </w:pPr>
      <w:r w:rsidRPr="00D837EA">
        <w:rPr>
          <w:rFonts w:ascii="Arial" w:eastAsia="Times New Roman" w:hAnsi="Arial" w:cs="Arial"/>
          <w:color w:val="auto"/>
          <w:sz w:val="24"/>
          <w:szCs w:val="24"/>
          <w:bdr w:val="none" w:sz="0" w:space="0" w:color="auto"/>
          <w:lang w:val="en-AU"/>
        </w:rPr>
        <w:t xml:space="preserve">This is why the ACT Government is taking a harm minimisation approach by supporting the Private Member’s Bill and introducing a range of amendments to </w:t>
      </w:r>
      <w:r w:rsidR="000855E8" w:rsidRPr="00D837EA">
        <w:rPr>
          <w:rFonts w:ascii="Arial" w:eastAsia="Times New Roman" w:hAnsi="Arial" w:cs="Arial"/>
          <w:color w:val="auto"/>
          <w:sz w:val="24"/>
          <w:szCs w:val="24"/>
          <w:bdr w:val="none" w:sz="0" w:space="0" w:color="auto"/>
          <w:lang w:val="en-AU"/>
        </w:rPr>
        <w:t>further support the health of the ACT community.</w:t>
      </w:r>
    </w:p>
    <w:p w14:paraId="1B5B242D" w14:textId="2BB2BC63" w:rsidR="00DE5006" w:rsidRPr="00D837EA" w:rsidRDefault="00DE5006" w:rsidP="003167B6">
      <w:pPr>
        <w:spacing w:before="240"/>
        <w:ind w:left="1440" w:hanging="1440"/>
        <w:rPr>
          <w:rFonts w:ascii="Arial" w:hAnsi="Arial" w:cs="Arial"/>
          <w:b/>
        </w:rPr>
      </w:pPr>
      <w:r w:rsidRPr="00D837EA">
        <w:rPr>
          <w:rFonts w:ascii="Arial" w:hAnsi="Arial" w:cs="Arial"/>
          <w:b/>
        </w:rPr>
        <w:t>OVERVIEW OF AMENDMENTS</w:t>
      </w:r>
    </w:p>
    <w:p w14:paraId="6D93D11C" w14:textId="49B2EF14" w:rsidR="006B7479" w:rsidRPr="00D837EA" w:rsidRDefault="006B7479" w:rsidP="003167B6">
      <w:pPr>
        <w:pStyle w:val="Default"/>
        <w:spacing w:before="240"/>
      </w:pPr>
      <w:r w:rsidRPr="00D837EA">
        <w:t xml:space="preserve">The Government </w:t>
      </w:r>
      <w:r w:rsidR="00837351" w:rsidRPr="00D837EA">
        <w:t>amendments will</w:t>
      </w:r>
      <w:r w:rsidRPr="00D837EA">
        <w:t xml:space="preserve"> ensure </w:t>
      </w:r>
      <w:r w:rsidR="00AC10F5" w:rsidRPr="00D837EA">
        <w:t xml:space="preserve">the Private Member’s Bill </w:t>
      </w:r>
      <w:r w:rsidRPr="00D837EA">
        <w:t>best meets its stated objectives, and that possible unintended consequences are minimised. These amendments include:</w:t>
      </w:r>
    </w:p>
    <w:p w14:paraId="5ACA0958" w14:textId="4568C0FD" w:rsidR="006B7479" w:rsidRPr="00D837EA" w:rsidRDefault="006B7479" w:rsidP="003167B6">
      <w:pPr>
        <w:pStyle w:val="Default"/>
        <w:numPr>
          <w:ilvl w:val="0"/>
          <w:numId w:val="28"/>
        </w:numPr>
        <w:spacing w:before="120"/>
        <w:ind w:left="714" w:hanging="357"/>
      </w:pPr>
      <w:r w:rsidRPr="00D837EA">
        <w:t>Changes to place the existing (unlegislated) Illicit Drug Diversion Program on an equal legislative footing to the proposed Simple Drug Offence Notice</w:t>
      </w:r>
      <w:r w:rsidR="00FC6011" w:rsidRPr="00D837EA">
        <w:t xml:space="preserve"> (SDON)</w:t>
      </w:r>
      <w:r w:rsidRPr="00D837EA">
        <w:t>;</w:t>
      </w:r>
    </w:p>
    <w:p w14:paraId="13D55DA6" w14:textId="3423FD44" w:rsidR="006B7479" w:rsidRPr="00D837EA" w:rsidRDefault="006B7479" w:rsidP="003167B6">
      <w:pPr>
        <w:pStyle w:val="Default"/>
        <w:numPr>
          <w:ilvl w:val="0"/>
          <w:numId w:val="28"/>
        </w:numPr>
        <w:spacing w:before="120"/>
        <w:ind w:left="714" w:hanging="357"/>
      </w:pPr>
      <w:r w:rsidRPr="00D837EA">
        <w:t>Changing the name of the ‘Personal Possession Limit</w:t>
      </w:r>
      <w:r w:rsidR="00837351" w:rsidRPr="00D837EA">
        <w:t>’</w:t>
      </w:r>
      <w:r w:rsidRPr="00D837EA">
        <w:t xml:space="preserve"> proposed in the Private Member’s Bill to </w:t>
      </w:r>
      <w:r w:rsidR="00837351" w:rsidRPr="00D837EA">
        <w:t>‘</w:t>
      </w:r>
      <w:r w:rsidRPr="00D837EA">
        <w:t>small quantity</w:t>
      </w:r>
      <w:r w:rsidR="00837351" w:rsidRPr="00D837EA">
        <w:t>’</w:t>
      </w:r>
      <w:r w:rsidRPr="00D837EA">
        <w:t xml:space="preserve"> to better describe its purpose;</w:t>
      </w:r>
      <w:r w:rsidR="00AC10F5" w:rsidRPr="00D837EA">
        <w:t xml:space="preserve"> </w:t>
      </w:r>
    </w:p>
    <w:p w14:paraId="7B765343" w14:textId="11466C97" w:rsidR="006B7479" w:rsidRPr="00D837EA" w:rsidRDefault="006B7479" w:rsidP="003167B6">
      <w:pPr>
        <w:pStyle w:val="Default"/>
        <w:numPr>
          <w:ilvl w:val="0"/>
          <w:numId w:val="28"/>
        </w:numPr>
        <w:spacing w:before="120"/>
        <w:ind w:left="714" w:hanging="357"/>
      </w:pPr>
      <w:r w:rsidRPr="00D837EA">
        <w:t xml:space="preserve">Making the </w:t>
      </w:r>
      <w:r w:rsidR="00837351" w:rsidRPr="00D837EA">
        <w:t>‘</w:t>
      </w:r>
      <w:r w:rsidRPr="00D837EA">
        <w:t>small quantity</w:t>
      </w:r>
      <w:r w:rsidR="00837351" w:rsidRPr="00D837EA">
        <w:t>’</w:t>
      </w:r>
      <w:r w:rsidRPr="00D837EA">
        <w:t xml:space="preserve"> amounts more consistent across different drugs and more reflective of evidence of consumption patterns;</w:t>
      </w:r>
    </w:p>
    <w:p w14:paraId="056526C2" w14:textId="49531340" w:rsidR="006B7479" w:rsidRPr="00D837EA" w:rsidRDefault="006B7479" w:rsidP="003167B6">
      <w:pPr>
        <w:pStyle w:val="Default"/>
        <w:numPr>
          <w:ilvl w:val="0"/>
          <w:numId w:val="28"/>
        </w:numPr>
        <w:spacing w:before="120"/>
        <w:ind w:left="714" w:hanging="357"/>
      </w:pPr>
      <w:r w:rsidRPr="00D837EA">
        <w:t>Adjusting the list of drugs eligible for reduced penalties</w:t>
      </w:r>
      <w:r w:rsidR="00837351" w:rsidRPr="00D837EA">
        <w:t>, to allow for a staged approach to these significant reforms</w:t>
      </w:r>
      <w:r w:rsidRPr="00D837EA">
        <w:t xml:space="preserve">; </w:t>
      </w:r>
    </w:p>
    <w:p w14:paraId="148C85DE" w14:textId="65A6FB34" w:rsidR="006B7479" w:rsidRPr="00D837EA" w:rsidRDefault="006B7479" w:rsidP="003167B6">
      <w:pPr>
        <w:pStyle w:val="Default"/>
        <w:numPr>
          <w:ilvl w:val="0"/>
          <w:numId w:val="28"/>
        </w:numPr>
        <w:spacing w:before="120"/>
        <w:ind w:left="714" w:hanging="357"/>
      </w:pPr>
      <w:r w:rsidRPr="00D837EA">
        <w:t>Ensuring that the list of drugs eligible for reduced penalties is in regulation, rather than in legislation, so that it can be more easily amended to take account of changing trends in future; and</w:t>
      </w:r>
    </w:p>
    <w:p w14:paraId="6DF861A0" w14:textId="0592DD38" w:rsidR="006B7479" w:rsidRPr="00D837EA" w:rsidRDefault="006B7479" w:rsidP="003167B6">
      <w:pPr>
        <w:pStyle w:val="Default"/>
        <w:numPr>
          <w:ilvl w:val="0"/>
          <w:numId w:val="28"/>
        </w:numPr>
        <w:spacing w:before="120"/>
        <w:ind w:left="714" w:hanging="357"/>
      </w:pPr>
      <w:r w:rsidRPr="00D837EA">
        <w:t>Reducing the maximum prison sentence for personal possession offences for all illicit drugs</w:t>
      </w:r>
      <w:r w:rsidR="00C40FF0" w:rsidRPr="00D837EA">
        <w:t xml:space="preserve">, in line with the harm minimisation principles of the </w:t>
      </w:r>
      <w:r w:rsidR="00C66148" w:rsidRPr="00D837EA">
        <w:t>Private Member’s Bill</w:t>
      </w:r>
      <w:r w:rsidR="00C40FF0" w:rsidRPr="00D837EA">
        <w:t xml:space="preserve"> and the Government’s overarching approach to alcohol and other drug policy.</w:t>
      </w:r>
    </w:p>
    <w:p w14:paraId="4B967A89" w14:textId="445EED94" w:rsidR="00837351" w:rsidRPr="00D837EA" w:rsidRDefault="00837351" w:rsidP="003167B6">
      <w:pPr>
        <w:pStyle w:val="Default"/>
        <w:spacing w:before="240"/>
      </w:pPr>
      <w:r w:rsidRPr="00D837EA">
        <w:t xml:space="preserve">The Government amendments also delay the commencement of the legislation for 12 months after its passage to allow for </w:t>
      </w:r>
      <w:r w:rsidR="00205F36" w:rsidRPr="00D837EA">
        <w:t xml:space="preserve">appropriate </w:t>
      </w:r>
      <w:r w:rsidRPr="00D837EA">
        <w:t>police training</w:t>
      </w:r>
      <w:r w:rsidR="00205F36" w:rsidRPr="00D837EA">
        <w:t xml:space="preserve"> and review of supporting administrative arrangements.</w:t>
      </w:r>
    </w:p>
    <w:p w14:paraId="2D6A489E" w14:textId="7CB88C81" w:rsidR="00211E90" w:rsidRPr="00D837EA" w:rsidRDefault="00211E90" w:rsidP="003167B6">
      <w:pPr>
        <w:spacing w:before="240"/>
        <w:ind w:left="1440" w:hanging="1440"/>
        <w:rPr>
          <w:rFonts w:ascii="Arial" w:hAnsi="Arial" w:cs="Arial"/>
          <w:b/>
        </w:rPr>
      </w:pPr>
      <w:r w:rsidRPr="00D837EA">
        <w:rPr>
          <w:rFonts w:ascii="Arial" w:hAnsi="Arial" w:cs="Arial"/>
          <w:b/>
        </w:rPr>
        <w:t>HUMAN RIGHTS</w:t>
      </w:r>
    </w:p>
    <w:p w14:paraId="1EF36D22" w14:textId="350FD85A" w:rsidR="008F0973" w:rsidRPr="00D837EA" w:rsidRDefault="008F0973" w:rsidP="003167B6">
      <w:pPr>
        <w:spacing w:before="240"/>
        <w:rPr>
          <w:rFonts w:ascii="Arial" w:hAnsi="Arial" w:cs="Arial"/>
        </w:rPr>
      </w:pPr>
      <w:r w:rsidRPr="00D837EA">
        <w:rPr>
          <w:rFonts w:ascii="Arial" w:hAnsi="Arial" w:cs="Arial"/>
        </w:rPr>
        <w:t xml:space="preserve">The </w:t>
      </w:r>
      <w:r w:rsidR="00205F36" w:rsidRPr="00D837EA">
        <w:rPr>
          <w:rFonts w:ascii="Arial" w:hAnsi="Arial" w:cs="Arial"/>
        </w:rPr>
        <w:t>Private Member’s Bill</w:t>
      </w:r>
      <w:r w:rsidRPr="00D837EA">
        <w:rPr>
          <w:rFonts w:ascii="Arial" w:hAnsi="Arial" w:cs="Arial"/>
        </w:rPr>
        <w:t xml:space="preserve"> and amendments may have potential human rights implications. Where an individual’s human rights are affected in any capacity, the limitations are reasonable with further justification provided below.</w:t>
      </w:r>
    </w:p>
    <w:p w14:paraId="7BAE8186" w14:textId="40555F5A" w:rsidR="008F0973" w:rsidRPr="00D837EA" w:rsidRDefault="008F0973" w:rsidP="003167B6">
      <w:pPr>
        <w:spacing w:before="240"/>
        <w:rPr>
          <w:rFonts w:ascii="Arial" w:hAnsi="Arial" w:cs="Arial"/>
        </w:rPr>
      </w:pPr>
      <w:r w:rsidRPr="00D837EA">
        <w:rPr>
          <w:rFonts w:ascii="Arial" w:hAnsi="Arial" w:cs="Arial"/>
        </w:rPr>
        <w:t xml:space="preserve">A broad summary of the human rights </w:t>
      </w:r>
      <w:r w:rsidR="00205F36" w:rsidRPr="00D837EA">
        <w:rPr>
          <w:rFonts w:ascii="Arial" w:hAnsi="Arial" w:cs="Arial"/>
        </w:rPr>
        <w:t>engaged</w:t>
      </w:r>
      <w:r w:rsidRPr="00D837EA">
        <w:rPr>
          <w:rFonts w:ascii="Arial" w:hAnsi="Arial" w:cs="Arial"/>
        </w:rPr>
        <w:t xml:space="preserve"> by the </w:t>
      </w:r>
      <w:r w:rsidR="00205F36" w:rsidRPr="00D837EA">
        <w:rPr>
          <w:rFonts w:ascii="Arial" w:hAnsi="Arial" w:cs="Arial"/>
        </w:rPr>
        <w:t xml:space="preserve">Private Member’s </w:t>
      </w:r>
      <w:r w:rsidRPr="00D837EA">
        <w:rPr>
          <w:rFonts w:ascii="Arial" w:hAnsi="Arial" w:cs="Arial"/>
        </w:rPr>
        <w:t>Bill can be found in the</w:t>
      </w:r>
      <w:r w:rsidR="001A6999" w:rsidRPr="00D837EA">
        <w:rPr>
          <w:rFonts w:ascii="Arial" w:hAnsi="Arial" w:cs="Arial"/>
        </w:rPr>
        <w:t xml:space="preserve"> </w:t>
      </w:r>
      <w:r w:rsidRPr="00D837EA">
        <w:rPr>
          <w:rFonts w:ascii="Arial" w:hAnsi="Arial" w:cs="Arial"/>
        </w:rPr>
        <w:t>explanatory statement</w:t>
      </w:r>
      <w:r w:rsidR="009E778E" w:rsidRPr="00D837EA">
        <w:rPr>
          <w:rFonts w:ascii="Arial" w:hAnsi="Arial" w:cs="Arial"/>
        </w:rPr>
        <w:t xml:space="preserve"> for that Bill</w:t>
      </w:r>
      <w:r w:rsidRPr="00D837EA">
        <w:rPr>
          <w:rFonts w:ascii="Arial" w:hAnsi="Arial" w:cs="Arial"/>
        </w:rPr>
        <w:t>. Therefore</w:t>
      </w:r>
      <w:r w:rsidR="009E778E" w:rsidRPr="00D837EA">
        <w:rPr>
          <w:rFonts w:ascii="Arial" w:hAnsi="Arial" w:cs="Arial"/>
        </w:rPr>
        <w:t>,</w:t>
      </w:r>
      <w:r w:rsidRPr="00D837EA">
        <w:rPr>
          <w:rFonts w:ascii="Arial" w:hAnsi="Arial" w:cs="Arial"/>
        </w:rPr>
        <w:t xml:space="preserve"> this commentary is focused on a comparison of any potential limitations and impact of the Government amendments only. </w:t>
      </w:r>
    </w:p>
    <w:p w14:paraId="0BB6A788" w14:textId="41CCD724" w:rsidR="008F0973" w:rsidRPr="00D837EA" w:rsidRDefault="008F0973" w:rsidP="003167B6">
      <w:pPr>
        <w:spacing w:before="240"/>
        <w:rPr>
          <w:rFonts w:ascii="Arial" w:hAnsi="Arial" w:cs="Arial"/>
        </w:rPr>
      </w:pPr>
      <w:r w:rsidRPr="00D837EA">
        <w:rPr>
          <w:rFonts w:ascii="Arial" w:hAnsi="Arial" w:cs="Arial"/>
        </w:rPr>
        <w:lastRenderedPageBreak/>
        <w:t xml:space="preserve">The </w:t>
      </w:r>
      <w:r w:rsidR="00FC6011" w:rsidRPr="00D837EA">
        <w:rPr>
          <w:rFonts w:ascii="Arial" w:hAnsi="Arial" w:cs="Arial"/>
        </w:rPr>
        <w:t>Private Member’s Bill</w:t>
      </w:r>
      <w:r w:rsidRPr="00D837EA">
        <w:rPr>
          <w:rFonts w:ascii="Arial" w:hAnsi="Arial" w:cs="Arial"/>
        </w:rPr>
        <w:t xml:space="preserve"> and amendments may engage the following rights under the </w:t>
      </w:r>
      <w:r w:rsidRPr="00D837EA">
        <w:rPr>
          <w:rFonts w:ascii="Arial" w:hAnsi="Arial" w:cs="Arial"/>
          <w:i/>
          <w:iCs/>
        </w:rPr>
        <w:t>Human Rights Act 2004</w:t>
      </w:r>
      <w:r w:rsidRPr="00D837EA">
        <w:rPr>
          <w:rFonts w:ascii="Arial" w:hAnsi="Arial" w:cs="Arial"/>
        </w:rPr>
        <w:t xml:space="preserve"> (HR Act):</w:t>
      </w:r>
    </w:p>
    <w:p w14:paraId="01B16BDE" w14:textId="77777777" w:rsidR="008F0973" w:rsidRPr="00D837EA" w:rsidRDefault="008F0973" w:rsidP="003167B6">
      <w:pPr>
        <w:pStyle w:val="ListParagraph"/>
        <w:numPr>
          <w:ilvl w:val="0"/>
          <w:numId w:val="29"/>
        </w:numPr>
        <w:spacing w:before="120" w:after="0"/>
        <w:ind w:left="714" w:hanging="357"/>
        <w:contextualSpacing w:val="0"/>
        <w:rPr>
          <w:rFonts w:ascii="Arial" w:hAnsi="Arial" w:cs="Arial"/>
          <w:sz w:val="24"/>
          <w:szCs w:val="24"/>
        </w:rPr>
      </w:pPr>
      <w:r w:rsidRPr="00D837EA">
        <w:rPr>
          <w:rFonts w:ascii="Arial" w:hAnsi="Arial" w:cs="Arial"/>
          <w:sz w:val="24"/>
          <w:szCs w:val="24"/>
        </w:rPr>
        <w:t xml:space="preserve">Section 8 – Recognition and equality before the law; </w:t>
      </w:r>
    </w:p>
    <w:p w14:paraId="0E83D089" w14:textId="77777777" w:rsidR="008F0973" w:rsidRPr="00D837EA" w:rsidRDefault="008F0973" w:rsidP="003167B6">
      <w:pPr>
        <w:pStyle w:val="ListParagraph"/>
        <w:numPr>
          <w:ilvl w:val="0"/>
          <w:numId w:val="29"/>
        </w:numPr>
        <w:spacing w:before="120" w:after="0"/>
        <w:ind w:left="714" w:hanging="357"/>
        <w:contextualSpacing w:val="0"/>
        <w:rPr>
          <w:rFonts w:ascii="Arial" w:hAnsi="Arial" w:cs="Arial"/>
          <w:sz w:val="24"/>
          <w:szCs w:val="24"/>
        </w:rPr>
      </w:pPr>
      <w:r w:rsidRPr="00D837EA">
        <w:rPr>
          <w:rFonts w:ascii="Arial" w:hAnsi="Arial" w:cs="Arial"/>
          <w:sz w:val="24"/>
          <w:szCs w:val="24"/>
        </w:rPr>
        <w:t>Section 9 – Right to life;</w:t>
      </w:r>
    </w:p>
    <w:p w14:paraId="71E3C3AD" w14:textId="63B44557" w:rsidR="008F0973" w:rsidRPr="00D837EA" w:rsidRDefault="008F0973" w:rsidP="003167B6">
      <w:pPr>
        <w:pStyle w:val="ListParagraph"/>
        <w:numPr>
          <w:ilvl w:val="0"/>
          <w:numId w:val="29"/>
        </w:numPr>
        <w:spacing w:before="120" w:after="0"/>
        <w:ind w:left="714" w:hanging="357"/>
        <w:contextualSpacing w:val="0"/>
        <w:rPr>
          <w:rFonts w:ascii="Arial" w:hAnsi="Arial" w:cs="Arial"/>
          <w:sz w:val="24"/>
          <w:szCs w:val="24"/>
        </w:rPr>
      </w:pPr>
      <w:r w:rsidRPr="00D837EA">
        <w:rPr>
          <w:rFonts w:ascii="Arial" w:hAnsi="Arial" w:cs="Arial"/>
          <w:sz w:val="24"/>
          <w:szCs w:val="24"/>
        </w:rPr>
        <w:t>Section 18 – Right to liberty and security of person;</w:t>
      </w:r>
      <w:r w:rsidR="00470121" w:rsidRPr="00D837EA">
        <w:rPr>
          <w:rFonts w:ascii="Arial" w:hAnsi="Arial" w:cs="Arial"/>
          <w:sz w:val="24"/>
          <w:szCs w:val="24"/>
        </w:rPr>
        <w:t xml:space="preserve"> and</w:t>
      </w:r>
    </w:p>
    <w:p w14:paraId="49D6C5A0" w14:textId="77777777" w:rsidR="008F0973" w:rsidRPr="00D837EA" w:rsidRDefault="008F0973" w:rsidP="003167B6">
      <w:pPr>
        <w:pStyle w:val="ListParagraph"/>
        <w:numPr>
          <w:ilvl w:val="0"/>
          <w:numId w:val="29"/>
        </w:numPr>
        <w:spacing w:before="120" w:after="0"/>
        <w:ind w:left="714" w:hanging="357"/>
        <w:contextualSpacing w:val="0"/>
        <w:rPr>
          <w:rFonts w:ascii="Arial" w:hAnsi="Arial" w:cs="Arial"/>
          <w:sz w:val="24"/>
          <w:szCs w:val="24"/>
        </w:rPr>
      </w:pPr>
      <w:r w:rsidRPr="00D837EA">
        <w:rPr>
          <w:rFonts w:ascii="Arial" w:hAnsi="Arial" w:cs="Arial"/>
          <w:sz w:val="24"/>
          <w:szCs w:val="24"/>
        </w:rPr>
        <w:t>Section 22 – Rights in criminal proceedings</w:t>
      </w:r>
    </w:p>
    <w:p w14:paraId="4F6855AE" w14:textId="60748B3B" w:rsidR="008F0973" w:rsidRPr="00D837EA" w:rsidRDefault="008F0973" w:rsidP="003167B6">
      <w:pPr>
        <w:spacing w:before="240"/>
        <w:rPr>
          <w:rFonts w:ascii="Arial" w:hAnsi="Arial" w:cs="Arial"/>
        </w:rPr>
      </w:pPr>
      <w:r w:rsidRPr="00D837EA">
        <w:rPr>
          <w:rFonts w:ascii="Arial" w:hAnsi="Arial" w:cs="Arial"/>
        </w:rPr>
        <w:t>Legislating the illicit drug diversion program, which is intended to increase access to this health</w:t>
      </w:r>
      <w:r w:rsidR="00FC6011" w:rsidRPr="00D837EA">
        <w:rPr>
          <w:rFonts w:ascii="Arial" w:hAnsi="Arial" w:cs="Arial"/>
        </w:rPr>
        <w:t>-focused</w:t>
      </w:r>
      <w:r w:rsidRPr="00D837EA">
        <w:rPr>
          <w:rFonts w:ascii="Arial" w:hAnsi="Arial" w:cs="Arial"/>
        </w:rPr>
        <w:t xml:space="preserve"> program (by prompting a review of </w:t>
      </w:r>
      <w:r w:rsidR="00FC6011" w:rsidRPr="00D837EA">
        <w:rPr>
          <w:rFonts w:ascii="Arial" w:hAnsi="Arial" w:cs="Arial"/>
        </w:rPr>
        <w:t xml:space="preserve">eligibility </w:t>
      </w:r>
      <w:r w:rsidRPr="00D837EA">
        <w:rPr>
          <w:rFonts w:ascii="Arial" w:hAnsi="Arial" w:cs="Arial"/>
        </w:rPr>
        <w:t>criteria), supports the right to life (</w:t>
      </w:r>
      <w:r w:rsidR="007E2814" w:rsidRPr="00D837EA">
        <w:rPr>
          <w:rFonts w:ascii="Arial" w:hAnsi="Arial" w:cs="Arial"/>
        </w:rPr>
        <w:t xml:space="preserve">HR Act </w:t>
      </w:r>
      <w:r w:rsidRPr="00D837EA">
        <w:rPr>
          <w:rFonts w:ascii="Arial" w:hAnsi="Arial" w:cs="Arial"/>
        </w:rPr>
        <w:t xml:space="preserve">section 9) </w:t>
      </w:r>
      <w:r w:rsidR="001A6999" w:rsidRPr="00D837EA">
        <w:rPr>
          <w:rFonts w:ascii="Arial" w:hAnsi="Arial" w:cs="Arial"/>
        </w:rPr>
        <w:t>because</w:t>
      </w:r>
      <w:r w:rsidRPr="00D837EA">
        <w:rPr>
          <w:rFonts w:ascii="Arial" w:hAnsi="Arial" w:cs="Arial"/>
        </w:rPr>
        <w:t xml:space="preserve"> it relates to the delivery of</w:t>
      </w:r>
      <w:r w:rsidR="001A6999" w:rsidRPr="00D837EA">
        <w:rPr>
          <w:rFonts w:ascii="Arial" w:hAnsi="Arial" w:cs="Arial"/>
        </w:rPr>
        <w:t>,</w:t>
      </w:r>
      <w:r w:rsidRPr="00D837EA">
        <w:rPr>
          <w:rFonts w:ascii="Arial" w:hAnsi="Arial" w:cs="Arial"/>
        </w:rPr>
        <w:t xml:space="preserve"> and may increase access to</w:t>
      </w:r>
      <w:r w:rsidR="001A6999" w:rsidRPr="00D837EA">
        <w:rPr>
          <w:rFonts w:ascii="Arial" w:hAnsi="Arial" w:cs="Arial"/>
        </w:rPr>
        <w:t>,</w:t>
      </w:r>
      <w:r w:rsidRPr="00D837EA">
        <w:rPr>
          <w:rFonts w:ascii="Arial" w:hAnsi="Arial" w:cs="Arial"/>
        </w:rPr>
        <w:t xml:space="preserve"> medical treatment.</w:t>
      </w:r>
      <w:r w:rsidR="00284401" w:rsidRPr="00D837EA">
        <w:t xml:space="preserve"> </w:t>
      </w:r>
      <w:r w:rsidR="00284401" w:rsidRPr="00D837EA">
        <w:rPr>
          <w:rFonts w:ascii="Arial" w:hAnsi="Arial" w:cs="Arial"/>
        </w:rPr>
        <w:t>Treatment options and support services have been shown to be highly effective</w:t>
      </w:r>
      <w:r w:rsidR="00284401" w:rsidRPr="00D837EA">
        <w:rPr>
          <w:rFonts w:ascii="Arial" w:hAnsi="Arial" w:cs="Arial"/>
        </w:rPr>
        <w:tab/>
        <w:t>in helping reduce risky alcohol, tobacco and other drug use as well as related problems for individuals and the broader community.</w:t>
      </w:r>
      <w:r w:rsidR="00284401" w:rsidRPr="00D837EA">
        <w:rPr>
          <w:rStyle w:val="FootnoteReference"/>
          <w:rFonts w:ascii="Arial" w:hAnsi="Arial" w:cs="Arial"/>
        </w:rPr>
        <w:footnoteReference w:id="2"/>
      </w:r>
      <w:r w:rsidR="00284401" w:rsidRPr="00D837EA">
        <w:rPr>
          <w:rFonts w:ascii="Arial" w:hAnsi="Arial" w:cs="Arial"/>
        </w:rPr>
        <w:t xml:space="preserve"> </w:t>
      </w:r>
      <w:r w:rsidR="00A15E12" w:rsidRPr="00D837EA">
        <w:rPr>
          <w:rFonts w:ascii="Arial" w:hAnsi="Arial" w:cs="Arial"/>
        </w:rPr>
        <w:t xml:space="preserve"> </w:t>
      </w:r>
      <w:r w:rsidRPr="00D837EA">
        <w:rPr>
          <w:rFonts w:ascii="Arial" w:hAnsi="Arial" w:cs="Arial"/>
        </w:rPr>
        <w:t xml:space="preserve">The </w:t>
      </w:r>
      <w:r w:rsidR="00FC6011" w:rsidRPr="00D837EA">
        <w:rPr>
          <w:rFonts w:ascii="Arial" w:hAnsi="Arial" w:cs="Arial"/>
        </w:rPr>
        <w:t>Private Member’s Bill</w:t>
      </w:r>
      <w:r w:rsidRPr="00D837EA">
        <w:rPr>
          <w:rFonts w:ascii="Arial" w:hAnsi="Arial" w:cs="Arial"/>
        </w:rPr>
        <w:t xml:space="preserve"> and Government amendments as a whole further support this right</w:t>
      </w:r>
      <w:r w:rsidR="001A6999" w:rsidRPr="00D837EA">
        <w:rPr>
          <w:rFonts w:ascii="Arial" w:hAnsi="Arial" w:cs="Arial"/>
        </w:rPr>
        <w:t>:</w:t>
      </w:r>
      <w:r w:rsidRPr="00D837EA">
        <w:rPr>
          <w:rFonts w:ascii="Arial" w:hAnsi="Arial" w:cs="Arial"/>
        </w:rPr>
        <w:t xml:space="preserve"> in reducing penalties for drug possession, they </w:t>
      </w:r>
      <w:r w:rsidR="001A6999" w:rsidRPr="00D837EA">
        <w:rPr>
          <w:rFonts w:ascii="Arial" w:hAnsi="Arial" w:cs="Arial"/>
        </w:rPr>
        <w:t>aim to</w:t>
      </w:r>
      <w:r w:rsidRPr="00D837EA">
        <w:rPr>
          <w:rFonts w:ascii="Arial" w:hAnsi="Arial" w:cs="Arial"/>
        </w:rPr>
        <w:t xml:space="preserve"> reduc</w:t>
      </w:r>
      <w:r w:rsidR="001A6999" w:rsidRPr="00D837EA">
        <w:rPr>
          <w:rFonts w:ascii="Arial" w:hAnsi="Arial" w:cs="Arial"/>
        </w:rPr>
        <w:t>e</w:t>
      </w:r>
      <w:r w:rsidRPr="00D837EA">
        <w:rPr>
          <w:rFonts w:ascii="Arial" w:hAnsi="Arial" w:cs="Arial"/>
        </w:rPr>
        <w:t xml:space="preserve"> stigmatisation of people who use drugs, and thereby encourag</w:t>
      </w:r>
      <w:r w:rsidR="001A6999" w:rsidRPr="00D837EA">
        <w:rPr>
          <w:rFonts w:ascii="Arial" w:hAnsi="Arial" w:cs="Arial"/>
        </w:rPr>
        <w:t>e</w:t>
      </w:r>
      <w:r w:rsidRPr="00D837EA">
        <w:rPr>
          <w:rFonts w:ascii="Arial" w:hAnsi="Arial" w:cs="Arial"/>
        </w:rPr>
        <w:t xml:space="preserve"> them to seek treatment.</w:t>
      </w:r>
      <w:r w:rsidR="00A15E12" w:rsidRPr="00D837EA">
        <w:rPr>
          <w:rFonts w:ascii="Arial" w:hAnsi="Arial" w:cs="Arial"/>
        </w:rPr>
        <w:t xml:space="preserve"> </w:t>
      </w:r>
    </w:p>
    <w:p w14:paraId="1FEA12A2" w14:textId="0FF0E905" w:rsidR="00470121" w:rsidRPr="00D837EA" w:rsidRDefault="008F0973" w:rsidP="003167B6">
      <w:pPr>
        <w:spacing w:before="240"/>
        <w:rPr>
          <w:rFonts w:ascii="Arial" w:hAnsi="Arial" w:cs="Arial"/>
        </w:rPr>
      </w:pPr>
      <w:r w:rsidRPr="00D837EA">
        <w:rPr>
          <w:rFonts w:ascii="Arial" w:hAnsi="Arial" w:cs="Arial"/>
        </w:rPr>
        <w:t>The introduction of the SDON fine</w:t>
      </w:r>
      <w:r w:rsidR="00F7161A" w:rsidRPr="00D837EA">
        <w:rPr>
          <w:rFonts w:ascii="Arial" w:hAnsi="Arial" w:cs="Arial"/>
        </w:rPr>
        <w:t xml:space="preserve"> (</w:t>
      </w:r>
      <w:r w:rsidR="00141CC2" w:rsidRPr="00D837EA">
        <w:rPr>
          <w:rFonts w:ascii="Arial" w:hAnsi="Arial" w:cs="Arial"/>
        </w:rPr>
        <w:t>expanding the Simple Cannabis Offence Notice (SCON) scheme</w:t>
      </w:r>
      <w:r w:rsidR="00F7161A" w:rsidRPr="00D837EA">
        <w:rPr>
          <w:rFonts w:ascii="Arial" w:hAnsi="Arial" w:cs="Arial"/>
        </w:rPr>
        <w:t>),</w:t>
      </w:r>
      <w:r w:rsidRPr="00D837EA">
        <w:rPr>
          <w:rFonts w:ascii="Arial" w:hAnsi="Arial" w:cs="Arial"/>
        </w:rPr>
        <w:t xml:space="preserve"> as well as </w:t>
      </w:r>
      <w:r w:rsidR="00F7161A" w:rsidRPr="00D837EA">
        <w:rPr>
          <w:rFonts w:ascii="Arial" w:hAnsi="Arial" w:cs="Arial"/>
        </w:rPr>
        <w:t xml:space="preserve">providing for the </w:t>
      </w:r>
      <w:r w:rsidR="00FC6011" w:rsidRPr="00D837EA">
        <w:rPr>
          <w:rFonts w:ascii="Arial" w:hAnsi="Arial" w:cs="Arial"/>
        </w:rPr>
        <w:t>illicit drug diversion</w:t>
      </w:r>
      <w:r w:rsidRPr="00D837EA">
        <w:rPr>
          <w:rFonts w:ascii="Arial" w:hAnsi="Arial" w:cs="Arial"/>
        </w:rPr>
        <w:t xml:space="preserve"> program</w:t>
      </w:r>
      <w:r w:rsidR="00F7161A" w:rsidRPr="00D837EA">
        <w:rPr>
          <w:rFonts w:ascii="Arial" w:hAnsi="Arial" w:cs="Arial"/>
        </w:rPr>
        <w:t xml:space="preserve"> in legislation</w:t>
      </w:r>
      <w:r w:rsidR="001A6999" w:rsidRPr="00D837EA">
        <w:rPr>
          <w:rFonts w:ascii="Arial" w:hAnsi="Arial" w:cs="Arial"/>
        </w:rPr>
        <w:t>,</w:t>
      </w:r>
      <w:r w:rsidRPr="00D837EA">
        <w:rPr>
          <w:rFonts w:ascii="Arial" w:hAnsi="Arial" w:cs="Arial"/>
        </w:rPr>
        <w:t xml:space="preserve"> promote</w:t>
      </w:r>
      <w:r w:rsidR="001A6999" w:rsidRPr="00D837EA">
        <w:rPr>
          <w:rFonts w:ascii="Arial" w:hAnsi="Arial" w:cs="Arial"/>
        </w:rPr>
        <w:t>s</w:t>
      </w:r>
      <w:r w:rsidRPr="00D837EA">
        <w:rPr>
          <w:rFonts w:ascii="Arial" w:hAnsi="Arial" w:cs="Arial"/>
        </w:rPr>
        <w:t xml:space="preserve"> recognition and equality before the law</w:t>
      </w:r>
      <w:r w:rsidR="002D1EFD" w:rsidRPr="00D837EA">
        <w:rPr>
          <w:rFonts w:ascii="Arial" w:hAnsi="Arial" w:cs="Arial"/>
        </w:rPr>
        <w:t xml:space="preserve"> by expanding access to diversion for a range of the most commonly used drugs</w:t>
      </w:r>
      <w:r w:rsidRPr="00D837EA">
        <w:rPr>
          <w:rFonts w:ascii="Arial" w:hAnsi="Arial" w:cs="Arial"/>
        </w:rPr>
        <w:t xml:space="preserve"> (</w:t>
      </w:r>
      <w:r w:rsidR="007E2814" w:rsidRPr="00D837EA">
        <w:rPr>
          <w:rFonts w:ascii="Arial" w:hAnsi="Arial" w:cs="Arial"/>
        </w:rPr>
        <w:t xml:space="preserve">HR Act </w:t>
      </w:r>
      <w:r w:rsidRPr="00D837EA">
        <w:rPr>
          <w:rFonts w:ascii="Arial" w:hAnsi="Arial" w:cs="Arial"/>
        </w:rPr>
        <w:t>section 8).</w:t>
      </w:r>
    </w:p>
    <w:p w14:paraId="3A92B12D" w14:textId="12D01498" w:rsidR="003372D6" w:rsidRPr="00D837EA" w:rsidRDefault="00141CC2" w:rsidP="003167B6">
      <w:pPr>
        <w:spacing w:before="240"/>
        <w:rPr>
          <w:rFonts w:ascii="Arial" w:hAnsi="Arial" w:cs="Arial"/>
        </w:rPr>
      </w:pPr>
      <w:r w:rsidRPr="00D837EA">
        <w:rPr>
          <w:rFonts w:ascii="Arial" w:hAnsi="Arial" w:cs="Arial"/>
        </w:rPr>
        <w:t>This is because socioeconomic status</w:t>
      </w:r>
      <w:r w:rsidR="00F7161A" w:rsidRPr="00D837EA">
        <w:rPr>
          <w:rFonts w:ascii="Arial" w:hAnsi="Arial" w:cs="Arial"/>
        </w:rPr>
        <w:t xml:space="preserve"> (property)</w:t>
      </w:r>
      <w:r w:rsidRPr="00D837EA">
        <w:rPr>
          <w:rFonts w:ascii="Arial" w:hAnsi="Arial" w:cs="Arial"/>
        </w:rPr>
        <w:t xml:space="preserve"> is a protected attribute in relation to the right to equality before the law</w:t>
      </w:r>
      <w:r w:rsidR="00C45766" w:rsidRPr="00D837EA">
        <w:rPr>
          <w:rFonts w:ascii="Arial" w:hAnsi="Arial" w:cs="Arial"/>
        </w:rPr>
        <w:t xml:space="preserve">. </w:t>
      </w:r>
      <w:r w:rsidR="00625FD1" w:rsidRPr="00D837EA">
        <w:rPr>
          <w:rFonts w:ascii="Arial" w:hAnsi="Arial" w:cs="Arial"/>
        </w:rPr>
        <w:t>F</w:t>
      </w:r>
      <w:r w:rsidR="00260C2B" w:rsidRPr="00D837EA">
        <w:rPr>
          <w:rFonts w:ascii="Arial" w:hAnsi="Arial" w:cs="Arial"/>
        </w:rPr>
        <w:t>or example</w:t>
      </w:r>
      <w:r w:rsidR="008B7424" w:rsidRPr="00D837EA">
        <w:rPr>
          <w:rFonts w:ascii="Arial" w:hAnsi="Arial" w:cs="Arial"/>
        </w:rPr>
        <w:t xml:space="preserve">, </w:t>
      </w:r>
      <w:r w:rsidR="00915438" w:rsidRPr="00D837EA">
        <w:rPr>
          <w:rFonts w:ascii="Arial" w:hAnsi="Arial" w:cs="Arial"/>
        </w:rPr>
        <w:t>while employed people are substantially more likely to use cocaine,</w:t>
      </w:r>
      <w:r w:rsidR="00260C2B" w:rsidRPr="00D837EA">
        <w:rPr>
          <w:rFonts w:ascii="Arial" w:hAnsi="Arial" w:cs="Arial"/>
        </w:rPr>
        <w:t xml:space="preserve"> unemployed people</w:t>
      </w:r>
      <w:r w:rsidR="00915438" w:rsidRPr="00D837EA">
        <w:rPr>
          <w:rFonts w:ascii="Arial" w:hAnsi="Arial" w:cs="Arial"/>
        </w:rPr>
        <w:t xml:space="preserve"> are substantially more likely to use methamphetamine</w:t>
      </w:r>
      <w:r w:rsidR="00D2692C" w:rsidRPr="00D837EA">
        <w:rPr>
          <w:rFonts w:ascii="Arial" w:hAnsi="Arial" w:cs="Arial"/>
        </w:rPr>
        <w:t>.</w:t>
      </w:r>
      <w:r w:rsidR="00625FD1" w:rsidRPr="00D837EA">
        <w:rPr>
          <w:rStyle w:val="FootnoteReference"/>
          <w:rFonts w:ascii="Arial" w:hAnsi="Arial" w:cs="Arial"/>
        </w:rPr>
        <w:footnoteReference w:id="3"/>
      </w:r>
      <w:r w:rsidR="003372D6" w:rsidRPr="00D837EA">
        <w:rPr>
          <w:rFonts w:ascii="Arial" w:hAnsi="Arial" w:cs="Arial"/>
        </w:rPr>
        <w:t xml:space="preserve"> </w:t>
      </w:r>
      <w:r w:rsidR="00260C2B" w:rsidRPr="00D837EA">
        <w:rPr>
          <w:rFonts w:ascii="Arial" w:hAnsi="Arial" w:cs="Arial"/>
        </w:rPr>
        <w:t>P</w:t>
      </w:r>
      <w:r w:rsidR="00847315" w:rsidRPr="00D837EA">
        <w:rPr>
          <w:rFonts w:ascii="Arial" w:hAnsi="Arial" w:cs="Arial"/>
        </w:rPr>
        <w:t>eople who inject drugs</w:t>
      </w:r>
      <w:r w:rsidR="003372D6" w:rsidRPr="00D837EA">
        <w:rPr>
          <w:rFonts w:ascii="Arial" w:hAnsi="Arial" w:cs="Arial"/>
        </w:rPr>
        <w:t xml:space="preserve"> </w:t>
      </w:r>
      <w:r w:rsidR="00A91291" w:rsidRPr="00D837EA">
        <w:rPr>
          <w:rFonts w:ascii="Arial" w:hAnsi="Arial" w:cs="Arial"/>
        </w:rPr>
        <w:t>tend to be highly</w:t>
      </w:r>
      <w:r w:rsidR="003372D6" w:rsidRPr="00D837EA">
        <w:rPr>
          <w:rFonts w:ascii="Arial" w:hAnsi="Arial" w:cs="Arial"/>
        </w:rPr>
        <w:t xml:space="preserve"> marginalised and disadvantaged</w:t>
      </w:r>
      <w:r w:rsidR="0094647D" w:rsidRPr="00D837EA">
        <w:rPr>
          <w:rStyle w:val="FootnoteReference"/>
          <w:rFonts w:ascii="Arial" w:hAnsi="Arial" w:cs="Arial"/>
        </w:rPr>
        <w:footnoteReference w:id="4"/>
      </w:r>
      <w:r w:rsidR="00C45766" w:rsidRPr="00D837EA">
        <w:rPr>
          <w:rFonts w:ascii="Arial" w:hAnsi="Arial" w:cs="Arial"/>
        </w:rPr>
        <w:t xml:space="preserve"> </w:t>
      </w:r>
      <w:r w:rsidR="00260C2B" w:rsidRPr="00D837EA">
        <w:rPr>
          <w:rFonts w:ascii="Arial" w:hAnsi="Arial" w:cs="Arial"/>
        </w:rPr>
        <w:t>and the main drugs that people report injecting in Australia are h</w:t>
      </w:r>
      <w:r w:rsidR="00847315" w:rsidRPr="00D837EA">
        <w:rPr>
          <w:rFonts w:ascii="Arial" w:hAnsi="Arial" w:cs="Arial"/>
        </w:rPr>
        <w:t>eroin and methamphetami</w:t>
      </w:r>
      <w:r w:rsidR="00260C2B" w:rsidRPr="00D837EA">
        <w:rPr>
          <w:rFonts w:ascii="Arial" w:hAnsi="Arial" w:cs="Arial"/>
        </w:rPr>
        <w:t>ne</w:t>
      </w:r>
      <w:r w:rsidR="0094647D" w:rsidRPr="00D837EA">
        <w:rPr>
          <w:rFonts w:ascii="Arial" w:hAnsi="Arial" w:cs="Arial"/>
        </w:rPr>
        <w:t>.</w:t>
      </w:r>
      <w:r w:rsidR="0094647D" w:rsidRPr="00D837EA">
        <w:rPr>
          <w:rStyle w:val="FootnoteReference"/>
          <w:rFonts w:ascii="Arial" w:hAnsi="Arial" w:cs="Arial"/>
        </w:rPr>
        <w:footnoteReference w:id="5"/>
      </w:r>
      <w:r w:rsidR="0094647D" w:rsidRPr="00D837EA">
        <w:rPr>
          <w:rFonts w:ascii="Arial" w:hAnsi="Arial" w:cs="Arial"/>
        </w:rPr>
        <w:t xml:space="preserve"> </w:t>
      </w:r>
      <w:r w:rsidR="00A91291" w:rsidRPr="00D837EA">
        <w:rPr>
          <w:rFonts w:ascii="Arial" w:hAnsi="Arial" w:cs="Arial"/>
        </w:rPr>
        <w:t>Broadening the range of diversion options across differe</w:t>
      </w:r>
      <w:r w:rsidR="00FA2DA1" w:rsidRPr="00D837EA">
        <w:rPr>
          <w:rFonts w:ascii="Arial" w:hAnsi="Arial" w:cs="Arial"/>
        </w:rPr>
        <w:t xml:space="preserve">nt drug types </w:t>
      </w:r>
      <w:r w:rsidR="00847315" w:rsidRPr="00D837EA">
        <w:rPr>
          <w:rFonts w:ascii="Arial" w:hAnsi="Arial" w:cs="Arial"/>
        </w:rPr>
        <w:t xml:space="preserve">to include heroin and methamphetamine </w:t>
      </w:r>
      <w:r w:rsidR="00FA2DA1" w:rsidRPr="00D837EA">
        <w:rPr>
          <w:rFonts w:ascii="Arial" w:hAnsi="Arial" w:cs="Arial"/>
        </w:rPr>
        <w:t>increases equal</w:t>
      </w:r>
      <w:r w:rsidR="00847315" w:rsidRPr="00D837EA">
        <w:rPr>
          <w:rFonts w:ascii="Arial" w:hAnsi="Arial" w:cs="Arial"/>
        </w:rPr>
        <w:t xml:space="preserve"> access to diversion options under the law</w:t>
      </w:r>
      <w:r w:rsidR="00FA2DA1" w:rsidRPr="00D837EA">
        <w:rPr>
          <w:rFonts w:ascii="Arial" w:hAnsi="Arial" w:cs="Arial"/>
        </w:rPr>
        <w:t xml:space="preserve"> for </w:t>
      </w:r>
      <w:r w:rsidR="00847315" w:rsidRPr="00D837EA">
        <w:rPr>
          <w:rFonts w:ascii="Arial" w:hAnsi="Arial" w:cs="Arial"/>
        </w:rPr>
        <w:t>some highly disadvantaged drug users</w:t>
      </w:r>
      <w:r w:rsidR="00FA2DA1" w:rsidRPr="00D837EA">
        <w:rPr>
          <w:rFonts w:ascii="Arial" w:hAnsi="Arial" w:cs="Arial"/>
        </w:rPr>
        <w:t>.</w:t>
      </w:r>
    </w:p>
    <w:p w14:paraId="0882CC1E" w14:textId="77834607" w:rsidR="008F0973" w:rsidRPr="00D837EA" w:rsidRDefault="008F0973" w:rsidP="003167B6">
      <w:pPr>
        <w:spacing w:before="240"/>
        <w:rPr>
          <w:rFonts w:ascii="Arial" w:hAnsi="Arial" w:cs="Arial"/>
        </w:rPr>
      </w:pPr>
      <w:r w:rsidRPr="00D837EA">
        <w:rPr>
          <w:rFonts w:ascii="Arial" w:hAnsi="Arial" w:cs="Arial"/>
        </w:rPr>
        <w:t xml:space="preserve">The provision that the SDON may be discharged by </w:t>
      </w:r>
      <w:r w:rsidR="00FC6011" w:rsidRPr="00D837EA">
        <w:rPr>
          <w:rFonts w:ascii="Arial" w:hAnsi="Arial" w:cs="Arial"/>
        </w:rPr>
        <w:t>attending the illicit</w:t>
      </w:r>
      <w:r w:rsidRPr="00D837EA">
        <w:rPr>
          <w:rFonts w:ascii="Arial" w:hAnsi="Arial" w:cs="Arial"/>
        </w:rPr>
        <w:t xml:space="preserve"> drug diversion program also promotes </w:t>
      </w:r>
      <w:r w:rsidR="0094647D" w:rsidRPr="00D837EA">
        <w:rPr>
          <w:rFonts w:ascii="Arial" w:hAnsi="Arial" w:cs="Arial"/>
        </w:rPr>
        <w:t>the right to recognition and equality before the law</w:t>
      </w:r>
      <w:r w:rsidRPr="00D837EA">
        <w:rPr>
          <w:rFonts w:ascii="Arial" w:hAnsi="Arial" w:cs="Arial"/>
        </w:rPr>
        <w:t>.</w:t>
      </w:r>
      <w:r w:rsidR="005A410C" w:rsidRPr="00D837EA">
        <w:rPr>
          <w:rFonts w:ascii="Arial" w:hAnsi="Arial" w:cs="Arial"/>
        </w:rPr>
        <w:t xml:space="preserve"> These measures also promote the right to life (</w:t>
      </w:r>
      <w:r w:rsidR="007E2814" w:rsidRPr="00D837EA">
        <w:rPr>
          <w:rFonts w:ascii="Arial" w:hAnsi="Arial" w:cs="Arial"/>
        </w:rPr>
        <w:t xml:space="preserve">HR Act </w:t>
      </w:r>
      <w:r w:rsidR="005A410C" w:rsidRPr="00D837EA">
        <w:rPr>
          <w:rFonts w:ascii="Arial" w:hAnsi="Arial" w:cs="Arial"/>
        </w:rPr>
        <w:t>section 9).</w:t>
      </w:r>
      <w:r w:rsidR="00540AF4" w:rsidRPr="00D837EA">
        <w:rPr>
          <w:rFonts w:ascii="Arial" w:hAnsi="Arial" w:cs="Arial"/>
        </w:rPr>
        <w:t xml:space="preserve"> </w:t>
      </w:r>
    </w:p>
    <w:p w14:paraId="0B5350D5" w14:textId="77777777" w:rsidR="00470121" w:rsidRPr="00D837EA" w:rsidRDefault="008668F5" w:rsidP="003167B6">
      <w:pPr>
        <w:spacing w:before="240"/>
        <w:rPr>
          <w:rFonts w:ascii="Arial" w:hAnsi="Arial" w:cs="Arial"/>
        </w:rPr>
      </w:pPr>
      <w:r w:rsidRPr="00D837EA">
        <w:rPr>
          <w:rFonts w:ascii="Arial" w:hAnsi="Arial" w:cs="Arial"/>
        </w:rPr>
        <w:lastRenderedPageBreak/>
        <w:t xml:space="preserve">Harm minimisation is Australia’s accepted overarching policy approach to drug use, and this includes recognition of the </w:t>
      </w:r>
      <w:r w:rsidR="005045E1" w:rsidRPr="00D837EA">
        <w:rPr>
          <w:rFonts w:ascii="Arial" w:hAnsi="Arial" w:cs="Arial"/>
        </w:rPr>
        <w:t xml:space="preserve">social </w:t>
      </w:r>
      <w:r w:rsidRPr="00D837EA">
        <w:rPr>
          <w:rFonts w:ascii="Arial" w:hAnsi="Arial" w:cs="Arial"/>
        </w:rPr>
        <w:t>harms associated with interaction with the criminal justice system.</w:t>
      </w:r>
      <w:r w:rsidR="005045E1" w:rsidRPr="00D837EA">
        <w:rPr>
          <w:rStyle w:val="FootnoteReference"/>
          <w:rFonts w:ascii="Arial" w:hAnsi="Arial" w:cs="Arial"/>
        </w:rPr>
        <w:footnoteReference w:id="6"/>
      </w:r>
      <w:r w:rsidR="005045E1" w:rsidRPr="00D837EA">
        <w:rPr>
          <w:rFonts w:ascii="Arial" w:hAnsi="Arial" w:cs="Arial"/>
        </w:rPr>
        <w:t xml:space="preserve"> </w:t>
      </w:r>
    </w:p>
    <w:p w14:paraId="2F70A352" w14:textId="77777777" w:rsidR="00470121" w:rsidRPr="00D837EA" w:rsidRDefault="008D2B17" w:rsidP="003167B6">
      <w:pPr>
        <w:spacing w:before="240"/>
        <w:rPr>
          <w:rFonts w:ascii="Arial" w:hAnsi="Arial" w:cs="Arial"/>
        </w:rPr>
      </w:pPr>
      <w:r w:rsidRPr="00D837EA">
        <w:rPr>
          <w:rFonts w:ascii="Arial" w:hAnsi="Arial" w:cs="Arial"/>
        </w:rPr>
        <w:t xml:space="preserve">In setting penalties, it is important to take into account </w:t>
      </w:r>
      <w:r w:rsidR="002D5AFE" w:rsidRPr="00D837EA">
        <w:rPr>
          <w:rFonts w:ascii="Arial" w:hAnsi="Arial" w:cs="Arial"/>
        </w:rPr>
        <w:t>the relative harm to society contrasted with harms associated with interaction with the criminal justice system.</w:t>
      </w:r>
      <w:r w:rsidR="00141CC2" w:rsidRPr="00D837EA">
        <w:rPr>
          <w:rFonts w:ascii="Arial" w:hAnsi="Arial" w:cs="Arial"/>
        </w:rPr>
        <w:t xml:space="preserve"> Offence provisions relating to simple drug possession or use, without any other related crime, can be considered mostly aimed at protecting a person from the</w:t>
      </w:r>
      <w:r w:rsidR="0094647D" w:rsidRPr="00D837EA">
        <w:rPr>
          <w:rFonts w:ascii="Arial" w:hAnsi="Arial" w:cs="Arial"/>
        </w:rPr>
        <w:t>ir own behaviour</w:t>
      </w:r>
      <w:r w:rsidR="00141CC2" w:rsidRPr="00D837EA">
        <w:rPr>
          <w:rFonts w:ascii="Arial" w:hAnsi="Arial" w:cs="Arial"/>
        </w:rPr>
        <w:t xml:space="preserve">, rather than the broader society. </w:t>
      </w:r>
    </w:p>
    <w:p w14:paraId="1A6B8DB6" w14:textId="7F60F8CE" w:rsidR="00470121" w:rsidRPr="00D837EA" w:rsidRDefault="002D5AFE" w:rsidP="003167B6">
      <w:pPr>
        <w:spacing w:before="240"/>
        <w:rPr>
          <w:rFonts w:ascii="Arial" w:hAnsi="Arial" w:cs="Arial"/>
        </w:rPr>
      </w:pPr>
      <w:r w:rsidRPr="00D837EA">
        <w:rPr>
          <w:rFonts w:ascii="Arial" w:hAnsi="Arial" w:cs="Arial"/>
        </w:rPr>
        <w:t>Community attitudes</w:t>
      </w:r>
      <w:r w:rsidR="00540AF4" w:rsidRPr="00D837EA">
        <w:rPr>
          <w:rFonts w:ascii="Arial" w:hAnsi="Arial" w:cs="Arial"/>
        </w:rPr>
        <w:t>, which are changing in relation to drug offences,</w:t>
      </w:r>
      <w:r w:rsidRPr="00D837EA">
        <w:rPr>
          <w:rFonts w:ascii="Arial" w:hAnsi="Arial" w:cs="Arial"/>
        </w:rPr>
        <w:t xml:space="preserve"> are </w:t>
      </w:r>
      <w:r w:rsidR="00141CC2" w:rsidRPr="00D837EA">
        <w:rPr>
          <w:rFonts w:ascii="Arial" w:hAnsi="Arial" w:cs="Arial"/>
        </w:rPr>
        <w:t xml:space="preserve">also </w:t>
      </w:r>
      <w:r w:rsidRPr="00D837EA">
        <w:rPr>
          <w:rFonts w:ascii="Arial" w:hAnsi="Arial" w:cs="Arial"/>
        </w:rPr>
        <w:t>relevant in this regard</w:t>
      </w:r>
      <w:r w:rsidR="00540AF4" w:rsidRPr="00D837EA">
        <w:rPr>
          <w:rFonts w:ascii="Arial" w:hAnsi="Arial" w:cs="Arial"/>
        </w:rPr>
        <w:t>.</w:t>
      </w:r>
      <w:r w:rsidRPr="00D837EA">
        <w:rPr>
          <w:rFonts w:ascii="Arial" w:hAnsi="Arial" w:cs="Arial"/>
        </w:rPr>
        <w:t xml:space="preserve"> </w:t>
      </w:r>
      <w:r w:rsidR="00540AF4" w:rsidRPr="00D837EA">
        <w:rPr>
          <w:rFonts w:ascii="Arial" w:hAnsi="Arial" w:cs="Arial"/>
        </w:rPr>
        <w:t>A March 2021 survey conducted by the ACT Government found that compared with national data, Canberrans appear to lean more strongly towards remediation and rehabilitation for drug use as opposed to more punitive measures. Moreover, f</w:t>
      </w:r>
      <w:r w:rsidRPr="00D837EA">
        <w:rPr>
          <w:rFonts w:ascii="Arial" w:hAnsi="Arial" w:cs="Arial"/>
        </w:rPr>
        <w:t>or drug related offences, there is ever</w:t>
      </w:r>
      <w:r w:rsidR="00155FE9" w:rsidRPr="00D837EA">
        <w:rPr>
          <w:rFonts w:ascii="Arial" w:hAnsi="Arial" w:cs="Arial"/>
        </w:rPr>
        <w:noBreakHyphen/>
      </w:r>
      <w:r w:rsidRPr="00D837EA">
        <w:rPr>
          <w:rFonts w:ascii="Arial" w:hAnsi="Arial" w:cs="Arial"/>
        </w:rPr>
        <w:t xml:space="preserve">increasing acceptance that a justice centric focus can perpetuate a cycle of offending, which only exacerbates the negative impacts on society. In this specific context, </w:t>
      </w:r>
      <w:r w:rsidR="008668F5" w:rsidRPr="00D837EA">
        <w:rPr>
          <w:rFonts w:ascii="Arial" w:hAnsi="Arial" w:cs="Arial"/>
        </w:rPr>
        <w:t>t</w:t>
      </w:r>
      <w:r w:rsidR="008F0973" w:rsidRPr="00D837EA">
        <w:rPr>
          <w:rFonts w:ascii="Arial" w:hAnsi="Arial" w:cs="Arial"/>
        </w:rPr>
        <w:t xml:space="preserve">he reductions to penalties, including the removal of the possibility of a prison sentence in some cases, proposed by the </w:t>
      </w:r>
      <w:r w:rsidR="00FC6011" w:rsidRPr="00D837EA">
        <w:rPr>
          <w:rFonts w:ascii="Arial" w:hAnsi="Arial" w:cs="Arial"/>
        </w:rPr>
        <w:t>Private Member’s Bill</w:t>
      </w:r>
      <w:r w:rsidR="008F0973" w:rsidRPr="00D837EA">
        <w:rPr>
          <w:rFonts w:ascii="Arial" w:hAnsi="Arial" w:cs="Arial"/>
        </w:rPr>
        <w:t xml:space="preserve"> and Government amendments, </w:t>
      </w:r>
      <w:r w:rsidR="008668F5" w:rsidRPr="00D837EA">
        <w:rPr>
          <w:rFonts w:ascii="Arial" w:hAnsi="Arial" w:cs="Arial"/>
        </w:rPr>
        <w:t xml:space="preserve">can be considered to </w:t>
      </w:r>
      <w:r w:rsidR="008F0973" w:rsidRPr="00D837EA">
        <w:rPr>
          <w:rFonts w:ascii="Arial" w:hAnsi="Arial" w:cs="Arial"/>
        </w:rPr>
        <w:t>engage and promote the right to liberty and security of person (</w:t>
      </w:r>
      <w:r w:rsidR="007E2814" w:rsidRPr="00D837EA">
        <w:rPr>
          <w:rFonts w:ascii="Arial" w:hAnsi="Arial" w:cs="Arial"/>
        </w:rPr>
        <w:t xml:space="preserve">HR Act </w:t>
      </w:r>
      <w:r w:rsidR="008F0973" w:rsidRPr="00D837EA">
        <w:rPr>
          <w:rFonts w:ascii="Arial" w:hAnsi="Arial" w:cs="Arial"/>
        </w:rPr>
        <w:t>section 18) and rights in criminal proceedings (</w:t>
      </w:r>
      <w:r w:rsidR="007E2814" w:rsidRPr="00D837EA">
        <w:rPr>
          <w:rFonts w:ascii="Arial" w:hAnsi="Arial" w:cs="Arial"/>
        </w:rPr>
        <w:t xml:space="preserve">HR Act </w:t>
      </w:r>
      <w:r w:rsidR="008F0973" w:rsidRPr="00D837EA">
        <w:rPr>
          <w:rFonts w:ascii="Arial" w:hAnsi="Arial" w:cs="Arial"/>
        </w:rPr>
        <w:t>section 22).</w:t>
      </w:r>
    </w:p>
    <w:p w14:paraId="433A7F96" w14:textId="77777777" w:rsidR="00470121" w:rsidRPr="00D837EA" w:rsidRDefault="008F0973" w:rsidP="003167B6">
      <w:pPr>
        <w:spacing w:before="240"/>
        <w:rPr>
          <w:rFonts w:ascii="Arial" w:hAnsi="Arial" w:cs="Arial"/>
        </w:rPr>
      </w:pPr>
      <w:r w:rsidRPr="00D837EA">
        <w:rPr>
          <w:rFonts w:ascii="Arial" w:hAnsi="Arial" w:cs="Arial"/>
        </w:rPr>
        <w:t>These measures support human rights by offering a way for individuals who possess drugs to be diverted away from the criminal justice system, and to be put on a path to seeking treatment and information about the harms of drug use</w:t>
      </w:r>
      <w:r w:rsidR="002D1EFD" w:rsidRPr="00D837EA">
        <w:rPr>
          <w:rFonts w:ascii="Arial" w:hAnsi="Arial" w:cs="Arial"/>
        </w:rPr>
        <w:t>,</w:t>
      </w:r>
      <w:r w:rsidRPr="00D837EA">
        <w:rPr>
          <w:rFonts w:ascii="Arial" w:hAnsi="Arial" w:cs="Arial"/>
        </w:rPr>
        <w:t xml:space="preserve"> instead of on a path to receiving a criminal conviction. </w:t>
      </w:r>
      <w:r w:rsidR="00141CC2" w:rsidRPr="00D837EA">
        <w:rPr>
          <w:rFonts w:ascii="Arial" w:hAnsi="Arial" w:cs="Arial"/>
        </w:rPr>
        <w:t xml:space="preserve">This is particularly supportive of human rights </w:t>
      </w:r>
      <w:r w:rsidR="00C060F5" w:rsidRPr="00D837EA">
        <w:rPr>
          <w:rFonts w:ascii="Arial" w:hAnsi="Arial" w:cs="Arial"/>
        </w:rPr>
        <w:t xml:space="preserve">given its potential impact on disadvantaged groups. </w:t>
      </w:r>
    </w:p>
    <w:p w14:paraId="63466B09" w14:textId="2B28470D" w:rsidR="00141CC2" w:rsidRPr="00D837EA" w:rsidRDefault="00C060F5" w:rsidP="003167B6">
      <w:pPr>
        <w:spacing w:before="240"/>
        <w:rPr>
          <w:rFonts w:ascii="Arial" w:hAnsi="Arial" w:cs="Arial"/>
        </w:rPr>
      </w:pPr>
      <w:r w:rsidRPr="00D837EA">
        <w:rPr>
          <w:rFonts w:ascii="Arial" w:hAnsi="Arial" w:cs="Arial"/>
        </w:rPr>
        <w:t>A</w:t>
      </w:r>
      <w:r w:rsidR="00141CC2" w:rsidRPr="00D837EA">
        <w:rPr>
          <w:rFonts w:ascii="Arial" w:hAnsi="Arial" w:cs="Arial"/>
        </w:rPr>
        <w:t xml:space="preserve"> key priority under the National Drug Strategy 2017</w:t>
      </w:r>
      <w:r w:rsidR="00141CC2" w:rsidRPr="00D837EA">
        <w:rPr>
          <w:rFonts w:ascii="Arial" w:hAnsi="Arial" w:cs="Arial"/>
        </w:rPr>
        <w:noBreakHyphen/>
        <w:t xml:space="preserve">26, and the ACT </w:t>
      </w:r>
      <w:r w:rsidRPr="00D837EA">
        <w:rPr>
          <w:rFonts w:ascii="Arial" w:hAnsi="Arial" w:cs="Arial"/>
        </w:rPr>
        <w:t>G</w:t>
      </w:r>
      <w:r w:rsidR="00141CC2" w:rsidRPr="00D837EA">
        <w:rPr>
          <w:rFonts w:ascii="Arial" w:hAnsi="Arial" w:cs="Arial"/>
        </w:rPr>
        <w:t>overnment’s overarching approach to drug policy, is enhancing systems to facilitate greater diversion into health interventions from the criminal justice system, particularly for Aboriginal and Torres Strait Islander people, young people and other at</w:t>
      </w:r>
      <w:r w:rsidRPr="00D837EA">
        <w:rPr>
          <w:rFonts w:ascii="Arial" w:hAnsi="Arial" w:cs="Arial"/>
        </w:rPr>
        <w:t>-</w:t>
      </w:r>
      <w:r w:rsidR="00141CC2" w:rsidRPr="00D837EA">
        <w:rPr>
          <w:rFonts w:ascii="Arial" w:hAnsi="Arial" w:cs="Arial"/>
        </w:rPr>
        <w:t>risk populations who may be experiencing disproportionate harm.</w:t>
      </w:r>
    </w:p>
    <w:p w14:paraId="728AF156" w14:textId="027BFD0A" w:rsidR="00540AF4" w:rsidRPr="00D837EA" w:rsidRDefault="00540AF4" w:rsidP="003167B6">
      <w:pPr>
        <w:spacing w:before="240"/>
        <w:rPr>
          <w:rFonts w:ascii="Arial" w:hAnsi="Arial" w:cs="Arial"/>
        </w:rPr>
      </w:pPr>
      <w:r w:rsidRPr="00D837EA">
        <w:rPr>
          <w:rFonts w:ascii="Arial" w:hAnsi="Arial" w:cs="Arial"/>
        </w:rPr>
        <w:t>The opportunity to avoid the possibility of a criminal conviction for a minor drug offence may also indirectly promote the rights in section 17 and 27B of the HR Act because a criminal conviction can jeopardise the possibility of a person gaining appointment to the public service, obtaining public office, and some forms of employment.</w:t>
      </w:r>
    </w:p>
    <w:p w14:paraId="436739F4" w14:textId="390A6859" w:rsidR="008F0973" w:rsidRPr="00D837EA" w:rsidRDefault="008F0973" w:rsidP="003167B6">
      <w:pPr>
        <w:spacing w:before="240"/>
        <w:rPr>
          <w:rFonts w:ascii="Arial" w:hAnsi="Arial" w:cs="Arial"/>
        </w:rPr>
      </w:pPr>
      <w:r w:rsidRPr="00D837EA">
        <w:rPr>
          <w:rFonts w:ascii="Arial" w:hAnsi="Arial" w:cs="Arial"/>
        </w:rPr>
        <w:t xml:space="preserve">Reducing penalties for possession, including above the ‘small quantity’ limit, while potentially promoting rights of accused persons, may also be seen to limit the right to security and the right to life </w:t>
      </w:r>
      <w:r w:rsidR="005045E1" w:rsidRPr="00D837EA">
        <w:rPr>
          <w:rFonts w:ascii="Arial" w:hAnsi="Arial" w:cs="Arial"/>
        </w:rPr>
        <w:t>for the broader community. This is because it is recognised that drug use can be associated with social harms including violence and other crime</w:t>
      </w:r>
      <w:r w:rsidR="007D0566" w:rsidRPr="00D837EA">
        <w:rPr>
          <w:rFonts w:ascii="Arial" w:hAnsi="Arial" w:cs="Arial"/>
        </w:rPr>
        <w:t xml:space="preserve"> and occupational violence for frontline workers</w:t>
      </w:r>
      <w:r w:rsidR="005045E1" w:rsidRPr="00D837EA">
        <w:rPr>
          <w:rFonts w:ascii="Arial" w:hAnsi="Arial" w:cs="Arial"/>
        </w:rPr>
        <w:t xml:space="preserve">, and </w:t>
      </w:r>
      <w:r w:rsidRPr="00D837EA">
        <w:rPr>
          <w:rFonts w:ascii="Arial" w:hAnsi="Arial" w:cs="Arial"/>
        </w:rPr>
        <w:t>these rights include a positive obligation on government to take reasonable actions to safeguard life and protect individuals from foreseeable threats, such as through providing adequate sanctions to prevent social harm of drugs and deter drug use</w:t>
      </w:r>
      <w:r w:rsidR="008D2681" w:rsidRPr="00D837EA">
        <w:rPr>
          <w:rFonts w:ascii="Arial" w:hAnsi="Arial" w:cs="Arial"/>
        </w:rPr>
        <w:t>.</w:t>
      </w:r>
      <w:r w:rsidR="005045E1" w:rsidRPr="00D837EA">
        <w:rPr>
          <w:rFonts w:ascii="Arial" w:hAnsi="Arial" w:cs="Arial"/>
        </w:rPr>
        <w:t xml:space="preserve"> </w:t>
      </w:r>
    </w:p>
    <w:p w14:paraId="35C52E53" w14:textId="109DA4B2" w:rsidR="00E6113D" w:rsidRPr="00D837EA" w:rsidRDefault="007D0566" w:rsidP="003167B6">
      <w:pPr>
        <w:pStyle w:val="Heading2"/>
        <w:spacing w:before="240" w:line="240" w:lineRule="auto"/>
        <w:rPr>
          <w:rFonts w:ascii="Arial" w:eastAsia="Times New Roman" w:hAnsi="Arial" w:cs="Arial"/>
          <w:color w:val="auto"/>
          <w:sz w:val="24"/>
          <w:szCs w:val="24"/>
        </w:rPr>
      </w:pPr>
      <w:r w:rsidRPr="00D837EA">
        <w:rPr>
          <w:rFonts w:ascii="Arial" w:eastAsia="Times New Roman" w:hAnsi="Arial" w:cs="Arial"/>
          <w:color w:val="auto"/>
          <w:sz w:val="24"/>
          <w:szCs w:val="24"/>
        </w:rPr>
        <w:lastRenderedPageBreak/>
        <w:t>However, any potential limitations on the right to security and the right to life as a result of the Bill are considered justifiable, because of their aim to provide support to drug users and reduce engagement with the criminal justice system</w:t>
      </w:r>
      <w:r w:rsidR="008D2681" w:rsidRPr="00D837EA">
        <w:rPr>
          <w:rFonts w:ascii="Arial" w:eastAsia="Times New Roman" w:hAnsi="Arial" w:cs="Arial"/>
          <w:color w:val="auto"/>
          <w:sz w:val="24"/>
          <w:szCs w:val="24"/>
        </w:rPr>
        <w:t>.</w:t>
      </w:r>
      <w:r w:rsidR="008D2681" w:rsidRPr="00D837EA">
        <w:t xml:space="preserve"> </w:t>
      </w:r>
      <w:r w:rsidR="008D2681" w:rsidRPr="00D837EA">
        <w:rPr>
          <w:rFonts w:ascii="Arial" w:eastAsia="Times New Roman" w:hAnsi="Arial" w:cs="Arial"/>
          <w:color w:val="auto"/>
          <w:sz w:val="24"/>
          <w:szCs w:val="24"/>
        </w:rPr>
        <w:t>There is no less restrictive means to achieve this purpose.</w:t>
      </w:r>
      <w:r w:rsidR="00E6113D" w:rsidRPr="00D837EA">
        <w:rPr>
          <w:rFonts w:ascii="Arial" w:eastAsia="Times New Roman" w:hAnsi="Arial" w:cs="Arial"/>
          <w:color w:val="auto"/>
          <w:sz w:val="24"/>
          <w:szCs w:val="24"/>
        </w:rPr>
        <w:t xml:space="preserve"> The United Nations and World Health Organization issued a joint statement in 2017</w:t>
      </w:r>
      <w:r w:rsidR="00E6113D" w:rsidRPr="00D837EA">
        <w:rPr>
          <w:rStyle w:val="FootnoteReference"/>
          <w:rFonts w:ascii="Arial" w:eastAsia="Times New Roman" w:hAnsi="Arial" w:cs="Arial"/>
          <w:color w:val="auto"/>
          <w:sz w:val="24"/>
          <w:szCs w:val="24"/>
        </w:rPr>
        <w:footnoteReference w:id="7"/>
      </w:r>
      <w:r w:rsidR="00E6113D" w:rsidRPr="00D837EA">
        <w:rPr>
          <w:rFonts w:ascii="Arial" w:eastAsia="Times New Roman" w:hAnsi="Arial" w:cs="Arial"/>
          <w:color w:val="auto"/>
          <w:sz w:val="24"/>
          <w:szCs w:val="24"/>
        </w:rPr>
        <w:t xml:space="preserve"> on discrimination in health care which called on supporting states to reviewing and repea</w:t>
      </w:r>
      <w:r w:rsidR="00847315" w:rsidRPr="00D837EA">
        <w:rPr>
          <w:rFonts w:ascii="Arial" w:eastAsia="Times New Roman" w:hAnsi="Arial" w:cs="Arial"/>
          <w:color w:val="auto"/>
          <w:sz w:val="24"/>
          <w:szCs w:val="24"/>
        </w:rPr>
        <w:t>l</w:t>
      </w:r>
      <w:r w:rsidR="00E6113D" w:rsidRPr="00D837EA">
        <w:rPr>
          <w:rFonts w:ascii="Arial" w:eastAsia="Times New Roman" w:hAnsi="Arial" w:cs="Arial"/>
          <w:color w:val="auto"/>
          <w:sz w:val="24"/>
          <w:szCs w:val="24"/>
        </w:rPr>
        <w:t xml:space="preserve"> </w:t>
      </w:r>
      <w:r w:rsidR="00847315" w:rsidRPr="00D837EA">
        <w:rPr>
          <w:rFonts w:ascii="Arial" w:eastAsia="Times New Roman" w:hAnsi="Arial" w:cs="Arial"/>
          <w:color w:val="auto"/>
          <w:sz w:val="24"/>
          <w:szCs w:val="24"/>
        </w:rPr>
        <w:t>“</w:t>
      </w:r>
      <w:r w:rsidR="00E6113D" w:rsidRPr="00D837EA">
        <w:rPr>
          <w:rFonts w:ascii="Arial" w:eastAsia="Times New Roman" w:hAnsi="Arial" w:cs="Arial"/>
          <w:color w:val="auto"/>
          <w:sz w:val="24"/>
          <w:szCs w:val="24"/>
        </w:rPr>
        <w:t>punitive laws that have been proven to have negative health outcomes and that counter established public health evidence”</w:t>
      </w:r>
      <w:r w:rsidR="00847315" w:rsidRPr="00D837EA">
        <w:rPr>
          <w:rFonts w:ascii="Arial" w:eastAsia="Times New Roman" w:hAnsi="Arial" w:cs="Arial"/>
          <w:color w:val="auto"/>
          <w:sz w:val="24"/>
          <w:szCs w:val="24"/>
        </w:rPr>
        <w:t>,</w:t>
      </w:r>
      <w:r w:rsidR="00E6113D" w:rsidRPr="00D837EA">
        <w:rPr>
          <w:rFonts w:ascii="Arial" w:eastAsia="Times New Roman" w:hAnsi="Arial" w:cs="Arial"/>
          <w:color w:val="auto"/>
          <w:sz w:val="24"/>
          <w:szCs w:val="24"/>
        </w:rPr>
        <w:t xml:space="preserve"> including laws </w:t>
      </w:r>
      <w:r w:rsidR="00847315" w:rsidRPr="00D837EA">
        <w:rPr>
          <w:rFonts w:ascii="Arial" w:eastAsia="Times New Roman" w:hAnsi="Arial" w:cs="Arial"/>
          <w:color w:val="auto"/>
          <w:sz w:val="24"/>
          <w:szCs w:val="24"/>
        </w:rPr>
        <w:t xml:space="preserve">that </w:t>
      </w:r>
      <w:r w:rsidR="00E6113D" w:rsidRPr="00D837EA">
        <w:rPr>
          <w:rFonts w:ascii="Arial" w:eastAsia="Times New Roman" w:hAnsi="Arial" w:cs="Arial"/>
          <w:color w:val="auto"/>
          <w:sz w:val="24"/>
          <w:szCs w:val="24"/>
        </w:rPr>
        <w:t>criminalise</w:t>
      </w:r>
      <w:r w:rsidR="00847315" w:rsidRPr="00D837EA">
        <w:rPr>
          <w:rFonts w:ascii="Arial" w:eastAsia="Times New Roman" w:hAnsi="Arial" w:cs="Arial"/>
          <w:color w:val="auto"/>
          <w:sz w:val="24"/>
          <w:szCs w:val="24"/>
        </w:rPr>
        <w:t xml:space="preserve"> personal drug possession or use</w:t>
      </w:r>
      <w:r w:rsidR="00E6113D" w:rsidRPr="00D837EA">
        <w:rPr>
          <w:rFonts w:ascii="Arial" w:eastAsia="Times New Roman" w:hAnsi="Arial" w:cs="Arial"/>
          <w:color w:val="auto"/>
          <w:sz w:val="24"/>
          <w:szCs w:val="24"/>
        </w:rPr>
        <w:t>.</w:t>
      </w:r>
    </w:p>
    <w:p w14:paraId="5EEDF2CF" w14:textId="13D66D5E" w:rsidR="008B3B20" w:rsidRPr="00D837EA" w:rsidRDefault="00E6113D" w:rsidP="003167B6">
      <w:pPr>
        <w:spacing w:before="240"/>
        <w:rPr>
          <w:rFonts w:ascii="Arial" w:hAnsi="Arial" w:cs="Arial"/>
        </w:rPr>
      </w:pPr>
      <w:r w:rsidRPr="00D837EA">
        <w:rPr>
          <w:rFonts w:ascii="Arial" w:hAnsi="Arial" w:cs="Arial"/>
        </w:rPr>
        <w:t>T</w:t>
      </w:r>
      <w:r w:rsidR="007D0566" w:rsidRPr="00D837EA">
        <w:rPr>
          <w:rFonts w:ascii="Arial" w:hAnsi="Arial" w:cs="Arial"/>
        </w:rPr>
        <w:t xml:space="preserve">he reforms may reduce stigma in relation to drug use and fear of prosecution, meaning people may be more likely to attend treatment and contact emergency services and lives may be saved. </w:t>
      </w:r>
      <w:r w:rsidR="003372D6" w:rsidRPr="00D837EA">
        <w:rPr>
          <w:rFonts w:ascii="Arial" w:hAnsi="Arial" w:cs="Arial"/>
        </w:rPr>
        <w:t>Australian research has indicated that people who are diverted</w:t>
      </w:r>
      <w:r w:rsidR="00C45766" w:rsidRPr="00D837EA">
        <w:rPr>
          <w:rFonts w:ascii="Arial" w:hAnsi="Arial" w:cs="Arial"/>
        </w:rPr>
        <w:t xml:space="preserve"> from the criminal</w:t>
      </w:r>
      <w:r w:rsidR="003372D6" w:rsidRPr="00D837EA">
        <w:rPr>
          <w:rFonts w:ascii="Arial" w:hAnsi="Arial" w:cs="Arial"/>
        </w:rPr>
        <w:t xml:space="preserve"> </w:t>
      </w:r>
      <w:r w:rsidR="00773E5F" w:rsidRPr="00D837EA">
        <w:rPr>
          <w:rFonts w:ascii="Arial" w:hAnsi="Arial" w:cs="Arial"/>
        </w:rPr>
        <w:t xml:space="preserve">justice system </w:t>
      </w:r>
      <w:r w:rsidR="003372D6" w:rsidRPr="00D837EA">
        <w:rPr>
          <w:rFonts w:ascii="Arial" w:hAnsi="Arial" w:cs="Arial"/>
        </w:rPr>
        <w:t>are signif</w:t>
      </w:r>
      <w:r w:rsidR="00C45766" w:rsidRPr="00D837EA">
        <w:rPr>
          <w:rFonts w:ascii="Arial" w:hAnsi="Arial" w:cs="Arial"/>
        </w:rPr>
        <w:t>ican</w:t>
      </w:r>
      <w:r w:rsidR="003372D6" w:rsidRPr="00D837EA">
        <w:rPr>
          <w:rFonts w:ascii="Arial" w:hAnsi="Arial" w:cs="Arial"/>
        </w:rPr>
        <w:t xml:space="preserve">tly less likely to experience </w:t>
      </w:r>
      <w:r w:rsidR="00C45766" w:rsidRPr="00D837EA">
        <w:rPr>
          <w:rFonts w:ascii="Arial" w:hAnsi="Arial" w:cs="Arial"/>
        </w:rPr>
        <w:t>difficulties in employment, relationships, or acc</w:t>
      </w:r>
      <w:r w:rsidR="003372D6" w:rsidRPr="00D837EA">
        <w:rPr>
          <w:rFonts w:ascii="Arial" w:hAnsi="Arial" w:cs="Arial"/>
        </w:rPr>
        <w:t xml:space="preserve">ommodation </w:t>
      </w:r>
      <w:r w:rsidR="00C45766" w:rsidRPr="00D837EA">
        <w:rPr>
          <w:rFonts w:ascii="Arial" w:hAnsi="Arial" w:cs="Arial"/>
        </w:rPr>
        <w:t xml:space="preserve">and have reduced </w:t>
      </w:r>
      <w:r w:rsidR="008D2681" w:rsidRPr="00D837EA">
        <w:rPr>
          <w:rFonts w:ascii="Arial" w:hAnsi="Arial" w:cs="Arial"/>
        </w:rPr>
        <w:t xml:space="preserve">future </w:t>
      </w:r>
      <w:r w:rsidR="003372D6" w:rsidRPr="00D837EA">
        <w:rPr>
          <w:rFonts w:ascii="Arial" w:hAnsi="Arial" w:cs="Arial"/>
        </w:rPr>
        <w:t>contact with the criminal justice system</w:t>
      </w:r>
      <w:r w:rsidR="00D2692C" w:rsidRPr="00D837EA">
        <w:rPr>
          <w:rFonts w:ascii="Arial" w:hAnsi="Arial" w:cs="Arial"/>
        </w:rPr>
        <w:t>.</w:t>
      </w:r>
      <w:r w:rsidR="00CF527E" w:rsidRPr="00D837EA">
        <w:rPr>
          <w:rStyle w:val="FootnoteReference"/>
          <w:rFonts w:ascii="Arial" w:hAnsi="Arial" w:cs="Arial"/>
        </w:rPr>
        <w:footnoteReference w:id="8"/>
      </w:r>
      <w:r w:rsidR="003372D6" w:rsidRPr="00D837EA">
        <w:rPr>
          <w:rFonts w:ascii="Arial" w:hAnsi="Arial" w:cs="Arial"/>
        </w:rPr>
        <w:t xml:space="preserve"> Research in the United States has</w:t>
      </w:r>
      <w:r w:rsidR="002F0C14" w:rsidRPr="00D837EA">
        <w:rPr>
          <w:rFonts w:ascii="Arial" w:hAnsi="Arial" w:cs="Arial"/>
        </w:rPr>
        <w:t xml:space="preserve"> also</w:t>
      </w:r>
      <w:r w:rsidR="003372D6" w:rsidRPr="00D837EA">
        <w:rPr>
          <w:rFonts w:ascii="Arial" w:hAnsi="Arial" w:cs="Arial"/>
        </w:rPr>
        <w:t xml:space="preserve"> identified cost savings from diversion programs</w:t>
      </w:r>
      <w:r w:rsidR="00D2692C" w:rsidRPr="00D837EA">
        <w:rPr>
          <w:rFonts w:ascii="Arial" w:hAnsi="Arial" w:cs="Arial"/>
        </w:rPr>
        <w:t>.</w:t>
      </w:r>
      <w:r w:rsidR="0052360D" w:rsidRPr="00D837EA">
        <w:rPr>
          <w:rStyle w:val="FootnoteReference"/>
          <w:rFonts w:ascii="Arial" w:hAnsi="Arial" w:cs="Arial"/>
        </w:rPr>
        <w:footnoteReference w:id="9"/>
      </w:r>
      <w:r w:rsidR="003372D6" w:rsidRPr="00D837EA">
        <w:rPr>
          <w:rFonts w:ascii="Arial" w:hAnsi="Arial" w:cs="Arial"/>
        </w:rPr>
        <w:t xml:space="preserve"> </w:t>
      </w:r>
      <w:r w:rsidR="007D0566" w:rsidRPr="00D837EA">
        <w:rPr>
          <w:rFonts w:ascii="Arial" w:hAnsi="Arial" w:cs="Arial"/>
        </w:rPr>
        <w:t>Also in response to these potential limitations, it is important to note that</w:t>
      </w:r>
      <w:r w:rsidR="005A410C" w:rsidRPr="00D837EA">
        <w:rPr>
          <w:rFonts w:ascii="Arial" w:hAnsi="Arial" w:cs="Arial"/>
        </w:rPr>
        <w:t xml:space="preserve"> </w:t>
      </w:r>
      <w:r w:rsidR="00D67DD1" w:rsidRPr="00D837EA">
        <w:rPr>
          <w:rFonts w:ascii="Arial" w:hAnsi="Arial" w:cs="Arial"/>
        </w:rPr>
        <w:t>the Bill and Government amendments do not reduce the penalties for supplying illicit drug</w:t>
      </w:r>
      <w:r w:rsidR="00CF3FC7" w:rsidRPr="00D837EA">
        <w:rPr>
          <w:rFonts w:ascii="Arial" w:hAnsi="Arial" w:cs="Arial"/>
        </w:rPr>
        <w:t>s.</w:t>
      </w:r>
      <w:r w:rsidR="00D67DD1" w:rsidRPr="00D837EA">
        <w:rPr>
          <w:rFonts w:ascii="Arial" w:hAnsi="Arial" w:cs="Arial"/>
        </w:rPr>
        <w:t xml:space="preserve"> </w:t>
      </w:r>
      <w:r w:rsidR="008D2681" w:rsidRPr="00D837EA">
        <w:rPr>
          <w:rFonts w:ascii="Arial" w:hAnsi="Arial" w:cs="Arial"/>
        </w:rPr>
        <w:t>U</w:t>
      </w:r>
      <w:r w:rsidR="005A410C" w:rsidRPr="00D837EA">
        <w:rPr>
          <w:rFonts w:ascii="Arial" w:hAnsi="Arial" w:cs="Arial"/>
        </w:rPr>
        <w:t xml:space="preserve">nder the </w:t>
      </w:r>
      <w:r w:rsidR="00FC6011" w:rsidRPr="00D837EA">
        <w:rPr>
          <w:rFonts w:ascii="Arial" w:hAnsi="Arial" w:cs="Arial"/>
        </w:rPr>
        <w:t>Private Member’s Bill</w:t>
      </w:r>
      <w:r w:rsidR="005A410C" w:rsidRPr="00D837EA">
        <w:rPr>
          <w:rFonts w:ascii="Arial" w:hAnsi="Arial" w:cs="Arial"/>
        </w:rPr>
        <w:t xml:space="preserve"> with Government amendments, police will retain the ability to charge individuals with concurrent offences to drug possession that may pose a threat to others, such as theft or assault. In addition, the proposed changes </w:t>
      </w:r>
      <w:r w:rsidR="00314FA6" w:rsidRPr="00D837EA">
        <w:rPr>
          <w:rFonts w:ascii="Arial" w:hAnsi="Arial" w:cs="Arial"/>
        </w:rPr>
        <w:t>are not expected to</w:t>
      </w:r>
      <w:r w:rsidR="005A410C" w:rsidRPr="00D837EA">
        <w:rPr>
          <w:rFonts w:ascii="Arial" w:hAnsi="Arial" w:cs="Arial"/>
        </w:rPr>
        <w:t xml:space="preserve"> reduce deterrence for drug possession, as deterrence is more strongly related to the certainty of a penalty than to the severity of a penalty. </w:t>
      </w:r>
    </w:p>
    <w:p w14:paraId="35F0AEA5" w14:textId="66DEF7AA" w:rsidR="00D44D63" w:rsidRPr="00D837EA" w:rsidRDefault="00314FA6" w:rsidP="003167B6">
      <w:pPr>
        <w:spacing w:before="240"/>
        <w:rPr>
          <w:rFonts w:ascii="Arial" w:hAnsi="Arial" w:cs="Arial"/>
        </w:rPr>
      </w:pPr>
      <w:r w:rsidRPr="00D837EA">
        <w:rPr>
          <w:rFonts w:ascii="Arial" w:hAnsi="Arial" w:cs="Arial"/>
        </w:rPr>
        <w:t xml:space="preserve">Including only a select list of drugs </w:t>
      </w:r>
      <w:r w:rsidR="00D44D63" w:rsidRPr="00D837EA">
        <w:rPr>
          <w:rFonts w:ascii="Arial" w:hAnsi="Arial" w:cs="Arial"/>
        </w:rPr>
        <w:t>as eligible for the SDON and reduced maximum penalties for possession of a small quantity</w:t>
      </w:r>
      <w:r w:rsidRPr="00D837EA">
        <w:rPr>
          <w:rFonts w:ascii="Arial" w:hAnsi="Arial" w:cs="Arial"/>
        </w:rPr>
        <w:t xml:space="preserve"> could</w:t>
      </w:r>
      <w:r w:rsidR="00452532" w:rsidRPr="00D837EA">
        <w:rPr>
          <w:rFonts w:ascii="Arial" w:hAnsi="Arial" w:cs="Arial"/>
        </w:rPr>
        <w:t xml:space="preserve"> engage and</w:t>
      </w:r>
      <w:r w:rsidRPr="00D837EA">
        <w:rPr>
          <w:rFonts w:ascii="Arial" w:hAnsi="Arial" w:cs="Arial"/>
        </w:rPr>
        <w:t xml:space="preserve"> limit the right to equality before the l</w:t>
      </w:r>
      <w:r w:rsidR="00452532" w:rsidRPr="00D837EA">
        <w:rPr>
          <w:rFonts w:ascii="Arial" w:hAnsi="Arial" w:cs="Arial"/>
        </w:rPr>
        <w:t>a</w:t>
      </w:r>
      <w:r w:rsidR="009B73CB" w:rsidRPr="00D837EA">
        <w:rPr>
          <w:rFonts w:ascii="Arial" w:hAnsi="Arial" w:cs="Arial"/>
        </w:rPr>
        <w:t>w, insofar as the list does not include all the drugs that people might use.</w:t>
      </w:r>
      <w:r w:rsidR="008D2681" w:rsidRPr="00D837EA">
        <w:rPr>
          <w:rFonts w:ascii="Arial" w:hAnsi="Arial" w:cs="Arial"/>
        </w:rPr>
        <w:t xml:space="preserve"> </w:t>
      </w:r>
      <w:r w:rsidR="007B2E8E" w:rsidRPr="00D837EA">
        <w:rPr>
          <w:rFonts w:ascii="Arial" w:hAnsi="Arial" w:cs="Arial"/>
        </w:rPr>
        <w:t>However, it should be noted that the list of drugs captures the drugs which account for the large majority of possession apprehensions and/or diversions in the ACT.</w:t>
      </w:r>
      <w:r w:rsidR="00FF0079" w:rsidRPr="00D837EA">
        <w:rPr>
          <w:rFonts w:ascii="Arial" w:hAnsi="Arial" w:cs="Arial"/>
        </w:rPr>
        <w:t xml:space="preserve"> The three drugs most frequently seized by police in the ACT, in order, are cannabis, methylamphetamine and cocaine, accounting for half of all drug seizures. </w:t>
      </w:r>
      <w:r w:rsidR="007B2E8E" w:rsidRPr="00D837EA">
        <w:rPr>
          <w:rFonts w:ascii="Arial" w:hAnsi="Arial" w:cs="Arial"/>
        </w:rPr>
        <w:t xml:space="preserve">The list of drugs has also been moved from the Private Member’s Bill </w:t>
      </w:r>
      <w:r w:rsidR="00187658" w:rsidRPr="00D837EA">
        <w:rPr>
          <w:rFonts w:ascii="Arial" w:hAnsi="Arial" w:cs="Arial"/>
        </w:rPr>
        <w:t xml:space="preserve">to the </w:t>
      </w:r>
      <w:r w:rsidR="00187658" w:rsidRPr="00D837EA">
        <w:rPr>
          <w:rFonts w:ascii="Arial" w:hAnsi="Arial" w:cs="Arial"/>
          <w:i/>
          <w:iCs/>
        </w:rPr>
        <w:t xml:space="preserve">Drugs of Dependence Regulation 2009, </w:t>
      </w:r>
      <w:r w:rsidR="00187658" w:rsidRPr="00D837EA">
        <w:rPr>
          <w:rFonts w:ascii="Arial" w:hAnsi="Arial" w:cs="Arial"/>
        </w:rPr>
        <w:t>as this is more straightforward to amend in response to future drugs and changes to drug usage patterns. The ACT Government has taken a staged approach to these significant reforms and will consider the addition of further drugs over time.</w:t>
      </w:r>
    </w:p>
    <w:p w14:paraId="6CE5D68D" w14:textId="593E4B50" w:rsidR="00D44D63" w:rsidRPr="00D837EA" w:rsidRDefault="00187658" w:rsidP="003167B6">
      <w:pPr>
        <w:spacing w:before="240"/>
        <w:rPr>
          <w:rFonts w:ascii="Arial" w:hAnsi="Arial" w:cs="Arial"/>
        </w:rPr>
      </w:pPr>
      <w:r w:rsidRPr="00D837EA">
        <w:rPr>
          <w:rFonts w:ascii="Arial" w:hAnsi="Arial" w:cs="Arial"/>
        </w:rPr>
        <w:t>In addition,</w:t>
      </w:r>
      <w:r w:rsidR="00D44D63" w:rsidRPr="00D837EA">
        <w:rPr>
          <w:rFonts w:ascii="Arial" w:hAnsi="Arial" w:cs="Arial"/>
        </w:rPr>
        <w:t xml:space="preserve"> </w:t>
      </w:r>
      <w:r w:rsidRPr="00D837EA">
        <w:rPr>
          <w:rFonts w:ascii="Arial" w:hAnsi="Arial" w:cs="Arial"/>
        </w:rPr>
        <w:t xml:space="preserve">the fact that the Illicit Drug Diversion program </w:t>
      </w:r>
      <w:r w:rsidR="00A024B9" w:rsidRPr="00D837EA">
        <w:rPr>
          <w:rFonts w:ascii="Arial" w:hAnsi="Arial" w:cs="Arial"/>
        </w:rPr>
        <w:t xml:space="preserve">is intended to </w:t>
      </w:r>
      <w:r w:rsidRPr="00D837EA">
        <w:rPr>
          <w:rFonts w:ascii="Arial" w:hAnsi="Arial" w:cs="Arial"/>
        </w:rPr>
        <w:t xml:space="preserve">remain available for possession of all drugs acts as a safeguard for this right. </w:t>
      </w:r>
      <w:r w:rsidR="00D44D63" w:rsidRPr="00D837EA">
        <w:rPr>
          <w:rFonts w:ascii="Arial" w:hAnsi="Arial" w:cs="Arial"/>
        </w:rPr>
        <w:t xml:space="preserve">People in </w:t>
      </w:r>
      <w:r w:rsidR="00452532" w:rsidRPr="00D837EA">
        <w:rPr>
          <w:rFonts w:ascii="Arial" w:hAnsi="Arial" w:cs="Arial"/>
        </w:rPr>
        <w:t>possession of drugs not on the list</w:t>
      </w:r>
      <w:r w:rsidR="00D44D63" w:rsidRPr="00D837EA">
        <w:rPr>
          <w:rFonts w:ascii="Arial" w:hAnsi="Arial" w:cs="Arial"/>
        </w:rPr>
        <w:t xml:space="preserve"> would also still have access to other diversionary options, such as the Court Alcohol and Drug Assessment Service and the Drug and Alcohol Court</w:t>
      </w:r>
      <w:r w:rsidR="00452532" w:rsidRPr="00D837EA">
        <w:rPr>
          <w:rFonts w:ascii="Arial" w:hAnsi="Arial" w:cs="Arial"/>
        </w:rPr>
        <w:t xml:space="preserve"> (where other eligibility criteria are met)</w:t>
      </w:r>
      <w:r w:rsidR="00D44D63" w:rsidRPr="00D837EA">
        <w:rPr>
          <w:rFonts w:ascii="Arial" w:hAnsi="Arial" w:cs="Arial"/>
        </w:rPr>
        <w:t>.</w:t>
      </w:r>
    </w:p>
    <w:p w14:paraId="2B923B76" w14:textId="6238396D" w:rsidR="00211E90" w:rsidRPr="00D837EA" w:rsidRDefault="00211E90" w:rsidP="003167B6">
      <w:pPr>
        <w:spacing w:before="240"/>
        <w:rPr>
          <w:rFonts w:ascii="Arial" w:hAnsi="Arial" w:cs="Arial"/>
          <w:b/>
        </w:rPr>
      </w:pPr>
      <w:r w:rsidRPr="00D837EA">
        <w:rPr>
          <w:rFonts w:ascii="Arial" w:hAnsi="Arial" w:cs="Arial"/>
          <w:b/>
        </w:rPr>
        <w:lastRenderedPageBreak/>
        <w:t>CLAUSE NOTES</w:t>
      </w:r>
    </w:p>
    <w:p w14:paraId="0FFB87C0" w14:textId="124251C6" w:rsidR="00B60EDD" w:rsidRPr="00D837EA" w:rsidRDefault="00B60EDD" w:rsidP="003167B6">
      <w:pPr>
        <w:spacing w:before="240"/>
        <w:ind w:left="1440" w:hanging="1440"/>
        <w:rPr>
          <w:rFonts w:ascii="Arial" w:hAnsi="Arial" w:cs="Arial"/>
          <w:b/>
        </w:rPr>
      </w:pPr>
      <w:r w:rsidRPr="00D837EA">
        <w:rPr>
          <w:rFonts w:ascii="Arial" w:hAnsi="Arial" w:cs="Arial"/>
          <w:b/>
        </w:rPr>
        <w:t>Amendment 1</w:t>
      </w:r>
    </w:p>
    <w:p w14:paraId="4FF46461" w14:textId="4E35F1F1" w:rsidR="00B60EDD" w:rsidRPr="00D837EA" w:rsidRDefault="00B60EDD" w:rsidP="003167B6">
      <w:pPr>
        <w:spacing w:before="240"/>
        <w:rPr>
          <w:rFonts w:ascii="Arial" w:hAnsi="Arial" w:cs="Arial"/>
        </w:rPr>
      </w:pPr>
      <w:r w:rsidRPr="00D837EA">
        <w:rPr>
          <w:rFonts w:ascii="Arial" w:hAnsi="Arial" w:cs="Arial"/>
        </w:rPr>
        <w:t xml:space="preserve">This amendment is to the long title of the Bill, to reflect that it amends the </w:t>
      </w:r>
      <w:r w:rsidRPr="00D837EA">
        <w:rPr>
          <w:rFonts w:ascii="Arial" w:hAnsi="Arial" w:cs="Arial"/>
          <w:i/>
          <w:iCs/>
        </w:rPr>
        <w:t>Drugs of Dependence Regulation 2009</w:t>
      </w:r>
      <w:r w:rsidRPr="00D837EA">
        <w:rPr>
          <w:rFonts w:ascii="Arial" w:hAnsi="Arial" w:cs="Arial"/>
        </w:rPr>
        <w:t xml:space="preserve"> </w:t>
      </w:r>
      <w:r w:rsidR="00140044" w:rsidRPr="00D837EA">
        <w:rPr>
          <w:rFonts w:ascii="Arial" w:hAnsi="Arial" w:cs="Arial"/>
        </w:rPr>
        <w:t xml:space="preserve">(DoD Regulation) </w:t>
      </w:r>
      <w:r w:rsidRPr="00D837EA">
        <w:rPr>
          <w:rFonts w:ascii="Arial" w:hAnsi="Arial" w:cs="Arial"/>
        </w:rPr>
        <w:t xml:space="preserve">in addition to the </w:t>
      </w:r>
      <w:r w:rsidR="007E2814" w:rsidRPr="00D837EA">
        <w:rPr>
          <w:rFonts w:ascii="Arial" w:hAnsi="Arial" w:cs="Arial"/>
        </w:rPr>
        <w:t>DoD Act</w:t>
      </w:r>
      <w:r w:rsidRPr="00D837EA">
        <w:rPr>
          <w:rFonts w:ascii="Arial" w:hAnsi="Arial" w:cs="Arial"/>
        </w:rPr>
        <w:t>.</w:t>
      </w:r>
    </w:p>
    <w:p w14:paraId="4DBDBAA9" w14:textId="3BE79715" w:rsidR="00B60EDD" w:rsidRPr="00D837EA" w:rsidRDefault="00B60EDD" w:rsidP="003167B6">
      <w:pPr>
        <w:spacing w:before="240"/>
        <w:rPr>
          <w:rFonts w:ascii="Arial" w:hAnsi="Arial" w:cs="Arial"/>
          <w:b/>
          <w:bCs/>
        </w:rPr>
      </w:pPr>
      <w:r w:rsidRPr="00D837EA">
        <w:rPr>
          <w:rFonts w:ascii="Arial" w:hAnsi="Arial" w:cs="Arial"/>
          <w:b/>
          <w:bCs/>
        </w:rPr>
        <w:t>Amendment 2</w:t>
      </w:r>
    </w:p>
    <w:p w14:paraId="3E9BDD2A" w14:textId="76A25384" w:rsidR="00B60EDD" w:rsidRPr="00D837EA" w:rsidRDefault="00B60EDD" w:rsidP="003167B6">
      <w:pPr>
        <w:spacing w:before="240"/>
        <w:rPr>
          <w:rFonts w:ascii="Arial" w:hAnsi="Arial" w:cs="Arial"/>
        </w:rPr>
      </w:pPr>
      <w:r w:rsidRPr="00D837EA">
        <w:rPr>
          <w:rFonts w:ascii="Arial" w:hAnsi="Arial" w:cs="Arial"/>
        </w:rPr>
        <w:t>This amendment creates a new Part 1 for the Bill, dealing with preliminary matters.</w:t>
      </w:r>
    </w:p>
    <w:p w14:paraId="67EC9128" w14:textId="33626943" w:rsidR="00B60EDD" w:rsidRPr="00D837EA" w:rsidRDefault="00B60EDD" w:rsidP="003167B6">
      <w:pPr>
        <w:spacing w:before="240"/>
        <w:rPr>
          <w:rFonts w:ascii="Arial" w:hAnsi="Arial" w:cs="Arial"/>
          <w:b/>
          <w:bCs/>
        </w:rPr>
      </w:pPr>
      <w:r w:rsidRPr="00D837EA">
        <w:rPr>
          <w:rFonts w:ascii="Arial" w:hAnsi="Arial" w:cs="Arial"/>
          <w:b/>
          <w:bCs/>
        </w:rPr>
        <w:t>Amendment 3</w:t>
      </w:r>
    </w:p>
    <w:p w14:paraId="616CFB8A" w14:textId="2DEB8641" w:rsidR="00C060F5" w:rsidRPr="00D837EA" w:rsidRDefault="0000294E" w:rsidP="003167B6">
      <w:pPr>
        <w:spacing w:before="240"/>
        <w:rPr>
          <w:rFonts w:ascii="Arial" w:hAnsi="Arial" w:cs="Arial"/>
        </w:rPr>
      </w:pPr>
      <w:r w:rsidRPr="00D837EA">
        <w:rPr>
          <w:rFonts w:ascii="Arial" w:hAnsi="Arial" w:cs="Arial"/>
        </w:rPr>
        <w:t xml:space="preserve">This amendment provides that the enacted Bill commences 12 months after its notification day. This change will support implementation of these significant reforms, including allowing time for police training and review of administrative processes. </w:t>
      </w:r>
    </w:p>
    <w:p w14:paraId="06D4DEED" w14:textId="386C30A8" w:rsidR="00C060F5" w:rsidRPr="00D837EA" w:rsidRDefault="00C060F5" w:rsidP="003167B6">
      <w:pPr>
        <w:spacing w:before="240"/>
        <w:rPr>
          <w:rFonts w:ascii="Arial" w:hAnsi="Arial" w:cs="Arial"/>
        </w:rPr>
      </w:pPr>
      <w:r w:rsidRPr="00D837EA">
        <w:rPr>
          <w:rFonts w:ascii="Arial" w:hAnsi="Arial" w:cs="Arial"/>
          <w:b/>
          <w:bCs/>
        </w:rPr>
        <w:t>Amendment 4</w:t>
      </w:r>
    </w:p>
    <w:p w14:paraId="4BB3F34E" w14:textId="671A5F07" w:rsidR="00B60EDD" w:rsidRPr="00D837EA" w:rsidRDefault="00B60EDD" w:rsidP="003167B6">
      <w:pPr>
        <w:spacing w:before="240"/>
        <w:rPr>
          <w:rFonts w:ascii="Arial" w:hAnsi="Arial" w:cs="Arial"/>
        </w:rPr>
      </w:pPr>
      <w:r w:rsidRPr="00D837EA">
        <w:rPr>
          <w:rFonts w:ascii="Arial" w:hAnsi="Arial" w:cs="Arial"/>
        </w:rPr>
        <w:t xml:space="preserve">This amendment reflects that the Bill amends the </w:t>
      </w:r>
      <w:r w:rsidR="00140044" w:rsidRPr="00D837EA">
        <w:rPr>
          <w:rFonts w:ascii="Arial" w:hAnsi="Arial" w:cs="Arial"/>
        </w:rPr>
        <w:t xml:space="preserve">DoD Regulation </w:t>
      </w:r>
      <w:r w:rsidRPr="00D837EA">
        <w:rPr>
          <w:rFonts w:ascii="Arial" w:hAnsi="Arial" w:cs="Arial"/>
        </w:rPr>
        <w:t xml:space="preserve">in addition to the </w:t>
      </w:r>
      <w:r w:rsidR="007E2814" w:rsidRPr="00D837EA">
        <w:rPr>
          <w:rFonts w:ascii="Arial" w:hAnsi="Arial" w:cs="Arial"/>
        </w:rPr>
        <w:t>DoD Act.</w:t>
      </w:r>
    </w:p>
    <w:p w14:paraId="5CFF25D6" w14:textId="12962B0D" w:rsidR="00B60EDD" w:rsidRPr="00D837EA" w:rsidRDefault="00B60EDD" w:rsidP="003167B6">
      <w:pPr>
        <w:spacing w:before="240"/>
        <w:rPr>
          <w:rFonts w:ascii="Arial" w:hAnsi="Arial" w:cs="Arial"/>
          <w:b/>
          <w:bCs/>
        </w:rPr>
      </w:pPr>
      <w:r w:rsidRPr="00D837EA">
        <w:rPr>
          <w:rFonts w:ascii="Arial" w:hAnsi="Arial" w:cs="Arial"/>
          <w:b/>
          <w:bCs/>
        </w:rPr>
        <w:t xml:space="preserve">Amendment </w:t>
      </w:r>
      <w:r w:rsidR="008462C5" w:rsidRPr="00D837EA">
        <w:rPr>
          <w:rFonts w:ascii="Arial" w:hAnsi="Arial" w:cs="Arial"/>
          <w:b/>
          <w:bCs/>
        </w:rPr>
        <w:t>5</w:t>
      </w:r>
    </w:p>
    <w:p w14:paraId="5BAE0097" w14:textId="33994B4C" w:rsidR="00B60EDD" w:rsidRPr="00D837EA" w:rsidRDefault="00B60EDD" w:rsidP="003167B6">
      <w:pPr>
        <w:spacing w:before="240"/>
        <w:rPr>
          <w:rFonts w:ascii="Arial" w:hAnsi="Arial" w:cs="Arial"/>
        </w:rPr>
      </w:pPr>
      <w:r w:rsidRPr="00D837EA">
        <w:rPr>
          <w:rFonts w:ascii="Arial" w:hAnsi="Arial" w:cs="Arial"/>
        </w:rPr>
        <w:t xml:space="preserve">This amendment creates a new Part 2 for the Bill, </w:t>
      </w:r>
      <w:r w:rsidR="000C7237" w:rsidRPr="00D837EA">
        <w:rPr>
          <w:rFonts w:ascii="Arial" w:hAnsi="Arial" w:cs="Arial"/>
        </w:rPr>
        <w:t xml:space="preserve">which </w:t>
      </w:r>
      <w:r w:rsidRPr="00D837EA">
        <w:rPr>
          <w:rFonts w:ascii="Arial" w:hAnsi="Arial" w:cs="Arial"/>
        </w:rPr>
        <w:t xml:space="preserve">sets out amendments to </w:t>
      </w:r>
      <w:r w:rsidR="000C7237" w:rsidRPr="00D837EA">
        <w:rPr>
          <w:rFonts w:ascii="Arial" w:hAnsi="Arial" w:cs="Arial"/>
        </w:rPr>
        <w:t xml:space="preserve">the </w:t>
      </w:r>
      <w:r w:rsidR="007E2814" w:rsidRPr="00D837EA">
        <w:rPr>
          <w:rFonts w:ascii="Arial" w:hAnsi="Arial" w:cs="Arial"/>
        </w:rPr>
        <w:t>DoD Act</w:t>
      </w:r>
      <w:r w:rsidRPr="00D837EA">
        <w:rPr>
          <w:rFonts w:ascii="Arial" w:hAnsi="Arial" w:cs="Arial"/>
        </w:rPr>
        <w:t>.</w:t>
      </w:r>
    </w:p>
    <w:p w14:paraId="0C3AE09D" w14:textId="79A92EC7" w:rsidR="00B60EDD" w:rsidRPr="00D837EA" w:rsidRDefault="00B60EDD" w:rsidP="003167B6">
      <w:pPr>
        <w:spacing w:before="240"/>
        <w:rPr>
          <w:rFonts w:ascii="Arial" w:hAnsi="Arial" w:cs="Arial"/>
          <w:b/>
          <w:bCs/>
        </w:rPr>
      </w:pPr>
      <w:r w:rsidRPr="00D837EA">
        <w:rPr>
          <w:rFonts w:ascii="Arial" w:hAnsi="Arial" w:cs="Arial"/>
          <w:b/>
          <w:bCs/>
        </w:rPr>
        <w:t xml:space="preserve">Amendment </w:t>
      </w:r>
      <w:r w:rsidR="004C0C67" w:rsidRPr="00D837EA">
        <w:rPr>
          <w:rFonts w:ascii="Arial" w:hAnsi="Arial" w:cs="Arial"/>
          <w:b/>
          <w:bCs/>
        </w:rPr>
        <w:t>6</w:t>
      </w:r>
    </w:p>
    <w:p w14:paraId="34BCB37A" w14:textId="42AB928F" w:rsidR="00B60EDD" w:rsidRPr="00D837EA" w:rsidRDefault="00B60EDD" w:rsidP="003167B6">
      <w:pPr>
        <w:spacing w:before="240"/>
        <w:rPr>
          <w:rFonts w:ascii="Arial" w:hAnsi="Arial" w:cs="Arial"/>
        </w:rPr>
      </w:pPr>
      <w:r w:rsidRPr="00D837EA">
        <w:rPr>
          <w:rFonts w:ascii="Arial" w:hAnsi="Arial" w:cs="Arial"/>
        </w:rPr>
        <w:t>This amendment inserts a new Clause 3A</w:t>
      </w:r>
      <w:r w:rsidR="000D15EF" w:rsidRPr="00D837EA">
        <w:rPr>
          <w:rFonts w:ascii="Arial" w:hAnsi="Arial" w:cs="Arial"/>
        </w:rPr>
        <w:t xml:space="preserve">, which provides that </w:t>
      </w:r>
      <w:r w:rsidR="00C66148" w:rsidRPr="00D837EA">
        <w:rPr>
          <w:rFonts w:ascii="Arial" w:hAnsi="Arial" w:cs="Arial"/>
        </w:rPr>
        <w:t>Chapter</w:t>
      </w:r>
      <w:r w:rsidR="000D15EF" w:rsidRPr="00D837EA">
        <w:rPr>
          <w:rFonts w:ascii="Arial" w:hAnsi="Arial" w:cs="Arial"/>
        </w:rPr>
        <w:t xml:space="preserve"> 2 of the </w:t>
      </w:r>
      <w:r w:rsidR="000D15EF" w:rsidRPr="00D837EA">
        <w:rPr>
          <w:rFonts w:ascii="Arial" w:hAnsi="Arial" w:cs="Arial"/>
          <w:i/>
          <w:iCs/>
        </w:rPr>
        <w:t>Criminal Code</w:t>
      </w:r>
      <w:r w:rsidR="00C66148" w:rsidRPr="00D837EA">
        <w:rPr>
          <w:rFonts w:ascii="Arial" w:hAnsi="Arial" w:cs="Arial"/>
          <w:i/>
          <w:iCs/>
        </w:rPr>
        <w:t xml:space="preserve"> 2002</w:t>
      </w:r>
      <w:r w:rsidR="000D15EF" w:rsidRPr="00D837EA">
        <w:rPr>
          <w:rFonts w:ascii="Arial" w:hAnsi="Arial" w:cs="Arial"/>
        </w:rPr>
        <w:t xml:space="preserve"> applies to section</w:t>
      </w:r>
      <w:r w:rsidR="00AF7A00" w:rsidRPr="00D837EA">
        <w:rPr>
          <w:rFonts w:ascii="Arial" w:hAnsi="Arial" w:cs="Arial"/>
        </w:rPr>
        <w:t>s</w:t>
      </w:r>
      <w:r w:rsidR="000D15EF" w:rsidRPr="00D837EA">
        <w:rPr>
          <w:rFonts w:ascii="Arial" w:hAnsi="Arial" w:cs="Arial"/>
        </w:rPr>
        <w:t xml:space="preserve"> 169</w:t>
      </w:r>
      <w:r w:rsidR="00AF7A00" w:rsidRPr="00D837EA">
        <w:rPr>
          <w:rFonts w:ascii="Arial" w:hAnsi="Arial" w:cs="Arial"/>
        </w:rPr>
        <w:t xml:space="preserve"> and 171AAD</w:t>
      </w:r>
      <w:r w:rsidR="000D15EF" w:rsidRPr="00D837EA">
        <w:rPr>
          <w:rFonts w:ascii="Arial" w:hAnsi="Arial" w:cs="Arial"/>
        </w:rPr>
        <w:t xml:space="preserve"> of the </w:t>
      </w:r>
      <w:r w:rsidR="007E2814" w:rsidRPr="00D837EA">
        <w:rPr>
          <w:rFonts w:ascii="Arial" w:hAnsi="Arial" w:cs="Arial"/>
        </w:rPr>
        <w:t>DoD Act</w:t>
      </w:r>
      <w:r w:rsidR="000D15EF" w:rsidRPr="00D837EA">
        <w:rPr>
          <w:rFonts w:ascii="Arial" w:hAnsi="Arial" w:cs="Arial"/>
          <w:i/>
          <w:iCs/>
        </w:rPr>
        <w:t xml:space="preserve">. </w:t>
      </w:r>
    </w:p>
    <w:p w14:paraId="6A458D03" w14:textId="77777777" w:rsidR="003167B6" w:rsidRPr="00D837EA" w:rsidRDefault="00C66148" w:rsidP="003167B6">
      <w:pPr>
        <w:spacing w:before="240"/>
        <w:rPr>
          <w:rFonts w:ascii="Arial" w:hAnsi="Arial" w:cs="Arial"/>
        </w:rPr>
      </w:pPr>
      <w:r w:rsidRPr="00D837EA">
        <w:rPr>
          <w:rFonts w:ascii="Arial" w:hAnsi="Arial" w:cs="Arial"/>
        </w:rPr>
        <w:t>That chapter sets out the general principles of criminal responsibility (including burdens of proof and general defences), and defines terms used for offences to which the Code applies (eg conduct, intention, recklessness and strict liability).</w:t>
      </w:r>
    </w:p>
    <w:p w14:paraId="01579A30" w14:textId="47AA45D3" w:rsidR="00C66148" w:rsidRPr="00D837EA" w:rsidRDefault="00C66148" w:rsidP="003167B6">
      <w:pPr>
        <w:spacing w:before="240"/>
        <w:rPr>
          <w:rFonts w:ascii="Arial" w:hAnsi="Arial" w:cs="Arial"/>
          <w:i/>
          <w:iCs/>
        </w:rPr>
      </w:pPr>
      <w:r w:rsidRPr="00D837EA">
        <w:rPr>
          <w:rFonts w:ascii="Arial" w:hAnsi="Arial" w:cs="Arial"/>
        </w:rPr>
        <w:t>This change aligns s</w:t>
      </w:r>
      <w:r w:rsidR="00AF7A00" w:rsidRPr="00D837EA">
        <w:rPr>
          <w:rFonts w:ascii="Arial" w:hAnsi="Arial" w:cs="Arial"/>
        </w:rPr>
        <w:t xml:space="preserve">ections </w:t>
      </w:r>
      <w:r w:rsidRPr="00D837EA">
        <w:rPr>
          <w:rFonts w:ascii="Arial" w:hAnsi="Arial" w:cs="Arial"/>
        </w:rPr>
        <w:t xml:space="preserve">169 </w:t>
      </w:r>
      <w:r w:rsidR="00AF7A00" w:rsidRPr="00D837EA">
        <w:rPr>
          <w:rFonts w:ascii="Arial" w:hAnsi="Arial" w:cs="Arial"/>
        </w:rPr>
        <w:t xml:space="preserve">and 171AAD </w:t>
      </w:r>
      <w:r w:rsidRPr="00D837EA">
        <w:rPr>
          <w:rFonts w:ascii="Arial" w:hAnsi="Arial" w:cs="Arial"/>
        </w:rPr>
        <w:t xml:space="preserve">with other offences in the </w:t>
      </w:r>
      <w:r w:rsidR="007E2814" w:rsidRPr="00D837EA">
        <w:rPr>
          <w:rFonts w:ascii="Arial" w:hAnsi="Arial" w:cs="Arial"/>
        </w:rPr>
        <w:t>DoD Act</w:t>
      </w:r>
      <w:r w:rsidRPr="00D837EA">
        <w:rPr>
          <w:rFonts w:ascii="Arial" w:hAnsi="Arial" w:cs="Arial"/>
        </w:rPr>
        <w:t>.</w:t>
      </w:r>
    </w:p>
    <w:p w14:paraId="083DECF1" w14:textId="6A747576" w:rsidR="000D15EF" w:rsidRPr="00D837EA" w:rsidRDefault="000D15EF" w:rsidP="003167B6">
      <w:pPr>
        <w:spacing w:before="240"/>
        <w:rPr>
          <w:rFonts w:ascii="Arial" w:hAnsi="Arial" w:cs="Arial"/>
          <w:b/>
          <w:bCs/>
        </w:rPr>
      </w:pPr>
      <w:r w:rsidRPr="00D837EA">
        <w:rPr>
          <w:rFonts w:ascii="Arial" w:hAnsi="Arial" w:cs="Arial"/>
          <w:b/>
          <w:bCs/>
        </w:rPr>
        <w:t xml:space="preserve">Amendment </w:t>
      </w:r>
      <w:r w:rsidR="004C0C67" w:rsidRPr="00D837EA">
        <w:rPr>
          <w:rFonts w:ascii="Arial" w:hAnsi="Arial" w:cs="Arial"/>
          <w:b/>
          <w:bCs/>
        </w:rPr>
        <w:t>7</w:t>
      </w:r>
      <w:r w:rsidRPr="00D837EA">
        <w:rPr>
          <w:rFonts w:ascii="Arial" w:hAnsi="Arial" w:cs="Arial"/>
          <w:b/>
          <w:bCs/>
        </w:rPr>
        <w:t xml:space="preserve"> – Clause 4</w:t>
      </w:r>
    </w:p>
    <w:p w14:paraId="4DE20DD5" w14:textId="3E652BB1" w:rsidR="000D15EF" w:rsidRPr="00D837EA" w:rsidRDefault="000D15EF" w:rsidP="003167B6">
      <w:pPr>
        <w:spacing w:before="240"/>
        <w:rPr>
          <w:rFonts w:ascii="Arial" w:hAnsi="Arial" w:cs="Arial"/>
        </w:rPr>
      </w:pPr>
      <w:r w:rsidRPr="00D837EA">
        <w:rPr>
          <w:rFonts w:ascii="Arial" w:hAnsi="Arial" w:cs="Arial"/>
        </w:rPr>
        <w:t>Th</w:t>
      </w:r>
      <w:r w:rsidR="000570A2" w:rsidRPr="00D837EA">
        <w:rPr>
          <w:rFonts w:ascii="Arial" w:hAnsi="Arial" w:cs="Arial"/>
        </w:rPr>
        <w:t>is</w:t>
      </w:r>
      <w:r w:rsidRPr="00D837EA">
        <w:rPr>
          <w:rFonts w:ascii="Arial" w:hAnsi="Arial" w:cs="Arial"/>
        </w:rPr>
        <w:t xml:space="preserve"> amendment</w:t>
      </w:r>
      <w:r w:rsidR="000570A2" w:rsidRPr="00D837EA">
        <w:rPr>
          <w:rFonts w:ascii="Arial" w:hAnsi="Arial" w:cs="Arial"/>
        </w:rPr>
        <w:t xml:space="preserve"> omits</w:t>
      </w:r>
      <w:r w:rsidRPr="00D837EA">
        <w:rPr>
          <w:rFonts w:ascii="Arial" w:hAnsi="Arial" w:cs="Arial"/>
        </w:rPr>
        <w:t xml:space="preserve"> </w:t>
      </w:r>
      <w:r w:rsidR="000570A2" w:rsidRPr="00D837EA">
        <w:rPr>
          <w:rFonts w:ascii="Arial" w:hAnsi="Arial" w:cs="Arial"/>
        </w:rPr>
        <w:t>Clause 4 and substitutes a new Clause 4.</w:t>
      </w:r>
    </w:p>
    <w:p w14:paraId="218EE9E1" w14:textId="6D1D1CC6" w:rsidR="008C141B" w:rsidRPr="00D837EA" w:rsidRDefault="008C141B" w:rsidP="003167B6">
      <w:pPr>
        <w:spacing w:before="240"/>
        <w:rPr>
          <w:rFonts w:ascii="Arial" w:hAnsi="Arial" w:cs="Arial"/>
          <w:bCs/>
        </w:rPr>
      </w:pPr>
      <w:r w:rsidRPr="00D837EA">
        <w:rPr>
          <w:rFonts w:ascii="Arial" w:hAnsi="Arial" w:cs="Arial"/>
          <w:bCs/>
        </w:rPr>
        <w:t xml:space="preserve">New subsection 169(1) establishes an offence where a person possesses </w:t>
      </w:r>
      <w:r w:rsidR="006A2E7C" w:rsidRPr="00D837EA">
        <w:rPr>
          <w:rFonts w:ascii="Arial" w:hAnsi="Arial" w:cs="Arial"/>
          <w:bCs/>
        </w:rPr>
        <w:t>not more than a small quantity of</w:t>
      </w:r>
      <w:r w:rsidRPr="00D837EA">
        <w:rPr>
          <w:rFonts w:ascii="Arial" w:hAnsi="Arial" w:cs="Arial"/>
          <w:bCs/>
        </w:rPr>
        <w:t xml:space="preserve"> a drug of dependence.  </w:t>
      </w:r>
    </w:p>
    <w:p w14:paraId="55070E7D" w14:textId="20940FA8" w:rsidR="008C141B" w:rsidRPr="00D837EA" w:rsidRDefault="008C141B" w:rsidP="003167B6">
      <w:pPr>
        <w:spacing w:before="240"/>
        <w:rPr>
          <w:rFonts w:ascii="Arial" w:hAnsi="Arial" w:cs="Arial"/>
          <w:bCs/>
        </w:rPr>
      </w:pPr>
      <w:r w:rsidRPr="00D837EA">
        <w:rPr>
          <w:rFonts w:ascii="Arial" w:hAnsi="Arial" w:cs="Arial"/>
          <w:bCs/>
        </w:rPr>
        <w:t>The maximum penalty for the offence under s 169(1) is 1 penalty unit</w:t>
      </w:r>
      <w:r w:rsidR="00265472" w:rsidRPr="00D837EA">
        <w:rPr>
          <w:rFonts w:ascii="Arial" w:hAnsi="Arial" w:cs="Arial"/>
          <w:bCs/>
        </w:rPr>
        <w:t xml:space="preserve"> (reduced from</w:t>
      </w:r>
      <w:r w:rsidR="00DF5A70" w:rsidRPr="00D837EA">
        <w:rPr>
          <w:rFonts w:ascii="Arial" w:hAnsi="Arial" w:cs="Arial"/>
          <w:bCs/>
        </w:rPr>
        <w:t xml:space="preserve"> 50 penalty units, 2 years imprisonment or both</w:t>
      </w:r>
      <w:r w:rsidR="00265472" w:rsidRPr="00D837EA">
        <w:rPr>
          <w:rFonts w:ascii="Arial" w:hAnsi="Arial" w:cs="Arial"/>
          <w:bCs/>
        </w:rPr>
        <w:t>).</w:t>
      </w:r>
    </w:p>
    <w:p w14:paraId="305D01D9" w14:textId="77777777" w:rsidR="003167B6" w:rsidRPr="00D837EA" w:rsidRDefault="008C141B" w:rsidP="003167B6">
      <w:pPr>
        <w:spacing w:before="240"/>
        <w:rPr>
          <w:rFonts w:ascii="Arial" w:hAnsi="Arial" w:cs="Arial"/>
          <w:bCs/>
        </w:rPr>
      </w:pPr>
      <w:r w:rsidRPr="00D837EA">
        <w:rPr>
          <w:rFonts w:ascii="Arial" w:hAnsi="Arial" w:cs="Arial"/>
          <w:bCs/>
        </w:rPr>
        <w:t xml:space="preserve">This amendment changes the term ‘personal possession limit’ used in the Private Member’s Bill to ‘small quantity’, for consistency with terminology elsewhere in the </w:t>
      </w:r>
      <w:r w:rsidR="007E2814" w:rsidRPr="00D837EA">
        <w:rPr>
          <w:rFonts w:ascii="Arial" w:hAnsi="Arial" w:cs="Arial"/>
          <w:bCs/>
        </w:rPr>
        <w:t>DoD Act</w:t>
      </w:r>
      <w:r w:rsidRPr="00D837EA">
        <w:rPr>
          <w:rFonts w:ascii="Arial" w:hAnsi="Arial" w:cs="Arial"/>
          <w:bCs/>
        </w:rPr>
        <w:t xml:space="preserve">. </w:t>
      </w:r>
    </w:p>
    <w:p w14:paraId="03B258EB" w14:textId="25D67BED" w:rsidR="008C141B" w:rsidRPr="00D837EA" w:rsidRDefault="008C141B" w:rsidP="003167B6">
      <w:pPr>
        <w:spacing w:before="240"/>
        <w:rPr>
          <w:rFonts w:ascii="Arial" w:hAnsi="Arial" w:cs="Arial"/>
          <w:bCs/>
        </w:rPr>
      </w:pPr>
      <w:r w:rsidRPr="00D837EA">
        <w:rPr>
          <w:rFonts w:ascii="Arial" w:hAnsi="Arial" w:cs="Arial"/>
          <w:bCs/>
        </w:rPr>
        <w:lastRenderedPageBreak/>
        <w:t xml:space="preserve">It also provides that the offence applies for possession of amounts </w:t>
      </w:r>
      <w:r w:rsidR="00E80E9F" w:rsidRPr="00D837EA">
        <w:rPr>
          <w:rFonts w:ascii="Arial" w:hAnsi="Arial" w:cs="Arial"/>
          <w:bCs/>
        </w:rPr>
        <w:t>not more than the small quantity limit</w:t>
      </w:r>
      <w:r w:rsidRPr="00D837EA">
        <w:rPr>
          <w:rFonts w:ascii="Arial" w:hAnsi="Arial" w:cs="Arial"/>
          <w:bCs/>
        </w:rPr>
        <w:t>, rather than only for possession of amounts below that limit, for consistency with limits in other areas of legislation</w:t>
      </w:r>
      <w:r w:rsidR="00E80E9F" w:rsidRPr="00D837EA">
        <w:rPr>
          <w:rFonts w:ascii="Arial" w:hAnsi="Arial" w:cs="Arial"/>
          <w:bCs/>
        </w:rPr>
        <w:t>, for example traffic speed limits</w:t>
      </w:r>
      <w:r w:rsidRPr="00D837EA">
        <w:rPr>
          <w:rFonts w:ascii="Arial" w:hAnsi="Arial" w:cs="Arial"/>
          <w:bCs/>
        </w:rPr>
        <w:t>.</w:t>
      </w:r>
    </w:p>
    <w:p w14:paraId="1D2F976B" w14:textId="6019DE61" w:rsidR="00265472" w:rsidRPr="00D837EA" w:rsidRDefault="00265472" w:rsidP="003167B6">
      <w:pPr>
        <w:spacing w:before="240"/>
        <w:rPr>
          <w:rFonts w:ascii="Arial" w:hAnsi="Arial" w:cs="Arial"/>
          <w:bCs/>
        </w:rPr>
      </w:pPr>
      <w:r w:rsidRPr="00D837EA">
        <w:rPr>
          <w:rFonts w:ascii="Arial" w:hAnsi="Arial" w:cs="Arial"/>
          <w:bCs/>
        </w:rPr>
        <w:t xml:space="preserve">New subsection 169(2) establishes an offence where a person possesses a drug of dependence and there is no small quantity prescribed for the drug, or if there is a small quantity prescribed, the person possesses more than a small quantity. </w:t>
      </w:r>
    </w:p>
    <w:p w14:paraId="3D268323" w14:textId="38518A8B" w:rsidR="00265472" w:rsidRPr="00D837EA" w:rsidRDefault="00265472" w:rsidP="003167B6">
      <w:pPr>
        <w:spacing w:before="240"/>
        <w:rPr>
          <w:rFonts w:ascii="Arial" w:hAnsi="Arial" w:cs="Arial"/>
          <w:bCs/>
        </w:rPr>
      </w:pPr>
      <w:r w:rsidRPr="00D837EA">
        <w:rPr>
          <w:rFonts w:ascii="Arial" w:hAnsi="Arial" w:cs="Arial"/>
          <w:bCs/>
        </w:rPr>
        <w:t>The maximum penalty for the offence under s169(2) is 50 penalty units, imprisonment for 6 months or both</w:t>
      </w:r>
      <w:r w:rsidR="00D67DD1" w:rsidRPr="00D837EA">
        <w:rPr>
          <w:rFonts w:ascii="Arial" w:hAnsi="Arial" w:cs="Arial"/>
          <w:bCs/>
        </w:rPr>
        <w:t xml:space="preserve"> (reduced from 50 penalty units, 2 years imprisonment or both).</w:t>
      </w:r>
    </w:p>
    <w:p w14:paraId="0981A60B" w14:textId="7E3B6DFC" w:rsidR="00265472" w:rsidRPr="00D837EA" w:rsidRDefault="00265472" w:rsidP="003167B6">
      <w:pPr>
        <w:spacing w:before="240"/>
        <w:rPr>
          <w:rFonts w:ascii="Arial" w:hAnsi="Arial" w:cs="Arial"/>
          <w:bCs/>
        </w:rPr>
      </w:pPr>
      <w:r w:rsidRPr="00D837EA">
        <w:rPr>
          <w:rFonts w:ascii="Arial" w:hAnsi="Arial" w:cs="Arial"/>
          <w:bCs/>
        </w:rPr>
        <w:t>This amendment changes the term ‘personal possession limit’ used in the Private Member’s Bill to ‘small quantity’, for consistency with terminology elsewhere in the Act. It also provides that the offence applies for possession of amounts above the small quantity limit of a drug, rather than at the small quantity limit or above (as proposed by the Private Member’s Bill), for consistency with other areas of legislation.</w:t>
      </w:r>
    </w:p>
    <w:p w14:paraId="4DCB9CAF" w14:textId="77777777" w:rsidR="00265472" w:rsidRPr="00D837EA" w:rsidRDefault="00265472" w:rsidP="003167B6">
      <w:pPr>
        <w:spacing w:before="240"/>
        <w:rPr>
          <w:rFonts w:ascii="Arial" w:hAnsi="Arial" w:cs="Arial"/>
          <w:bCs/>
        </w:rPr>
      </w:pPr>
      <w:r w:rsidRPr="00D837EA">
        <w:rPr>
          <w:rFonts w:ascii="Arial" w:hAnsi="Arial" w:cs="Arial"/>
          <w:bCs/>
        </w:rPr>
        <w:t>This amendment also reduces the maximum imprisonment term for the offence under s 169(2) to six months. This more closely aligns the penalties with the Government’s harm minimisation approach to drug use and to general penalties principles as set out in the Justice and Community Safety Directorate’s Guide to Framing Offences (2010).</w:t>
      </w:r>
    </w:p>
    <w:p w14:paraId="2425CB0E" w14:textId="1324F1C4" w:rsidR="001B31F7" w:rsidRPr="00D837EA" w:rsidRDefault="001B31F7" w:rsidP="003167B6">
      <w:pPr>
        <w:spacing w:before="240"/>
        <w:rPr>
          <w:rFonts w:ascii="Arial" w:hAnsi="Arial" w:cs="Arial"/>
          <w:bCs/>
        </w:rPr>
      </w:pPr>
      <w:r w:rsidRPr="00D837EA">
        <w:rPr>
          <w:rFonts w:ascii="Arial" w:hAnsi="Arial" w:cs="Arial"/>
          <w:bCs/>
        </w:rPr>
        <w:t xml:space="preserve">Section 169 does not apply if the person is authorised under the </w:t>
      </w:r>
      <w:r w:rsidRPr="00D837EA">
        <w:rPr>
          <w:rFonts w:ascii="Arial" w:hAnsi="Arial" w:cs="Arial"/>
          <w:bCs/>
          <w:i/>
          <w:iCs/>
        </w:rPr>
        <w:t>Medicines, Poisons and Therapeutic Goods Act 2008</w:t>
      </w:r>
      <w:r w:rsidRPr="00D837EA">
        <w:rPr>
          <w:rFonts w:ascii="Arial" w:hAnsi="Arial" w:cs="Arial"/>
          <w:bCs/>
        </w:rPr>
        <w:t>, or another territory law, to possess the drug of dependence.</w:t>
      </w:r>
    </w:p>
    <w:p w14:paraId="63166D97" w14:textId="48F94D93" w:rsidR="00B746DC" w:rsidRPr="00D837EA" w:rsidRDefault="00173C2B" w:rsidP="003167B6">
      <w:pPr>
        <w:spacing w:before="240"/>
        <w:rPr>
          <w:rFonts w:ascii="Arial" w:hAnsi="Arial" w:cs="Arial"/>
          <w:bCs/>
        </w:rPr>
      </w:pPr>
      <w:r w:rsidRPr="00D837EA">
        <w:rPr>
          <w:rFonts w:ascii="Arial" w:hAnsi="Arial" w:cs="Arial"/>
          <w:bCs/>
        </w:rPr>
        <w:t>The amendments to clause 4 also omit the new section 170 proposed by the Private Member’s Bill, which set out personal possession limits for a select list of drugs.</w:t>
      </w:r>
      <w:r w:rsidR="00CB4F01" w:rsidRPr="00D837EA">
        <w:rPr>
          <w:rFonts w:ascii="Arial" w:hAnsi="Arial" w:cs="Arial"/>
          <w:bCs/>
        </w:rPr>
        <w:t xml:space="preserve"> The list of drugs </w:t>
      </w:r>
      <w:r w:rsidR="008A5CEE" w:rsidRPr="00D837EA">
        <w:rPr>
          <w:rFonts w:ascii="Arial" w:hAnsi="Arial" w:cs="Arial"/>
          <w:bCs/>
        </w:rPr>
        <w:t xml:space="preserve">with prescribed small quantities </w:t>
      </w:r>
      <w:r w:rsidR="00CB4F01" w:rsidRPr="00D837EA">
        <w:rPr>
          <w:rFonts w:ascii="Arial" w:hAnsi="Arial" w:cs="Arial"/>
          <w:bCs/>
        </w:rPr>
        <w:t xml:space="preserve">has been </w:t>
      </w:r>
      <w:r w:rsidR="006963DE" w:rsidRPr="00D837EA">
        <w:rPr>
          <w:rFonts w:ascii="Arial" w:hAnsi="Arial" w:cs="Arial"/>
          <w:bCs/>
        </w:rPr>
        <w:t>moved to</w:t>
      </w:r>
      <w:r w:rsidR="00CB4F01" w:rsidRPr="00D837EA">
        <w:rPr>
          <w:rFonts w:ascii="Arial" w:hAnsi="Arial" w:cs="Arial"/>
          <w:bCs/>
        </w:rPr>
        <w:t xml:space="preserve"> the </w:t>
      </w:r>
      <w:r w:rsidR="00140044" w:rsidRPr="00D837EA">
        <w:rPr>
          <w:rFonts w:ascii="Arial" w:hAnsi="Arial" w:cs="Arial"/>
          <w:bCs/>
        </w:rPr>
        <w:t>DoD Regulation</w:t>
      </w:r>
      <w:r w:rsidR="00CB4F01" w:rsidRPr="00D837EA">
        <w:rPr>
          <w:rFonts w:ascii="Arial" w:hAnsi="Arial" w:cs="Arial"/>
          <w:bCs/>
          <w:i/>
          <w:iCs/>
        </w:rPr>
        <w:t xml:space="preserve">, </w:t>
      </w:r>
      <w:r w:rsidR="00CB4F01" w:rsidRPr="00D837EA">
        <w:rPr>
          <w:rFonts w:ascii="Arial" w:hAnsi="Arial" w:cs="Arial"/>
          <w:bCs/>
        </w:rPr>
        <w:t>for consistency with other areas of legislation. This will also facilitate any future changes to the list as required.</w:t>
      </w:r>
    </w:p>
    <w:p w14:paraId="3542DFA8" w14:textId="07AABEE4" w:rsidR="00A4599F" w:rsidRPr="00D837EA" w:rsidRDefault="006963DE" w:rsidP="003167B6">
      <w:pPr>
        <w:spacing w:before="240"/>
        <w:rPr>
          <w:rFonts w:ascii="Arial" w:hAnsi="Arial" w:cs="Arial"/>
          <w:bCs/>
        </w:rPr>
      </w:pPr>
      <w:r w:rsidRPr="00D837EA">
        <w:rPr>
          <w:rFonts w:ascii="Arial" w:hAnsi="Arial" w:cs="Arial"/>
          <w:bCs/>
        </w:rPr>
        <w:t xml:space="preserve">The new subsection </w:t>
      </w:r>
      <w:r w:rsidR="00A4599F" w:rsidRPr="00D837EA">
        <w:rPr>
          <w:rFonts w:ascii="Arial" w:hAnsi="Arial" w:cs="Arial"/>
          <w:bCs/>
        </w:rPr>
        <w:t>171(1) establishes an offence if</w:t>
      </w:r>
      <w:r w:rsidRPr="00D837EA">
        <w:rPr>
          <w:rFonts w:ascii="Arial" w:hAnsi="Arial" w:cs="Arial"/>
          <w:bCs/>
        </w:rPr>
        <w:t xml:space="preserve"> a person possesses </w:t>
      </w:r>
      <w:r w:rsidR="008A5CEE" w:rsidRPr="00D837EA">
        <w:rPr>
          <w:rFonts w:ascii="Arial" w:hAnsi="Arial" w:cs="Arial"/>
          <w:bCs/>
        </w:rPr>
        <w:t xml:space="preserve">not more than a small quantity </w:t>
      </w:r>
      <w:r w:rsidRPr="00D837EA">
        <w:rPr>
          <w:rFonts w:ascii="Arial" w:hAnsi="Arial" w:cs="Arial"/>
          <w:bCs/>
        </w:rPr>
        <w:t>of a prohibited substance.</w:t>
      </w:r>
      <w:r w:rsidR="006C678B" w:rsidRPr="00D837EA">
        <w:rPr>
          <w:rFonts w:ascii="Arial" w:hAnsi="Arial" w:cs="Arial"/>
          <w:bCs/>
        </w:rPr>
        <w:t xml:space="preserve"> </w:t>
      </w:r>
      <w:r w:rsidR="00A4599F" w:rsidRPr="00D837EA">
        <w:rPr>
          <w:rFonts w:ascii="Arial" w:hAnsi="Arial" w:cs="Arial"/>
          <w:bCs/>
        </w:rPr>
        <w:t>The maximum penalty for the offence under s171(1) is 1 penalty unit</w:t>
      </w:r>
      <w:r w:rsidRPr="00D837EA">
        <w:rPr>
          <w:rFonts w:ascii="Arial" w:hAnsi="Arial" w:cs="Arial"/>
          <w:bCs/>
        </w:rPr>
        <w:t xml:space="preserve"> (reduced from 50 penalty units, 2 years imprisonment, or both)</w:t>
      </w:r>
      <w:r w:rsidR="00A4599F" w:rsidRPr="00D837EA">
        <w:rPr>
          <w:rFonts w:ascii="Arial" w:hAnsi="Arial" w:cs="Arial"/>
          <w:bCs/>
        </w:rPr>
        <w:t>.</w:t>
      </w:r>
    </w:p>
    <w:p w14:paraId="4D86CBE5" w14:textId="1B396508" w:rsidR="003167B6" w:rsidRPr="00D837EA" w:rsidRDefault="006963DE" w:rsidP="003167B6">
      <w:pPr>
        <w:spacing w:before="240"/>
        <w:rPr>
          <w:rFonts w:ascii="Arial" w:hAnsi="Arial" w:cs="Arial"/>
          <w:bCs/>
        </w:rPr>
      </w:pPr>
      <w:r w:rsidRPr="00D837EA">
        <w:rPr>
          <w:rFonts w:ascii="Arial" w:hAnsi="Arial" w:cs="Arial"/>
          <w:bCs/>
        </w:rPr>
        <w:t>The new subsection 171</w:t>
      </w:r>
      <w:r w:rsidR="00A4599F" w:rsidRPr="00D837EA">
        <w:rPr>
          <w:rFonts w:ascii="Arial" w:hAnsi="Arial" w:cs="Arial"/>
          <w:bCs/>
        </w:rPr>
        <w:t xml:space="preserve">(2) </w:t>
      </w:r>
      <w:r w:rsidRPr="00D837EA">
        <w:rPr>
          <w:rFonts w:ascii="Arial" w:hAnsi="Arial" w:cs="Arial"/>
          <w:bCs/>
        </w:rPr>
        <w:t>establishes an offence</w:t>
      </w:r>
      <w:r w:rsidR="00A4599F" w:rsidRPr="00D837EA">
        <w:rPr>
          <w:rFonts w:ascii="Arial" w:hAnsi="Arial" w:cs="Arial"/>
          <w:bCs/>
        </w:rPr>
        <w:t xml:space="preserve"> </w:t>
      </w:r>
      <w:r w:rsidR="006C678B" w:rsidRPr="00D837EA">
        <w:rPr>
          <w:rFonts w:ascii="Arial" w:hAnsi="Arial" w:cs="Arial"/>
          <w:bCs/>
        </w:rPr>
        <w:t>where a</w:t>
      </w:r>
      <w:r w:rsidR="00A4599F" w:rsidRPr="00D837EA">
        <w:rPr>
          <w:rFonts w:ascii="Arial" w:hAnsi="Arial" w:cs="Arial"/>
          <w:bCs/>
        </w:rPr>
        <w:t xml:space="preserve"> person possesses a prohibited substance </w:t>
      </w:r>
      <w:r w:rsidR="006C678B" w:rsidRPr="00D837EA">
        <w:rPr>
          <w:rFonts w:ascii="Arial" w:hAnsi="Arial" w:cs="Arial"/>
          <w:bCs/>
        </w:rPr>
        <w:t xml:space="preserve">and there is no small quantity prescribed for the substance, or if there is a small quantity prescribed, the person possesses more than a small quantity. </w:t>
      </w:r>
      <w:r w:rsidR="00A4599F" w:rsidRPr="00D837EA">
        <w:rPr>
          <w:rFonts w:ascii="Arial" w:hAnsi="Arial" w:cs="Arial"/>
          <w:bCs/>
        </w:rPr>
        <w:t>The maximum penalty for the offence under s171(2) is 50 penalty units, imprisonment for 6 months or both.</w:t>
      </w:r>
      <w:r w:rsidR="003167B6" w:rsidRPr="00D837EA">
        <w:rPr>
          <w:rFonts w:ascii="Arial" w:hAnsi="Arial" w:cs="Arial"/>
          <w:bCs/>
        </w:rPr>
        <w:t xml:space="preserve"> </w:t>
      </w:r>
    </w:p>
    <w:p w14:paraId="6D38DB4C" w14:textId="4748EAEE" w:rsidR="006C678B" w:rsidRPr="00D837EA" w:rsidRDefault="006C678B" w:rsidP="003167B6">
      <w:pPr>
        <w:spacing w:before="240"/>
        <w:rPr>
          <w:rFonts w:ascii="Arial" w:hAnsi="Arial" w:cs="Arial"/>
          <w:bCs/>
        </w:rPr>
      </w:pPr>
      <w:r w:rsidRPr="00D837EA">
        <w:rPr>
          <w:rFonts w:ascii="Arial" w:hAnsi="Arial" w:cs="Arial"/>
          <w:bCs/>
        </w:rPr>
        <w:t>These amendments align with the changes for the offences in ss169(1) and 169(2) above</w:t>
      </w:r>
      <w:r w:rsidR="008A5CEE" w:rsidRPr="00D837EA">
        <w:t xml:space="preserve"> </w:t>
      </w:r>
      <w:r w:rsidR="008A5CEE" w:rsidRPr="00D837EA">
        <w:rPr>
          <w:rFonts w:ascii="Arial" w:hAnsi="Arial" w:cs="Arial"/>
          <w:bCs/>
        </w:rPr>
        <w:t>in relation to the term ‘small quantity’, the possession amounts for these offences, and the maximum penalties for possession of amounts above the small quantity threshold or for where no small quantity is prescribed.</w:t>
      </w:r>
    </w:p>
    <w:p w14:paraId="6AB183A2" w14:textId="0D839958" w:rsidR="001B31F7" w:rsidRPr="00D837EA" w:rsidRDefault="001B31F7" w:rsidP="003167B6">
      <w:pPr>
        <w:spacing w:before="240"/>
        <w:rPr>
          <w:rFonts w:ascii="Arial" w:hAnsi="Arial" w:cs="Arial"/>
          <w:bCs/>
        </w:rPr>
      </w:pPr>
      <w:r w:rsidRPr="00D837EA">
        <w:rPr>
          <w:rFonts w:ascii="Arial" w:hAnsi="Arial" w:cs="Arial"/>
          <w:bCs/>
        </w:rPr>
        <w:lastRenderedPageBreak/>
        <w:t xml:space="preserve">Section 171 does not apply if the person is authorised under the </w:t>
      </w:r>
      <w:r w:rsidRPr="00D837EA">
        <w:rPr>
          <w:rFonts w:ascii="Arial" w:hAnsi="Arial" w:cs="Arial"/>
          <w:bCs/>
          <w:i/>
          <w:iCs/>
        </w:rPr>
        <w:t>Medicines, Poisons and Therapeutic Goods Act 2008</w:t>
      </w:r>
      <w:r w:rsidRPr="00D837EA">
        <w:rPr>
          <w:rFonts w:ascii="Arial" w:hAnsi="Arial" w:cs="Arial"/>
          <w:bCs/>
        </w:rPr>
        <w:t>, or another territory law, to possess the drug of dependence.</w:t>
      </w:r>
    </w:p>
    <w:p w14:paraId="41E56BD8" w14:textId="135D8159" w:rsidR="006A2E7C" w:rsidRPr="00D837EA" w:rsidRDefault="006A2E7C" w:rsidP="003167B6">
      <w:pPr>
        <w:spacing w:before="240"/>
        <w:ind w:left="1440" w:hanging="1440"/>
        <w:rPr>
          <w:rFonts w:ascii="Arial" w:hAnsi="Arial" w:cs="Arial"/>
          <w:b/>
        </w:rPr>
      </w:pPr>
      <w:r w:rsidRPr="00D837EA">
        <w:rPr>
          <w:rFonts w:ascii="Arial" w:hAnsi="Arial" w:cs="Arial"/>
          <w:b/>
        </w:rPr>
        <w:t xml:space="preserve">Amendment </w:t>
      </w:r>
      <w:r w:rsidR="00FF0079" w:rsidRPr="00D837EA">
        <w:rPr>
          <w:rFonts w:ascii="Arial" w:hAnsi="Arial" w:cs="Arial"/>
          <w:b/>
        </w:rPr>
        <w:t>8</w:t>
      </w:r>
      <w:r w:rsidRPr="00D837EA">
        <w:rPr>
          <w:rFonts w:ascii="Arial" w:hAnsi="Arial" w:cs="Arial"/>
          <w:b/>
        </w:rPr>
        <w:t xml:space="preserve"> – Clause 5</w:t>
      </w:r>
    </w:p>
    <w:p w14:paraId="64967B4A" w14:textId="7D295DCA" w:rsidR="006A2E7C" w:rsidRPr="00D837EA" w:rsidRDefault="006A2E7C" w:rsidP="003167B6">
      <w:pPr>
        <w:spacing w:before="240"/>
        <w:rPr>
          <w:rFonts w:ascii="Arial" w:hAnsi="Arial" w:cs="Arial"/>
          <w:bCs/>
        </w:rPr>
      </w:pPr>
      <w:r w:rsidRPr="00D837EA">
        <w:rPr>
          <w:rFonts w:ascii="Arial" w:hAnsi="Arial" w:cs="Arial"/>
          <w:bCs/>
        </w:rPr>
        <w:t>Th</w:t>
      </w:r>
      <w:r w:rsidR="000570A2" w:rsidRPr="00D837EA">
        <w:rPr>
          <w:rFonts w:ascii="Arial" w:hAnsi="Arial" w:cs="Arial"/>
          <w:bCs/>
        </w:rPr>
        <w:t>is</w:t>
      </w:r>
      <w:r w:rsidRPr="00D837EA">
        <w:rPr>
          <w:rFonts w:ascii="Arial" w:hAnsi="Arial" w:cs="Arial"/>
          <w:bCs/>
        </w:rPr>
        <w:t xml:space="preserve"> amendment </w:t>
      </w:r>
      <w:r w:rsidR="000570A2" w:rsidRPr="00D837EA">
        <w:rPr>
          <w:rFonts w:ascii="Arial" w:hAnsi="Arial" w:cs="Arial"/>
          <w:bCs/>
        </w:rPr>
        <w:t xml:space="preserve">omits </w:t>
      </w:r>
      <w:r w:rsidRPr="00D837EA">
        <w:rPr>
          <w:rFonts w:ascii="Arial" w:hAnsi="Arial" w:cs="Arial"/>
          <w:bCs/>
        </w:rPr>
        <w:t xml:space="preserve">Clause 5 </w:t>
      </w:r>
      <w:r w:rsidR="000570A2" w:rsidRPr="00D837EA">
        <w:rPr>
          <w:rFonts w:ascii="Arial" w:hAnsi="Arial" w:cs="Arial"/>
          <w:bCs/>
        </w:rPr>
        <w:t>and substitutes a new Clause 5.</w:t>
      </w:r>
    </w:p>
    <w:p w14:paraId="7BE837E6" w14:textId="5D143636" w:rsidR="006A2E7C" w:rsidRPr="00D837EA" w:rsidRDefault="006A2E7C" w:rsidP="003167B6">
      <w:pPr>
        <w:spacing w:before="240"/>
        <w:rPr>
          <w:rFonts w:ascii="Arial" w:hAnsi="Arial" w:cs="Arial"/>
          <w:bCs/>
        </w:rPr>
      </w:pPr>
      <w:r w:rsidRPr="00D837EA">
        <w:rPr>
          <w:rFonts w:ascii="Arial" w:hAnsi="Arial" w:cs="Arial"/>
          <w:bCs/>
        </w:rPr>
        <w:t>The new s171AA(1) establishes an offence where a person possesses not more than a small quantity of cannabis.</w:t>
      </w:r>
    </w:p>
    <w:p w14:paraId="0AF4D77B" w14:textId="6E60F5DC" w:rsidR="008A5CEE" w:rsidRPr="00D837EA" w:rsidRDefault="008A5CEE" w:rsidP="003167B6">
      <w:pPr>
        <w:spacing w:before="240"/>
        <w:rPr>
          <w:rFonts w:ascii="Arial" w:hAnsi="Arial" w:cs="Arial"/>
          <w:bCs/>
          <w:i/>
          <w:iCs/>
        </w:rPr>
      </w:pPr>
      <w:r w:rsidRPr="00D837EA">
        <w:rPr>
          <w:rFonts w:ascii="Arial" w:hAnsi="Arial" w:cs="Arial"/>
          <w:bCs/>
        </w:rPr>
        <w:t>The maximum penalty for the offence under s 171AA(1) is 1 penalty unit (reduced from 50 penalty units, 2 years imprisonment or both).</w:t>
      </w:r>
      <w:r w:rsidR="007A70EA" w:rsidRPr="00D837EA">
        <w:rPr>
          <w:rFonts w:ascii="Arial" w:hAnsi="Arial" w:cs="Arial"/>
          <w:bCs/>
        </w:rPr>
        <w:t xml:space="preserve"> This subsection does not apply where the person in possession of the small quantity of cannabis is aged 18 or over and possesses the cannabis in the ACT. This retains the changes made by the </w:t>
      </w:r>
      <w:r w:rsidR="007A70EA" w:rsidRPr="00D837EA">
        <w:rPr>
          <w:rFonts w:ascii="Arial" w:hAnsi="Arial" w:cs="Arial"/>
          <w:bCs/>
          <w:i/>
          <w:iCs/>
        </w:rPr>
        <w:t xml:space="preserve">Drugs of Dependence (Personal Cannabis Use) Amendment Act 2019 </w:t>
      </w:r>
      <w:r w:rsidR="007A70EA" w:rsidRPr="00D837EA">
        <w:rPr>
          <w:rFonts w:ascii="Arial" w:hAnsi="Arial" w:cs="Arial"/>
          <w:bCs/>
        </w:rPr>
        <w:t>to decriminalise adult possession of small amounts of cannabis</w:t>
      </w:r>
      <w:r w:rsidR="007A70EA" w:rsidRPr="00D837EA">
        <w:rPr>
          <w:rFonts w:ascii="Arial" w:hAnsi="Arial" w:cs="Arial"/>
          <w:bCs/>
          <w:i/>
          <w:iCs/>
        </w:rPr>
        <w:t>.</w:t>
      </w:r>
    </w:p>
    <w:p w14:paraId="2312C214" w14:textId="50D7DAF4" w:rsidR="006A2E7C" w:rsidRPr="00D837EA" w:rsidRDefault="008A5CEE" w:rsidP="003167B6">
      <w:pPr>
        <w:spacing w:before="240"/>
        <w:rPr>
          <w:rFonts w:ascii="Arial" w:hAnsi="Arial" w:cs="Arial"/>
          <w:bCs/>
        </w:rPr>
      </w:pPr>
      <w:r w:rsidRPr="00D837EA">
        <w:rPr>
          <w:rFonts w:ascii="Arial" w:hAnsi="Arial" w:cs="Arial"/>
          <w:bCs/>
        </w:rPr>
        <w:t xml:space="preserve">The new s171AA(2) establishes an offence where a person possesses more than a small quantity of cannabis. The maximum penalty for the offence under s171AA(2) is 50 penalty units, 6 months imprisonment or both. </w:t>
      </w:r>
    </w:p>
    <w:p w14:paraId="37F3AFF7" w14:textId="4C8956AE" w:rsidR="008A5CEE" w:rsidRPr="00D837EA" w:rsidRDefault="008A5CEE" w:rsidP="003167B6">
      <w:pPr>
        <w:spacing w:before="240"/>
        <w:rPr>
          <w:rFonts w:ascii="Arial" w:hAnsi="Arial" w:cs="Arial"/>
          <w:bCs/>
        </w:rPr>
      </w:pPr>
      <w:r w:rsidRPr="00D837EA">
        <w:rPr>
          <w:rFonts w:ascii="Arial" w:hAnsi="Arial" w:cs="Arial"/>
          <w:bCs/>
        </w:rPr>
        <w:t>These amendments align with the changes for the offences in ss169(1), 169(2), 171(1) and 171(2) above, in relation to the term ‘small quantity’, the possession amounts for these offences, and the maximum penalties for possession of amounts above the small quantity threshold.</w:t>
      </w:r>
    </w:p>
    <w:p w14:paraId="4795DBEF" w14:textId="6DC226F2" w:rsidR="009C4EEB" w:rsidRPr="00D837EA" w:rsidRDefault="008A5CEE" w:rsidP="003167B6">
      <w:pPr>
        <w:spacing w:before="240"/>
        <w:rPr>
          <w:rFonts w:ascii="Arial" w:hAnsi="Arial" w:cs="Arial"/>
          <w:b/>
        </w:rPr>
      </w:pPr>
      <w:r w:rsidRPr="00D837EA">
        <w:rPr>
          <w:rFonts w:ascii="Arial" w:hAnsi="Arial" w:cs="Arial"/>
          <w:b/>
        </w:rPr>
        <w:t xml:space="preserve">Amendment </w:t>
      </w:r>
      <w:r w:rsidR="00FF0079" w:rsidRPr="00D837EA">
        <w:rPr>
          <w:rFonts w:ascii="Arial" w:hAnsi="Arial" w:cs="Arial"/>
          <w:b/>
        </w:rPr>
        <w:t>9</w:t>
      </w:r>
      <w:r w:rsidRPr="00D837EA">
        <w:rPr>
          <w:rFonts w:ascii="Arial" w:hAnsi="Arial" w:cs="Arial"/>
          <w:b/>
        </w:rPr>
        <w:t xml:space="preserve"> – </w:t>
      </w:r>
      <w:r w:rsidR="009C4EEB" w:rsidRPr="00D837EA">
        <w:rPr>
          <w:rFonts w:ascii="Arial" w:hAnsi="Arial" w:cs="Arial"/>
          <w:b/>
        </w:rPr>
        <w:t>Clause</w:t>
      </w:r>
      <w:r w:rsidRPr="00D837EA">
        <w:rPr>
          <w:rFonts w:ascii="Arial" w:hAnsi="Arial" w:cs="Arial"/>
          <w:b/>
        </w:rPr>
        <w:t>s</w:t>
      </w:r>
      <w:r w:rsidR="009C4EEB" w:rsidRPr="00D837EA">
        <w:rPr>
          <w:rFonts w:ascii="Arial" w:hAnsi="Arial" w:cs="Arial"/>
          <w:b/>
        </w:rPr>
        <w:t xml:space="preserve"> 7</w:t>
      </w:r>
      <w:r w:rsidRPr="00D837EA">
        <w:rPr>
          <w:rFonts w:ascii="Arial" w:hAnsi="Arial" w:cs="Arial"/>
          <w:b/>
        </w:rPr>
        <w:t>-12</w:t>
      </w:r>
    </w:p>
    <w:p w14:paraId="0C71E737" w14:textId="314DE80C" w:rsidR="00E170C5" w:rsidRPr="00D837EA" w:rsidRDefault="00E170C5" w:rsidP="003167B6">
      <w:pPr>
        <w:spacing w:before="240"/>
        <w:rPr>
          <w:rFonts w:ascii="Arial" w:hAnsi="Arial" w:cs="Arial"/>
          <w:bCs/>
        </w:rPr>
      </w:pPr>
      <w:r w:rsidRPr="00D837EA">
        <w:rPr>
          <w:rFonts w:ascii="Arial" w:hAnsi="Arial" w:cs="Arial"/>
          <w:bCs/>
        </w:rPr>
        <w:t>These amendments omit clauses 7 to 12 and substitute new clause</w:t>
      </w:r>
      <w:r w:rsidR="00D54F95" w:rsidRPr="00D837EA">
        <w:rPr>
          <w:rFonts w:ascii="Arial" w:hAnsi="Arial" w:cs="Arial"/>
          <w:bCs/>
        </w:rPr>
        <w:t>s</w:t>
      </w:r>
      <w:r w:rsidRPr="00D837EA">
        <w:rPr>
          <w:rFonts w:ascii="Arial" w:hAnsi="Arial" w:cs="Arial"/>
          <w:bCs/>
        </w:rPr>
        <w:t xml:space="preserve"> 7</w:t>
      </w:r>
      <w:r w:rsidR="00D54F95" w:rsidRPr="00D837EA">
        <w:rPr>
          <w:rFonts w:ascii="Arial" w:hAnsi="Arial" w:cs="Arial"/>
          <w:bCs/>
        </w:rPr>
        <w:t xml:space="preserve"> and 8</w:t>
      </w:r>
      <w:r w:rsidRPr="00D837EA">
        <w:rPr>
          <w:rFonts w:ascii="Arial" w:hAnsi="Arial" w:cs="Arial"/>
          <w:bCs/>
        </w:rPr>
        <w:t xml:space="preserve">. </w:t>
      </w:r>
    </w:p>
    <w:p w14:paraId="2614EDC9" w14:textId="77777777" w:rsidR="0074762E" w:rsidRPr="00D837EA" w:rsidRDefault="00D54F95" w:rsidP="003167B6">
      <w:pPr>
        <w:spacing w:before="240"/>
        <w:rPr>
          <w:rFonts w:ascii="Arial" w:hAnsi="Arial" w:cs="Arial"/>
          <w:bCs/>
        </w:rPr>
      </w:pPr>
      <w:r w:rsidRPr="00D837EA">
        <w:rPr>
          <w:rFonts w:ascii="Arial" w:hAnsi="Arial" w:cs="Arial"/>
          <w:bCs/>
        </w:rPr>
        <w:t>New clause 7 inserts a new s171AAD.</w:t>
      </w:r>
      <w:r w:rsidR="00822BC2" w:rsidRPr="00D837EA">
        <w:rPr>
          <w:rFonts w:ascii="Arial" w:hAnsi="Arial" w:cs="Arial"/>
          <w:bCs/>
        </w:rPr>
        <w:t xml:space="preserve"> This establishes a new offence where a person possesses multiple small quantities of different kinds of relevant substances. </w:t>
      </w:r>
    </w:p>
    <w:p w14:paraId="1118D6F6" w14:textId="4C2C01B8" w:rsidR="003167B6" w:rsidRPr="00D837EA" w:rsidRDefault="00822BC2" w:rsidP="003167B6">
      <w:pPr>
        <w:spacing w:before="240"/>
        <w:rPr>
          <w:rFonts w:ascii="Arial" w:hAnsi="Arial" w:cs="Arial"/>
          <w:bCs/>
        </w:rPr>
      </w:pPr>
      <w:r w:rsidRPr="00D837EA">
        <w:rPr>
          <w:rFonts w:ascii="Arial" w:hAnsi="Arial" w:cs="Arial"/>
          <w:bCs/>
        </w:rPr>
        <w:t>It provides that where a person possesses 3 or more different kinds of relevant substance</w:t>
      </w:r>
      <w:r w:rsidR="0074762E" w:rsidRPr="00D837EA">
        <w:rPr>
          <w:rFonts w:ascii="Arial" w:hAnsi="Arial" w:cs="Arial"/>
          <w:bCs/>
        </w:rPr>
        <w:t>,</w:t>
      </w:r>
      <w:r w:rsidRPr="00D837EA">
        <w:rPr>
          <w:rFonts w:ascii="Arial" w:hAnsi="Arial" w:cs="Arial"/>
          <w:bCs/>
        </w:rPr>
        <w:t xml:space="preserve"> the quantity of each substance </w:t>
      </w:r>
      <w:r w:rsidR="00F6626C">
        <w:rPr>
          <w:rFonts w:ascii="Arial" w:hAnsi="Arial" w:cs="Arial"/>
          <w:bCs/>
        </w:rPr>
        <w:t xml:space="preserve">possessed </w:t>
      </w:r>
      <w:r w:rsidRPr="00D837EA">
        <w:rPr>
          <w:rFonts w:ascii="Arial" w:hAnsi="Arial" w:cs="Arial"/>
          <w:bCs/>
        </w:rPr>
        <w:t>is not more than the small quantity for the substance</w:t>
      </w:r>
      <w:r w:rsidR="0074762E" w:rsidRPr="00D837EA">
        <w:rPr>
          <w:rFonts w:ascii="Arial" w:hAnsi="Arial" w:cs="Arial"/>
          <w:bCs/>
        </w:rPr>
        <w:t>,</w:t>
      </w:r>
      <w:r w:rsidRPr="00D837EA">
        <w:rPr>
          <w:rFonts w:ascii="Arial" w:hAnsi="Arial" w:cs="Arial"/>
          <w:bCs/>
        </w:rPr>
        <w:t xml:space="preserve"> and the total of the small quantity fractions for each substance is more than 2, </w:t>
      </w:r>
      <w:r w:rsidR="00BB3FA9" w:rsidRPr="00D837EA">
        <w:rPr>
          <w:rFonts w:ascii="Arial" w:hAnsi="Arial" w:cs="Arial"/>
          <w:bCs/>
        </w:rPr>
        <w:t>they would be eligible for a</w:t>
      </w:r>
      <w:r w:rsidRPr="00D837EA">
        <w:rPr>
          <w:rFonts w:ascii="Arial" w:hAnsi="Arial" w:cs="Arial"/>
          <w:bCs/>
        </w:rPr>
        <w:t xml:space="preserve"> maximum penalty of 50</w:t>
      </w:r>
      <w:r w:rsidR="00F6626C">
        <w:rPr>
          <w:rFonts w:ascii="Arial" w:hAnsi="Arial" w:cs="Arial"/>
          <w:bCs/>
        </w:rPr>
        <w:t> </w:t>
      </w:r>
      <w:r w:rsidRPr="00D837EA">
        <w:rPr>
          <w:rFonts w:ascii="Arial" w:hAnsi="Arial" w:cs="Arial"/>
          <w:bCs/>
        </w:rPr>
        <w:t>penalty units and/or 6 months</w:t>
      </w:r>
      <w:r w:rsidR="00C336B4" w:rsidRPr="00D837EA">
        <w:rPr>
          <w:rFonts w:ascii="Arial" w:hAnsi="Arial" w:cs="Arial"/>
          <w:bCs/>
        </w:rPr>
        <w:t>’ imprisonment</w:t>
      </w:r>
      <w:r w:rsidR="00BB3FA9" w:rsidRPr="00D837EA">
        <w:rPr>
          <w:rFonts w:ascii="Arial" w:hAnsi="Arial" w:cs="Arial"/>
          <w:bCs/>
        </w:rPr>
        <w:t>, rather than for multiple SDONs</w:t>
      </w:r>
      <w:r w:rsidR="00C336B4" w:rsidRPr="00D837EA">
        <w:rPr>
          <w:rFonts w:ascii="Arial" w:hAnsi="Arial" w:cs="Arial"/>
          <w:bCs/>
        </w:rPr>
        <w:t xml:space="preserve">. </w:t>
      </w:r>
    </w:p>
    <w:p w14:paraId="19F6BE9D" w14:textId="06136EA0" w:rsidR="0074762E" w:rsidRDefault="0074762E" w:rsidP="003167B6">
      <w:pPr>
        <w:spacing w:before="240"/>
        <w:rPr>
          <w:rFonts w:ascii="Arial" w:hAnsi="Arial" w:cs="Arial"/>
          <w:bCs/>
        </w:rPr>
      </w:pPr>
      <w:r w:rsidRPr="00D837EA">
        <w:rPr>
          <w:rFonts w:ascii="Arial" w:hAnsi="Arial" w:cs="Arial"/>
          <w:bCs/>
        </w:rPr>
        <w:t xml:space="preserve">The small quantity fraction is </w:t>
      </w:r>
      <w:r w:rsidR="00BB3FA9" w:rsidRPr="00D837EA">
        <w:rPr>
          <w:rFonts w:ascii="Arial" w:hAnsi="Arial" w:cs="Arial"/>
          <w:bCs/>
        </w:rPr>
        <w:t>equal to</w:t>
      </w:r>
      <w:r w:rsidRPr="00D837EA">
        <w:rPr>
          <w:rFonts w:ascii="Arial" w:hAnsi="Arial" w:cs="Arial"/>
          <w:bCs/>
        </w:rPr>
        <w:t xml:space="preserve"> the actual quantity of the </w:t>
      </w:r>
      <w:r w:rsidR="00F6626C">
        <w:rPr>
          <w:rFonts w:ascii="Arial" w:hAnsi="Arial" w:cs="Arial"/>
          <w:bCs/>
        </w:rPr>
        <w:t>relevant substance</w:t>
      </w:r>
      <w:r w:rsidR="00F6626C" w:rsidRPr="00D837EA">
        <w:rPr>
          <w:rFonts w:ascii="Arial" w:hAnsi="Arial" w:cs="Arial"/>
          <w:bCs/>
        </w:rPr>
        <w:t xml:space="preserve"> </w:t>
      </w:r>
      <w:r w:rsidRPr="00D837EA">
        <w:rPr>
          <w:rFonts w:ascii="Arial" w:hAnsi="Arial" w:cs="Arial"/>
          <w:bCs/>
        </w:rPr>
        <w:t>the person possesses</w:t>
      </w:r>
      <w:r w:rsidR="00CA292A">
        <w:rPr>
          <w:rFonts w:ascii="Arial" w:hAnsi="Arial" w:cs="Arial"/>
          <w:bCs/>
        </w:rPr>
        <w:t xml:space="preserve"> at the time of police apprehension,</w:t>
      </w:r>
      <w:r w:rsidRPr="00D837EA">
        <w:rPr>
          <w:rFonts w:ascii="Arial" w:hAnsi="Arial" w:cs="Arial"/>
          <w:bCs/>
        </w:rPr>
        <w:t xml:space="preserve"> </w:t>
      </w:r>
      <w:r w:rsidR="00BB3FA9" w:rsidRPr="00D837EA">
        <w:rPr>
          <w:rFonts w:ascii="Arial" w:hAnsi="Arial" w:cs="Arial"/>
          <w:bCs/>
        </w:rPr>
        <w:t xml:space="preserve">divided </w:t>
      </w:r>
      <w:r w:rsidRPr="00D837EA">
        <w:rPr>
          <w:rFonts w:ascii="Arial" w:hAnsi="Arial" w:cs="Arial"/>
          <w:bCs/>
        </w:rPr>
        <w:t xml:space="preserve">by the small quantity </w:t>
      </w:r>
      <w:r w:rsidR="00BB3FA9" w:rsidRPr="00D837EA">
        <w:rPr>
          <w:rFonts w:ascii="Arial" w:hAnsi="Arial" w:cs="Arial"/>
          <w:bCs/>
        </w:rPr>
        <w:t>amount</w:t>
      </w:r>
      <w:r w:rsidRPr="00D837EA">
        <w:rPr>
          <w:rFonts w:ascii="Arial" w:hAnsi="Arial" w:cs="Arial"/>
          <w:bCs/>
        </w:rPr>
        <w:t xml:space="preserve"> for </w:t>
      </w:r>
      <w:r w:rsidR="00BB3FA9" w:rsidRPr="00D837EA">
        <w:rPr>
          <w:rFonts w:ascii="Arial" w:hAnsi="Arial" w:cs="Arial"/>
          <w:bCs/>
        </w:rPr>
        <w:t>that</w:t>
      </w:r>
      <w:r w:rsidRPr="00D837EA">
        <w:rPr>
          <w:rFonts w:ascii="Arial" w:hAnsi="Arial" w:cs="Arial"/>
          <w:bCs/>
        </w:rPr>
        <w:t xml:space="preserve"> </w:t>
      </w:r>
      <w:r w:rsidR="00F6626C">
        <w:rPr>
          <w:rFonts w:ascii="Arial" w:hAnsi="Arial" w:cs="Arial"/>
          <w:bCs/>
        </w:rPr>
        <w:t>substance</w:t>
      </w:r>
      <w:r w:rsidRPr="00D837EA">
        <w:rPr>
          <w:rFonts w:ascii="Arial" w:hAnsi="Arial" w:cs="Arial"/>
          <w:bCs/>
        </w:rPr>
        <w:t>.</w:t>
      </w:r>
    </w:p>
    <w:p w14:paraId="10B2C691" w14:textId="5E0D37E9" w:rsidR="00CA292A" w:rsidRPr="00CA292A" w:rsidRDefault="00CA292A" w:rsidP="00CA292A">
      <w:pPr>
        <w:spacing w:before="240"/>
        <w:rPr>
          <w:rFonts w:ascii="Arial" w:hAnsi="Arial" w:cs="Arial"/>
          <w:bCs/>
        </w:rPr>
      </w:pPr>
      <w:r>
        <w:rPr>
          <w:rFonts w:ascii="Arial" w:hAnsi="Arial" w:cs="Arial"/>
          <w:bCs/>
        </w:rPr>
        <w:t>For example, this provision would apply where</w:t>
      </w:r>
      <w:r w:rsidRPr="00CA292A">
        <w:rPr>
          <w:rFonts w:ascii="Arial" w:hAnsi="Arial" w:cs="Arial"/>
          <w:bCs/>
        </w:rPr>
        <w:t xml:space="preserve"> a person was carrying an amount equal to 80 per cent of the small quantity threshold for drug A, an amount equal to 70</w:t>
      </w:r>
      <w:r w:rsidR="00F6626C">
        <w:rPr>
          <w:rFonts w:ascii="Arial" w:hAnsi="Arial" w:cs="Arial"/>
          <w:bCs/>
        </w:rPr>
        <w:t> </w:t>
      </w:r>
      <w:r w:rsidRPr="00CA292A">
        <w:rPr>
          <w:rFonts w:ascii="Arial" w:hAnsi="Arial" w:cs="Arial"/>
          <w:bCs/>
        </w:rPr>
        <w:t>per cent of the small quantity threshold for drug B, and an amount equal to 60</w:t>
      </w:r>
      <w:r w:rsidR="00F6626C">
        <w:rPr>
          <w:rFonts w:ascii="Arial" w:hAnsi="Arial" w:cs="Arial"/>
          <w:bCs/>
        </w:rPr>
        <w:t> </w:t>
      </w:r>
      <w:r w:rsidRPr="00CA292A">
        <w:rPr>
          <w:rFonts w:ascii="Arial" w:hAnsi="Arial" w:cs="Arial"/>
          <w:bCs/>
        </w:rPr>
        <w:t>per</w:t>
      </w:r>
      <w:r w:rsidR="00F6626C">
        <w:rPr>
          <w:rFonts w:ascii="Arial" w:hAnsi="Arial" w:cs="Arial"/>
          <w:bCs/>
        </w:rPr>
        <w:t> </w:t>
      </w:r>
      <w:r w:rsidRPr="00CA292A">
        <w:rPr>
          <w:rFonts w:ascii="Arial" w:hAnsi="Arial" w:cs="Arial"/>
          <w:bCs/>
        </w:rPr>
        <w:t>cent of the small quantity threshold for drug C</w:t>
      </w:r>
      <w:r>
        <w:rPr>
          <w:rFonts w:ascii="Arial" w:hAnsi="Arial" w:cs="Arial"/>
          <w:bCs/>
        </w:rPr>
        <w:t xml:space="preserve">. </w:t>
      </w:r>
      <w:r w:rsidRPr="00CA292A">
        <w:rPr>
          <w:rFonts w:ascii="Arial" w:hAnsi="Arial" w:cs="Arial"/>
          <w:bCs/>
        </w:rPr>
        <w:t xml:space="preserve">This is because those </w:t>
      </w:r>
      <w:r>
        <w:rPr>
          <w:rFonts w:ascii="Arial" w:hAnsi="Arial" w:cs="Arial"/>
          <w:bCs/>
        </w:rPr>
        <w:t>3</w:t>
      </w:r>
      <w:r w:rsidRPr="00CA292A">
        <w:rPr>
          <w:rFonts w:ascii="Arial" w:hAnsi="Arial" w:cs="Arial"/>
          <w:bCs/>
        </w:rPr>
        <w:t xml:space="preserve"> percentages add up to more than </w:t>
      </w:r>
      <w:r>
        <w:rPr>
          <w:rFonts w:ascii="Arial" w:hAnsi="Arial" w:cs="Arial"/>
          <w:bCs/>
        </w:rPr>
        <w:t>2</w:t>
      </w:r>
      <w:r w:rsidRPr="00CA292A">
        <w:rPr>
          <w:rFonts w:ascii="Arial" w:hAnsi="Arial" w:cs="Arial"/>
          <w:bCs/>
        </w:rPr>
        <w:t xml:space="preserve">. </w:t>
      </w:r>
    </w:p>
    <w:p w14:paraId="22FBFB18" w14:textId="76D5BAE9" w:rsidR="00CA292A" w:rsidRDefault="00CA292A" w:rsidP="00CA292A">
      <w:pPr>
        <w:spacing w:before="240"/>
        <w:rPr>
          <w:rFonts w:ascii="Arial" w:hAnsi="Arial" w:cs="Arial"/>
          <w:bCs/>
        </w:rPr>
      </w:pPr>
      <w:r w:rsidRPr="00CA292A">
        <w:rPr>
          <w:rFonts w:ascii="Arial" w:hAnsi="Arial" w:cs="Arial"/>
          <w:bCs/>
        </w:rPr>
        <w:t xml:space="preserve">That is: </w:t>
      </w:r>
      <w:r>
        <w:rPr>
          <w:rFonts w:ascii="Arial" w:hAnsi="Arial" w:cs="Arial"/>
          <w:bCs/>
        </w:rPr>
        <w:t xml:space="preserve">70/100 + 80/100 + 60/100 </w:t>
      </w:r>
      <w:r w:rsidRPr="00CA292A">
        <w:rPr>
          <w:rFonts w:ascii="Arial" w:hAnsi="Arial" w:cs="Arial"/>
          <w:bCs/>
        </w:rPr>
        <w:t xml:space="preserve">= 210/100 </w:t>
      </w:r>
      <w:r>
        <w:rPr>
          <w:rFonts w:ascii="Arial" w:hAnsi="Arial" w:cs="Arial"/>
          <w:bCs/>
        </w:rPr>
        <w:t xml:space="preserve">= </w:t>
      </w:r>
      <w:r w:rsidRPr="00CA292A">
        <w:rPr>
          <w:rFonts w:ascii="Arial" w:hAnsi="Arial" w:cs="Arial"/>
          <w:bCs/>
        </w:rPr>
        <w:t>210% = 2.1</w:t>
      </w:r>
      <w:r w:rsidR="00F6626C">
        <w:rPr>
          <w:rFonts w:ascii="Arial" w:hAnsi="Arial" w:cs="Arial"/>
          <w:bCs/>
        </w:rPr>
        <w:t>.</w:t>
      </w:r>
    </w:p>
    <w:p w14:paraId="1052515A" w14:textId="68D6B7D1" w:rsidR="00522CE5" w:rsidRPr="00D837EA" w:rsidRDefault="00522CE5" w:rsidP="003167B6">
      <w:pPr>
        <w:spacing w:before="240"/>
        <w:rPr>
          <w:rFonts w:ascii="Arial" w:hAnsi="Arial" w:cs="Arial"/>
          <w:bCs/>
          <w:i/>
          <w:iCs/>
        </w:rPr>
      </w:pPr>
      <w:r w:rsidRPr="00D837EA">
        <w:rPr>
          <w:rFonts w:ascii="Arial" w:hAnsi="Arial" w:cs="Arial"/>
          <w:bCs/>
        </w:rPr>
        <w:lastRenderedPageBreak/>
        <w:t>This amendment reflects that where a person is carrying small quantities of more than two drugs, a SDON is a less appropriate response</w:t>
      </w:r>
      <w:r w:rsidR="00B14129" w:rsidRPr="00D837EA">
        <w:rPr>
          <w:rFonts w:ascii="Arial" w:hAnsi="Arial" w:cs="Arial"/>
          <w:bCs/>
        </w:rPr>
        <w:t xml:space="preserve"> than routine possession penalties</w:t>
      </w:r>
      <w:r w:rsidRPr="00D837EA">
        <w:rPr>
          <w:rFonts w:ascii="Arial" w:hAnsi="Arial" w:cs="Arial"/>
          <w:bCs/>
        </w:rPr>
        <w:t xml:space="preserve">. </w:t>
      </w:r>
      <w:r w:rsidR="00BB3FA9" w:rsidRPr="00D837EA">
        <w:rPr>
          <w:rFonts w:ascii="Arial" w:hAnsi="Arial" w:cs="Arial"/>
          <w:bCs/>
        </w:rPr>
        <w:t xml:space="preserve">It also increases consistency with the </w:t>
      </w:r>
      <w:r w:rsidR="00BB3FA9" w:rsidRPr="00D837EA">
        <w:rPr>
          <w:rFonts w:ascii="Arial" w:hAnsi="Arial" w:cs="Arial"/>
          <w:bCs/>
          <w:i/>
          <w:iCs/>
        </w:rPr>
        <w:t>Criminal Code 2002</w:t>
      </w:r>
      <w:r w:rsidR="00D2692C" w:rsidRPr="00D837EA">
        <w:rPr>
          <w:rFonts w:ascii="Arial" w:hAnsi="Arial" w:cs="Arial"/>
          <w:bCs/>
        </w:rPr>
        <w:t>, chapter 6 (serious drug offences), particularly s</w:t>
      </w:r>
      <w:r w:rsidR="00F6626C">
        <w:rPr>
          <w:rFonts w:ascii="Arial" w:hAnsi="Arial" w:cs="Arial"/>
          <w:bCs/>
        </w:rPr>
        <w:t xml:space="preserve">ection </w:t>
      </w:r>
      <w:r w:rsidR="00D2692C" w:rsidRPr="00D837EA">
        <w:rPr>
          <w:rFonts w:ascii="Arial" w:hAnsi="Arial" w:cs="Arial"/>
          <w:bCs/>
        </w:rPr>
        <w:t>631</w:t>
      </w:r>
      <w:r w:rsidR="00BB3FA9" w:rsidRPr="00D837EA">
        <w:rPr>
          <w:rFonts w:ascii="Arial" w:hAnsi="Arial" w:cs="Arial"/>
          <w:bCs/>
          <w:i/>
          <w:iCs/>
        </w:rPr>
        <w:t>.</w:t>
      </w:r>
    </w:p>
    <w:p w14:paraId="5892C434" w14:textId="46F504A5" w:rsidR="00D2692C" w:rsidRPr="00D837EA" w:rsidRDefault="00D2692C" w:rsidP="003167B6">
      <w:pPr>
        <w:spacing w:before="240"/>
        <w:rPr>
          <w:rFonts w:ascii="Arial" w:hAnsi="Arial" w:cs="Arial"/>
          <w:bCs/>
        </w:rPr>
      </w:pPr>
      <w:r w:rsidRPr="00D837EA">
        <w:rPr>
          <w:rFonts w:ascii="Arial" w:hAnsi="Arial" w:cs="Arial"/>
          <w:bCs/>
        </w:rPr>
        <w:t xml:space="preserve">It is noted that other offences under the </w:t>
      </w:r>
      <w:r w:rsidRPr="00D837EA">
        <w:rPr>
          <w:rFonts w:ascii="Arial" w:hAnsi="Arial" w:cs="Arial"/>
          <w:bCs/>
          <w:i/>
          <w:iCs/>
        </w:rPr>
        <w:t>Criminal Code 2002</w:t>
      </w:r>
      <w:r w:rsidRPr="00D837EA">
        <w:rPr>
          <w:rFonts w:ascii="Arial" w:hAnsi="Arial" w:cs="Arial"/>
          <w:bCs/>
        </w:rPr>
        <w:t>, chapter 6 (Serious drug offences) may apply in relation to a person in possession of 2 or more kinds of controlled drugs, controlled precursors and controlled plants.</w:t>
      </w:r>
    </w:p>
    <w:p w14:paraId="22A1C202" w14:textId="461A37A6" w:rsidR="00A11412" w:rsidRPr="00D837EA" w:rsidRDefault="00A11412" w:rsidP="003167B6">
      <w:pPr>
        <w:spacing w:before="240"/>
        <w:rPr>
          <w:rFonts w:ascii="Arial" w:hAnsi="Arial" w:cs="Arial"/>
          <w:bCs/>
        </w:rPr>
      </w:pPr>
      <w:r w:rsidRPr="00D837EA">
        <w:rPr>
          <w:rFonts w:ascii="Arial" w:hAnsi="Arial" w:cs="Arial"/>
          <w:bCs/>
        </w:rPr>
        <w:t>For persons aged under 18, this provision applies to small quantities of cannabis, as well as drugs of dependence and prohibited substances for which a small quantity is prescribed in the DoD Regulation</w:t>
      </w:r>
      <w:r w:rsidRPr="00D837EA">
        <w:rPr>
          <w:rFonts w:ascii="Arial" w:hAnsi="Arial" w:cs="Arial"/>
          <w:bCs/>
          <w:i/>
          <w:iCs/>
        </w:rPr>
        <w:t xml:space="preserve">. </w:t>
      </w:r>
      <w:r w:rsidRPr="00D837EA">
        <w:rPr>
          <w:rFonts w:ascii="Arial" w:hAnsi="Arial" w:cs="Arial"/>
          <w:bCs/>
        </w:rPr>
        <w:t>For those aged 18 and over, this provision applies only to drugs of dependence and prohibited substances for which a small quantity is prescribed in the DoD Regulation</w:t>
      </w:r>
      <w:r w:rsidRPr="00D837EA">
        <w:rPr>
          <w:rFonts w:ascii="Arial" w:hAnsi="Arial" w:cs="Arial"/>
          <w:bCs/>
          <w:i/>
          <w:iCs/>
        </w:rPr>
        <w:t xml:space="preserve">. </w:t>
      </w:r>
      <w:r w:rsidRPr="00D837EA">
        <w:rPr>
          <w:rFonts w:ascii="Arial" w:hAnsi="Arial" w:cs="Arial"/>
          <w:bCs/>
        </w:rPr>
        <w:t xml:space="preserve">Small quantities of cannabis are not included in the </w:t>
      </w:r>
      <w:r w:rsidR="00F6626C">
        <w:rPr>
          <w:rFonts w:ascii="Arial" w:hAnsi="Arial" w:cs="Arial"/>
          <w:bCs/>
        </w:rPr>
        <w:t xml:space="preserve">total of the </w:t>
      </w:r>
      <w:r w:rsidRPr="00D837EA">
        <w:rPr>
          <w:rFonts w:ascii="Arial" w:hAnsi="Arial" w:cs="Arial"/>
          <w:bCs/>
        </w:rPr>
        <w:t>small quantity fraction</w:t>
      </w:r>
      <w:r w:rsidR="00F6626C">
        <w:rPr>
          <w:rFonts w:ascii="Arial" w:hAnsi="Arial" w:cs="Arial"/>
          <w:bCs/>
        </w:rPr>
        <w:t>s</w:t>
      </w:r>
      <w:r w:rsidRPr="00D837EA">
        <w:rPr>
          <w:rFonts w:ascii="Arial" w:hAnsi="Arial" w:cs="Arial"/>
          <w:bCs/>
        </w:rPr>
        <w:t xml:space="preserve"> for</w:t>
      </w:r>
      <w:r w:rsidR="0006505B" w:rsidRPr="00D837EA">
        <w:rPr>
          <w:rFonts w:ascii="Arial" w:hAnsi="Arial" w:cs="Arial"/>
          <w:bCs/>
        </w:rPr>
        <w:t xml:space="preserve"> persons</w:t>
      </w:r>
      <w:r w:rsidRPr="00D837EA">
        <w:rPr>
          <w:rFonts w:ascii="Arial" w:hAnsi="Arial" w:cs="Arial"/>
          <w:bCs/>
        </w:rPr>
        <w:t xml:space="preserve"> aged 18 and over, </w:t>
      </w:r>
      <w:r w:rsidR="0006505B" w:rsidRPr="00D837EA">
        <w:rPr>
          <w:rFonts w:ascii="Arial" w:hAnsi="Arial" w:cs="Arial"/>
          <w:bCs/>
        </w:rPr>
        <w:t>given criminal penalties do not apply to persons aged 18 and over for possession in the ACT of small quantities of cannabis</w:t>
      </w:r>
      <w:r w:rsidRPr="00D837EA">
        <w:rPr>
          <w:rFonts w:ascii="Arial" w:hAnsi="Arial" w:cs="Arial"/>
          <w:bCs/>
        </w:rPr>
        <w:t xml:space="preserve"> </w:t>
      </w:r>
      <w:r w:rsidR="0006505B" w:rsidRPr="00D837EA">
        <w:rPr>
          <w:rFonts w:ascii="Arial" w:hAnsi="Arial" w:cs="Arial"/>
          <w:bCs/>
        </w:rPr>
        <w:t xml:space="preserve">(per </w:t>
      </w:r>
      <w:r w:rsidRPr="00D837EA">
        <w:rPr>
          <w:rFonts w:ascii="Arial" w:hAnsi="Arial" w:cs="Arial"/>
          <w:bCs/>
        </w:rPr>
        <w:t>s171AA(3)</w:t>
      </w:r>
      <w:r w:rsidR="0006505B" w:rsidRPr="00D837EA">
        <w:rPr>
          <w:rFonts w:ascii="Arial" w:hAnsi="Arial" w:cs="Arial"/>
          <w:bCs/>
        </w:rPr>
        <w:t xml:space="preserve"> of the DoD Act)</w:t>
      </w:r>
      <w:r w:rsidRPr="00D837EA">
        <w:rPr>
          <w:rFonts w:ascii="Arial" w:hAnsi="Arial" w:cs="Arial"/>
          <w:bCs/>
        </w:rPr>
        <w:t xml:space="preserve">. </w:t>
      </w:r>
    </w:p>
    <w:p w14:paraId="02991C30" w14:textId="4C693B08" w:rsidR="00556FD0" w:rsidRPr="00D837EA" w:rsidRDefault="00D54F95" w:rsidP="003167B6">
      <w:pPr>
        <w:spacing w:before="240"/>
        <w:rPr>
          <w:rFonts w:ascii="Arial" w:hAnsi="Arial" w:cs="Arial"/>
          <w:bCs/>
        </w:rPr>
      </w:pPr>
      <w:r w:rsidRPr="00D837EA">
        <w:rPr>
          <w:rFonts w:ascii="Arial" w:hAnsi="Arial" w:cs="Arial"/>
          <w:bCs/>
        </w:rPr>
        <w:t>In new clause 8, t</w:t>
      </w:r>
      <w:r w:rsidR="00556FD0" w:rsidRPr="00D837EA">
        <w:rPr>
          <w:rFonts w:ascii="Arial" w:hAnsi="Arial" w:cs="Arial"/>
          <w:bCs/>
        </w:rPr>
        <w:t>he existing s171A is substituted with a new s171A.</w:t>
      </w:r>
      <w:r w:rsidR="009F5DE3" w:rsidRPr="00D837EA">
        <w:rPr>
          <w:rFonts w:ascii="Arial" w:hAnsi="Arial" w:cs="Arial"/>
          <w:bCs/>
        </w:rPr>
        <w:t xml:space="preserve"> </w:t>
      </w:r>
      <w:r w:rsidR="00556FD0" w:rsidRPr="00D837EA">
        <w:rPr>
          <w:rFonts w:ascii="Arial" w:hAnsi="Arial" w:cs="Arial"/>
          <w:bCs/>
        </w:rPr>
        <w:t xml:space="preserve">The Private Member’s Bill </w:t>
      </w:r>
      <w:r w:rsidR="009F5DE3" w:rsidRPr="00D837EA">
        <w:rPr>
          <w:rFonts w:ascii="Arial" w:hAnsi="Arial" w:cs="Arial"/>
          <w:bCs/>
        </w:rPr>
        <w:t>change</w:t>
      </w:r>
      <w:r w:rsidR="00556FD0" w:rsidRPr="00D837EA">
        <w:rPr>
          <w:rFonts w:ascii="Arial" w:hAnsi="Arial" w:cs="Arial"/>
          <w:bCs/>
        </w:rPr>
        <w:t>d</w:t>
      </w:r>
      <w:r w:rsidR="009F5DE3" w:rsidRPr="00D837EA">
        <w:rPr>
          <w:rFonts w:ascii="Arial" w:hAnsi="Arial" w:cs="Arial"/>
          <w:bCs/>
        </w:rPr>
        <w:t xml:space="preserve"> the existing simple cannabis offence notice to a new simple drug offence notice</w:t>
      </w:r>
      <w:r w:rsidR="00556FD0" w:rsidRPr="00D837EA">
        <w:rPr>
          <w:rFonts w:ascii="Arial" w:hAnsi="Arial" w:cs="Arial"/>
          <w:bCs/>
        </w:rPr>
        <w:t xml:space="preserve">, to apply to a broader range of drugs. The amendments preserve this change and </w:t>
      </w:r>
      <w:r w:rsidR="009F5DE3" w:rsidRPr="00D837EA">
        <w:rPr>
          <w:rFonts w:ascii="Arial" w:hAnsi="Arial" w:cs="Arial"/>
          <w:bCs/>
        </w:rPr>
        <w:t xml:space="preserve">update terminology in </w:t>
      </w:r>
      <w:r w:rsidR="00556FD0" w:rsidRPr="00D837EA">
        <w:rPr>
          <w:rFonts w:ascii="Arial" w:hAnsi="Arial" w:cs="Arial"/>
          <w:bCs/>
        </w:rPr>
        <w:t xml:space="preserve">relation to parental responsibility in </w:t>
      </w:r>
      <w:r w:rsidR="009F5DE3" w:rsidRPr="00D837EA">
        <w:rPr>
          <w:rFonts w:ascii="Arial" w:hAnsi="Arial" w:cs="Arial"/>
          <w:bCs/>
        </w:rPr>
        <w:t>s171A(2)</w:t>
      </w:r>
      <w:r w:rsidR="00CB471B" w:rsidRPr="00D837EA">
        <w:rPr>
          <w:rFonts w:ascii="Arial" w:hAnsi="Arial" w:cs="Arial"/>
          <w:bCs/>
        </w:rPr>
        <w:t xml:space="preserve"> in line with other legislation</w:t>
      </w:r>
      <w:r w:rsidR="0080090B" w:rsidRPr="00D837EA">
        <w:rPr>
          <w:rFonts w:ascii="Arial" w:hAnsi="Arial" w:cs="Arial"/>
          <w:bCs/>
        </w:rPr>
        <w:t xml:space="preserve">, including the </w:t>
      </w:r>
      <w:r w:rsidR="0080090B" w:rsidRPr="00D837EA">
        <w:rPr>
          <w:rFonts w:ascii="Arial" w:hAnsi="Arial" w:cs="Arial"/>
          <w:bCs/>
          <w:i/>
          <w:iCs/>
        </w:rPr>
        <w:t>Children and Young People Act 2008</w:t>
      </w:r>
      <w:r w:rsidR="009F5DE3" w:rsidRPr="00D837EA">
        <w:rPr>
          <w:rFonts w:ascii="Arial" w:hAnsi="Arial" w:cs="Arial"/>
          <w:bCs/>
        </w:rPr>
        <w:t xml:space="preserve">. </w:t>
      </w:r>
    </w:p>
    <w:p w14:paraId="16D10208" w14:textId="77777777" w:rsidR="007A70EA" w:rsidRPr="00D837EA" w:rsidRDefault="007A70EA" w:rsidP="003167B6">
      <w:pPr>
        <w:spacing w:before="240"/>
        <w:rPr>
          <w:rFonts w:ascii="Arial" w:hAnsi="Arial" w:cs="Arial"/>
          <w:bCs/>
        </w:rPr>
      </w:pPr>
      <w:r w:rsidRPr="00D837EA">
        <w:rPr>
          <w:rFonts w:ascii="Arial" w:hAnsi="Arial" w:cs="Arial"/>
          <w:bCs/>
        </w:rPr>
        <w:t>The new s171A provides that a police officer may serve an offence notice on a person where they believe on reasonable grounds that a person has committed a simple drug offence. Police will retain the ability to divert directly to the illicit drug diversion program or to prosecute for the alleged simple drug offence instead of issuing an offence notice.</w:t>
      </w:r>
    </w:p>
    <w:p w14:paraId="52C80488" w14:textId="51EEE322" w:rsidR="009F5DE3" w:rsidRPr="00D837EA" w:rsidRDefault="007A70EA" w:rsidP="003167B6">
      <w:pPr>
        <w:spacing w:before="240"/>
        <w:rPr>
          <w:rFonts w:ascii="Arial" w:hAnsi="Arial" w:cs="Arial"/>
          <w:bCs/>
        </w:rPr>
      </w:pPr>
      <w:r w:rsidRPr="00D837EA">
        <w:rPr>
          <w:rFonts w:ascii="Arial" w:hAnsi="Arial" w:cs="Arial"/>
          <w:bCs/>
        </w:rPr>
        <w:t>The new s171A also</w:t>
      </w:r>
      <w:r w:rsidR="00D9652C" w:rsidRPr="00D837EA">
        <w:rPr>
          <w:rFonts w:ascii="Arial" w:hAnsi="Arial" w:cs="Arial"/>
          <w:bCs/>
        </w:rPr>
        <w:t xml:space="preserve"> sets out the</w:t>
      </w:r>
      <w:r w:rsidR="009F5DE3" w:rsidRPr="00D837EA">
        <w:rPr>
          <w:rFonts w:ascii="Arial" w:hAnsi="Arial" w:cs="Arial"/>
          <w:bCs/>
        </w:rPr>
        <w:t xml:space="preserve"> information </w:t>
      </w:r>
      <w:r w:rsidR="00D9652C" w:rsidRPr="00D837EA">
        <w:rPr>
          <w:rFonts w:ascii="Arial" w:hAnsi="Arial" w:cs="Arial"/>
          <w:bCs/>
        </w:rPr>
        <w:t xml:space="preserve">that </w:t>
      </w:r>
      <w:r w:rsidR="00556FD0" w:rsidRPr="00D837EA">
        <w:rPr>
          <w:rFonts w:ascii="Arial" w:hAnsi="Arial" w:cs="Arial"/>
          <w:bCs/>
        </w:rPr>
        <w:t xml:space="preserve">an offence notice must </w:t>
      </w:r>
      <w:r w:rsidR="00D9652C" w:rsidRPr="00D837EA">
        <w:rPr>
          <w:rFonts w:ascii="Arial" w:hAnsi="Arial" w:cs="Arial"/>
          <w:bCs/>
        </w:rPr>
        <w:t>include</w:t>
      </w:r>
      <w:r w:rsidR="0097570E" w:rsidRPr="00D837EA">
        <w:rPr>
          <w:rFonts w:ascii="Arial" w:hAnsi="Arial" w:cs="Arial"/>
          <w:bCs/>
        </w:rPr>
        <w:t>, including the nature of the alleged simple drug offence, the date, time and place of the alleged offence, details for payment of the prescribed penalty and attendance at a drug diversion program</w:t>
      </w:r>
      <w:r w:rsidR="00556FD0" w:rsidRPr="00D837EA">
        <w:rPr>
          <w:rFonts w:ascii="Arial" w:hAnsi="Arial" w:cs="Arial"/>
          <w:bCs/>
        </w:rPr>
        <w:t xml:space="preserve">. </w:t>
      </w:r>
      <w:r w:rsidR="00CB471B" w:rsidRPr="00D837EA">
        <w:rPr>
          <w:rFonts w:ascii="Arial" w:hAnsi="Arial" w:cs="Arial"/>
          <w:bCs/>
        </w:rPr>
        <w:t xml:space="preserve">It stipulates that completion of the </w:t>
      </w:r>
      <w:r w:rsidR="00A4350B" w:rsidRPr="00D837EA">
        <w:rPr>
          <w:rFonts w:ascii="Arial" w:hAnsi="Arial" w:cs="Arial"/>
          <w:bCs/>
        </w:rPr>
        <w:t xml:space="preserve">requirements of the </w:t>
      </w:r>
      <w:r w:rsidR="00CB471B" w:rsidRPr="00D837EA">
        <w:rPr>
          <w:rFonts w:ascii="Arial" w:hAnsi="Arial" w:cs="Arial"/>
          <w:bCs/>
        </w:rPr>
        <w:t xml:space="preserve">drug diversion program or payment of the </w:t>
      </w:r>
      <w:r w:rsidR="0097570E" w:rsidRPr="00D837EA">
        <w:rPr>
          <w:rFonts w:ascii="Arial" w:hAnsi="Arial" w:cs="Arial"/>
          <w:bCs/>
        </w:rPr>
        <w:t>prescribed penalty</w:t>
      </w:r>
      <w:r w:rsidR="00CB471B" w:rsidRPr="00D837EA">
        <w:rPr>
          <w:rFonts w:ascii="Arial" w:hAnsi="Arial" w:cs="Arial"/>
          <w:bCs/>
        </w:rPr>
        <w:t xml:space="preserve"> </w:t>
      </w:r>
      <w:r w:rsidR="0097570E" w:rsidRPr="00D837EA">
        <w:rPr>
          <w:rFonts w:ascii="Arial" w:hAnsi="Arial" w:cs="Arial"/>
          <w:bCs/>
        </w:rPr>
        <w:t xml:space="preserve">within 60 days after the date of service of the offence notice </w:t>
      </w:r>
      <w:r w:rsidR="00CB471B" w:rsidRPr="00D837EA">
        <w:rPr>
          <w:rFonts w:ascii="Arial" w:hAnsi="Arial" w:cs="Arial"/>
          <w:bCs/>
        </w:rPr>
        <w:t xml:space="preserve">means the liability of the person for the </w:t>
      </w:r>
      <w:r w:rsidR="000570A2" w:rsidRPr="00D837EA">
        <w:rPr>
          <w:rFonts w:ascii="Arial" w:hAnsi="Arial" w:cs="Arial"/>
          <w:bCs/>
        </w:rPr>
        <w:t xml:space="preserve">alleged </w:t>
      </w:r>
      <w:r w:rsidR="00CB471B" w:rsidRPr="00D837EA">
        <w:rPr>
          <w:rFonts w:ascii="Arial" w:hAnsi="Arial" w:cs="Arial"/>
          <w:bCs/>
        </w:rPr>
        <w:t>simple drug offence is discharged, no further proceedings may be brought, and the person is not taken to have been convicted for the offence.</w:t>
      </w:r>
    </w:p>
    <w:p w14:paraId="68EA5ABA" w14:textId="1E0C4CD0" w:rsidR="0097570E" w:rsidRPr="00D837EA" w:rsidRDefault="0097570E" w:rsidP="003167B6">
      <w:pPr>
        <w:spacing w:before="240"/>
        <w:rPr>
          <w:rFonts w:ascii="Arial" w:hAnsi="Arial" w:cs="Arial"/>
          <w:bCs/>
        </w:rPr>
      </w:pPr>
      <w:r w:rsidRPr="00D837EA">
        <w:rPr>
          <w:rFonts w:ascii="Arial" w:hAnsi="Arial" w:cs="Arial"/>
          <w:bCs/>
        </w:rPr>
        <w:t xml:space="preserve">These changes </w:t>
      </w:r>
      <w:r w:rsidR="00BF06CB" w:rsidRPr="00D837EA">
        <w:rPr>
          <w:rFonts w:ascii="Arial" w:hAnsi="Arial" w:cs="Arial"/>
          <w:bCs/>
        </w:rPr>
        <w:t>bring the existing illicit diversion program into legislation to</w:t>
      </w:r>
      <w:r w:rsidR="003167B6" w:rsidRPr="00D837EA">
        <w:rPr>
          <w:rFonts w:ascii="Arial" w:hAnsi="Arial" w:cs="Arial"/>
          <w:bCs/>
        </w:rPr>
        <w:t xml:space="preserve"> </w:t>
      </w:r>
      <w:r w:rsidRPr="00D837EA">
        <w:rPr>
          <w:rFonts w:ascii="Arial" w:hAnsi="Arial" w:cs="Arial"/>
          <w:bCs/>
        </w:rPr>
        <w:t xml:space="preserve">provide an additional option for people who receive an offence notice to discharge any liability in relation to the alleged simple drug offence. They will be able to choose whether to pay the fine or attend </w:t>
      </w:r>
      <w:r w:rsidR="00A4350B" w:rsidRPr="00D837EA">
        <w:rPr>
          <w:rFonts w:ascii="Arial" w:hAnsi="Arial" w:cs="Arial"/>
          <w:bCs/>
        </w:rPr>
        <w:t xml:space="preserve">a </w:t>
      </w:r>
      <w:r w:rsidRPr="00D837EA">
        <w:rPr>
          <w:rFonts w:ascii="Arial" w:hAnsi="Arial" w:cs="Arial"/>
          <w:bCs/>
        </w:rPr>
        <w:t>drug diversion program</w:t>
      </w:r>
      <w:r w:rsidR="00A4350B" w:rsidRPr="00D837EA">
        <w:rPr>
          <w:rFonts w:ascii="Arial" w:hAnsi="Arial" w:cs="Arial"/>
          <w:bCs/>
        </w:rPr>
        <w:t xml:space="preserve"> that is approved under </w:t>
      </w:r>
      <w:r w:rsidR="007A70EA" w:rsidRPr="00D837EA">
        <w:rPr>
          <w:rFonts w:ascii="Arial" w:hAnsi="Arial" w:cs="Arial"/>
          <w:bCs/>
        </w:rPr>
        <w:t xml:space="preserve">new </w:t>
      </w:r>
      <w:r w:rsidR="00A4350B" w:rsidRPr="00D837EA">
        <w:rPr>
          <w:rFonts w:ascii="Arial" w:hAnsi="Arial" w:cs="Arial"/>
          <w:bCs/>
        </w:rPr>
        <w:t>s171BB</w:t>
      </w:r>
      <w:r w:rsidRPr="00D837EA">
        <w:rPr>
          <w:rFonts w:ascii="Arial" w:hAnsi="Arial" w:cs="Arial"/>
          <w:bCs/>
        </w:rPr>
        <w:t xml:space="preserve">. </w:t>
      </w:r>
    </w:p>
    <w:p w14:paraId="4451D249" w14:textId="2EB667D7" w:rsidR="007A70EA" w:rsidRPr="00D837EA" w:rsidRDefault="007A70EA" w:rsidP="003167B6">
      <w:pPr>
        <w:spacing w:before="240"/>
        <w:rPr>
          <w:rFonts w:ascii="Arial" w:hAnsi="Arial" w:cs="Arial"/>
          <w:bCs/>
        </w:rPr>
      </w:pPr>
      <w:r w:rsidRPr="00D837EA">
        <w:rPr>
          <w:rFonts w:ascii="Arial" w:hAnsi="Arial" w:cs="Arial"/>
          <w:bCs/>
        </w:rPr>
        <w:t>This change will ensure that those who are unable or unwilling to pay the fine have an alternative option</w:t>
      </w:r>
      <w:r w:rsidR="00140044" w:rsidRPr="00D837EA">
        <w:rPr>
          <w:rFonts w:ascii="Arial" w:hAnsi="Arial" w:cs="Arial"/>
          <w:bCs/>
        </w:rPr>
        <w:t xml:space="preserve"> and thereby minimise the risk that those in lower socioeconomic groups are prosecuted for simple drug offences after failing to pay the fine.</w:t>
      </w:r>
    </w:p>
    <w:p w14:paraId="46BA46C2" w14:textId="51B91B66" w:rsidR="00BF06CB" w:rsidRPr="00D837EA" w:rsidRDefault="00BF06CB" w:rsidP="003167B6">
      <w:pPr>
        <w:spacing w:before="240"/>
        <w:rPr>
          <w:rFonts w:ascii="Arial" w:hAnsi="Arial" w:cs="Arial"/>
          <w:bCs/>
        </w:rPr>
      </w:pPr>
      <w:r w:rsidRPr="00D837EA">
        <w:rPr>
          <w:rFonts w:ascii="Arial" w:hAnsi="Arial" w:cs="Arial"/>
          <w:bCs/>
        </w:rPr>
        <w:t>The amendments also set out the attendance requirements for the drug diversion program. The existing illicit drug diversion program is health</w:t>
      </w:r>
      <w:r w:rsidRPr="00D837EA">
        <w:rPr>
          <w:rFonts w:ascii="Arial" w:hAnsi="Arial" w:cs="Arial"/>
          <w:bCs/>
        </w:rPr>
        <w:noBreakHyphen/>
        <w:t xml:space="preserve">focused. Providing </w:t>
      </w:r>
      <w:r w:rsidRPr="00D837EA">
        <w:rPr>
          <w:rFonts w:ascii="Arial" w:hAnsi="Arial" w:cs="Arial"/>
          <w:bCs/>
        </w:rPr>
        <w:lastRenderedPageBreak/>
        <w:t xml:space="preserve">these options for diversion away from the criminal justice system for simple drug offences aligns with the intent of the PMB and the Government’s overall harm minimisation approach to alcohol and other drug policy. </w:t>
      </w:r>
    </w:p>
    <w:p w14:paraId="4EB8A495" w14:textId="29E575D4" w:rsidR="00BF06CB" w:rsidRPr="00D837EA" w:rsidRDefault="00BF06CB" w:rsidP="003167B6">
      <w:pPr>
        <w:spacing w:before="240"/>
        <w:rPr>
          <w:rFonts w:ascii="Arial" w:hAnsi="Arial" w:cs="Arial"/>
          <w:bCs/>
        </w:rPr>
      </w:pPr>
      <w:r w:rsidRPr="00D837EA">
        <w:rPr>
          <w:rFonts w:ascii="Arial" w:hAnsi="Arial" w:cs="Arial"/>
          <w:bCs/>
        </w:rPr>
        <w:t>The new s171A(7) sets out the offence provisions for which an offence notice is available, that is, possession of not more than a small quantity of certain drugs of dependence (s169(1)), prohibited substances (s171(1)) or cannabis (s171AA(1)), or cultivation of one or two cannabis plants by a person aged under 18 years (s162).</w:t>
      </w:r>
    </w:p>
    <w:p w14:paraId="62E619DC" w14:textId="4AAA901E" w:rsidR="00B05013" w:rsidRPr="00D837EA" w:rsidRDefault="00B05013" w:rsidP="003167B6">
      <w:pPr>
        <w:spacing w:before="240"/>
        <w:rPr>
          <w:rFonts w:ascii="Arial" w:hAnsi="Arial" w:cs="Arial"/>
          <w:bCs/>
        </w:rPr>
      </w:pPr>
      <w:r w:rsidRPr="00D837EA">
        <w:rPr>
          <w:rFonts w:ascii="Arial" w:hAnsi="Arial" w:cs="Arial"/>
          <w:bCs/>
        </w:rPr>
        <w:t xml:space="preserve">The new s171A does not include the prescribed penalty for a simple drug offence. This has been moved to the </w:t>
      </w:r>
      <w:r w:rsidR="00140044" w:rsidRPr="00D837EA">
        <w:rPr>
          <w:rFonts w:ascii="Arial" w:hAnsi="Arial" w:cs="Arial"/>
          <w:bCs/>
        </w:rPr>
        <w:t>DoD Regulation</w:t>
      </w:r>
      <w:r w:rsidRPr="00D837EA">
        <w:rPr>
          <w:rFonts w:ascii="Arial" w:hAnsi="Arial" w:cs="Arial"/>
          <w:bCs/>
          <w:i/>
          <w:iCs/>
        </w:rPr>
        <w:t xml:space="preserve"> </w:t>
      </w:r>
      <w:r w:rsidRPr="00D837EA">
        <w:rPr>
          <w:rFonts w:ascii="Arial" w:hAnsi="Arial" w:cs="Arial"/>
          <w:bCs/>
        </w:rPr>
        <w:t>to align with other legislation and to facilitate adjustments in the future if necessary.</w:t>
      </w:r>
    </w:p>
    <w:p w14:paraId="46810E2B" w14:textId="61BDF4DC" w:rsidR="00CB471B" w:rsidRPr="00D837EA" w:rsidRDefault="00297410" w:rsidP="003167B6">
      <w:pPr>
        <w:spacing w:before="240"/>
        <w:rPr>
          <w:rFonts w:ascii="Arial" w:hAnsi="Arial" w:cs="Arial"/>
          <w:b/>
        </w:rPr>
      </w:pPr>
      <w:r w:rsidRPr="00D837EA">
        <w:rPr>
          <w:rFonts w:ascii="Arial" w:hAnsi="Arial" w:cs="Arial"/>
          <w:b/>
        </w:rPr>
        <w:t xml:space="preserve">Amendment </w:t>
      </w:r>
      <w:r w:rsidR="00FF0079" w:rsidRPr="00D837EA">
        <w:rPr>
          <w:rFonts w:ascii="Arial" w:hAnsi="Arial" w:cs="Arial"/>
          <w:b/>
        </w:rPr>
        <w:t>10</w:t>
      </w:r>
      <w:r w:rsidRPr="00D837EA">
        <w:rPr>
          <w:rFonts w:ascii="Arial" w:hAnsi="Arial" w:cs="Arial"/>
          <w:b/>
        </w:rPr>
        <w:t xml:space="preserve"> – new </w:t>
      </w:r>
      <w:r w:rsidR="00B1519B" w:rsidRPr="00D837EA">
        <w:rPr>
          <w:rFonts w:ascii="Arial" w:hAnsi="Arial" w:cs="Arial"/>
          <w:b/>
        </w:rPr>
        <w:t>C</w:t>
      </w:r>
      <w:r w:rsidRPr="00D837EA">
        <w:rPr>
          <w:rFonts w:ascii="Arial" w:hAnsi="Arial" w:cs="Arial"/>
          <w:b/>
        </w:rPr>
        <w:t>lause 12A</w:t>
      </w:r>
    </w:p>
    <w:p w14:paraId="0C8F177C" w14:textId="4BA1FF7A" w:rsidR="00297410" w:rsidRPr="00D837EA" w:rsidRDefault="00297410" w:rsidP="003167B6">
      <w:pPr>
        <w:spacing w:before="240"/>
        <w:rPr>
          <w:rFonts w:ascii="Arial" w:hAnsi="Arial" w:cs="Arial"/>
          <w:bCs/>
        </w:rPr>
      </w:pPr>
      <w:r w:rsidRPr="00D837EA">
        <w:rPr>
          <w:rFonts w:ascii="Arial" w:hAnsi="Arial" w:cs="Arial"/>
          <w:bCs/>
        </w:rPr>
        <w:t>This amendment inserts a new section 171BB</w:t>
      </w:r>
      <w:r w:rsidR="000570A2" w:rsidRPr="00D837EA">
        <w:rPr>
          <w:rFonts w:ascii="Arial" w:hAnsi="Arial" w:cs="Arial"/>
          <w:bCs/>
        </w:rPr>
        <w:t xml:space="preserve"> into Part 10 of the DoD Act</w:t>
      </w:r>
      <w:r w:rsidRPr="00D837EA">
        <w:rPr>
          <w:rFonts w:ascii="Arial" w:hAnsi="Arial" w:cs="Arial"/>
          <w:bCs/>
        </w:rPr>
        <w:t>.</w:t>
      </w:r>
      <w:r w:rsidR="00B05013" w:rsidRPr="00D837EA">
        <w:rPr>
          <w:rFonts w:ascii="Arial" w:hAnsi="Arial" w:cs="Arial"/>
          <w:bCs/>
        </w:rPr>
        <w:t xml:space="preserve"> It provides that the Minister may approve, by notifiable instrument, a drug diversion program for the assessment and treatment of people found in possession of drugs of dependence or prohibited substances. This change supports new s171A in relation to providing the option of discharging liability for an alleged simple drug offence through attendance at an approved drug diversion program. </w:t>
      </w:r>
      <w:r w:rsidR="00B1519B" w:rsidRPr="00D837EA">
        <w:rPr>
          <w:rFonts w:ascii="Arial" w:hAnsi="Arial" w:cs="Arial"/>
          <w:bCs/>
        </w:rPr>
        <w:t>It raises the profile of the existing illicit drug diversion program as an alternative option to the payment of a fine.</w:t>
      </w:r>
    </w:p>
    <w:p w14:paraId="07B2069E" w14:textId="40FB05BD" w:rsidR="00C75FA0" w:rsidRPr="00D837EA" w:rsidRDefault="00C75FA0" w:rsidP="003167B6">
      <w:pPr>
        <w:spacing w:before="240"/>
        <w:rPr>
          <w:rFonts w:ascii="Arial" w:hAnsi="Arial" w:cs="Arial"/>
          <w:b/>
        </w:rPr>
      </w:pPr>
      <w:r w:rsidRPr="00D837EA">
        <w:rPr>
          <w:rFonts w:ascii="Arial" w:hAnsi="Arial" w:cs="Arial"/>
          <w:b/>
        </w:rPr>
        <w:t>Amendment 11 – new Clause 12B</w:t>
      </w:r>
    </w:p>
    <w:p w14:paraId="7918031E" w14:textId="05C75DE1" w:rsidR="00C75FA0" w:rsidRPr="00D837EA" w:rsidRDefault="00C75FA0" w:rsidP="003167B6">
      <w:pPr>
        <w:spacing w:before="240"/>
        <w:rPr>
          <w:rFonts w:ascii="Arial" w:hAnsi="Arial" w:cs="Arial"/>
          <w:bCs/>
        </w:rPr>
      </w:pPr>
      <w:r w:rsidRPr="00D837EA">
        <w:rPr>
          <w:rFonts w:ascii="Arial" w:hAnsi="Arial" w:cs="Arial"/>
          <w:bCs/>
        </w:rPr>
        <w:t xml:space="preserve">This amendment inserts a new section 205B into the DoD Act. It provides that the Minister must review the operation of the amendments made by the </w:t>
      </w:r>
      <w:r w:rsidR="0084736F" w:rsidRPr="00D837EA">
        <w:rPr>
          <w:rFonts w:ascii="Arial" w:hAnsi="Arial" w:cs="Arial"/>
          <w:bCs/>
        </w:rPr>
        <w:t xml:space="preserve">enacted </w:t>
      </w:r>
      <w:r w:rsidRPr="00D837EA">
        <w:rPr>
          <w:rFonts w:ascii="Arial" w:hAnsi="Arial" w:cs="Arial"/>
          <w:bCs/>
        </w:rPr>
        <w:t xml:space="preserve">Drugs of Dependence (Personal Use) Amendment </w:t>
      </w:r>
      <w:r w:rsidR="0084736F" w:rsidRPr="00D837EA">
        <w:rPr>
          <w:rFonts w:ascii="Arial" w:hAnsi="Arial" w:cs="Arial"/>
          <w:bCs/>
        </w:rPr>
        <w:t>Bill</w:t>
      </w:r>
      <w:r w:rsidRPr="00D837EA">
        <w:rPr>
          <w:rFonts w:ascii="Arial" w:hAnsi="Arial" w:cs="Arial"/>
          <w:bCs/>
        </w:rPr>
        <w:t xml:space="preserve"> 2021 as soon as practicable after the end of their </w:t>
      </w:r>
      <w:r w:rsidR="003833C0" w:rsidRPr="00D837EA">
        <w:rPr>
          <w:rFonts w:ascii="Arial" w:hAnsi="Arial" w:cs="Arial"/>
          <w:bCs/>
        </w:rPr>
        <w:t xml:space="preserve">second </w:t>
      </w:r>
      <w:r w:rsidRPr="00D837EA">
        <w:rPr>
          <w:rFonts w:ascii="Arial" w:hAnsi="Arial" w:cs="Arial"/>
          <w:bCs/>
        </w:rPr>
        <w:t xml:space="preserve">year of operation, and table a report of the review in the Legislative Assembly within six months after the commencement of the review. This new provision </w:t>
      </w:r>
      <w:r w:rsidR="00470121" w:rsidRPr="00D837EA">
        <w:rPr>
          <w:rFonts w:ascii="Arial" w:hAnsi="Arial" w:cs="Arial"/>
          <w:bCs/>
        </w:rPr>
        <w:t xml:space="preserve">broadly </w:t>
      </w:r>
      <w:r w:rsidRPr="00D837EA">
        <w:rPr>
          <w:rFonts w:ascii="Arial" w:hAnsi="Arial" w:cs="Arial"/>
          <w:bCs/>
        </w:rPr>
        <w:t>mirrors the existing section 205A of the DoD Act</w:t>
      </w:r>
      <w:r w:rsidR="009E4B0E" w:rsidRPr="00D837EA">
        <w:rPr>
          <w:rFonts w:ascii="Arial" w:hAnsi="Arial" w:cs="Arial"/>
          <w:bCs/>
        </w:rPr>
        <w:t xml:space="preserve">, which provides for review of </w:t>
      </w:r>
      <w:r w:rsidRPr="00D837EA">
        <w:rPr>
          <w:rFonts w:ascii="Arial" w:hAnsi="Arial" w:cs="Arial"/>
          <w:bCs/>
        </w:rPr>
        <w:t xml:space="preserve">the amendments made by the </w:t>
      </w:r>
      <w:r w:rsidRPr="00D837EA">
        <w:rPr>
          <w:rFonts w:ascii="Arial" w:hAnsi="Arial" w:cs="Arial"/>
          <w:bCs/>
          <w:i/>
          <w:iCs/>
        </w:rPr>
        <w:t>Drugs of Dependence (Personal Cannabis Use) Amendment Act 2019</w:t>
      </w:r>
      <w:r w:rsidR="003833C0" w:rsidRPr="00D837EA">
        <w:rPr>
          <w:rFonts w:ascii="Arial" w:hAnsi="Arial" w:cs="Arial"/>
          <w:bCs/>
        </w:rPr>
        <w:t xml:space="preserve">, except that the </w:t>
      </w:r>
      <w:r w:rsidR="00470121" w:rsidRPr="00D837EA">
        <w:rPr>
          <w:rFonts w:ascii="Arial" w:hAnsi="Arial" w:cs="Arial"/>
          <w:bCs/>
        </w:rPr>
        <w:t xml:space="preserve">proposed </w:t>
      </w:r>
      <w:r w:rsidR="003833C0" w:rsidRPr="00D837EA">
        <w:rPr>
          <w:rFonts w:ascii="Arial" w:hAnsi="Arial" w:cs="Arial"/>
          <w:bCs/>
        </w:rPr>
        <w:t>review period is shorter</w:t>
      </w:r>
      <w:r w:rsidRPr="00D837EA">
        <w:rPr>
          <w:rFonts w:ascii="Arial" w:hAnsi="Arial" w:cs="Arial"/>
          <w:bCs/>
          <w:i/>
          <w:iCs/>
        </w:rPr>
        <w:t xml:space="preserve">. </w:t>
      </w:r>
      <w:r w:rsidRPr="00D837EA">
        <w:rPr>
          <w:rFonts w:ascii="Arial" w:hAnsi="Arial" w:cs="Arial"/>
          <w:bCs/>
        </w:rPr>
        <w:t>It will ensure</w:t>
      </w:r>
      <w:r w:rsidR="009E4B0E" w:rsidRPr="00D837EA">
        <w:t xml:space="preserve"> </w:t>
      </w:r>
      <w:r w:rsidR="009E4B0E" w:rsidRPr="00D837EA">
        <w:rPr>
          <w:rFonts w:ascii="Arial" w:hAnsi="Arial" w:cs="Arial"/>
          <w:bCs/>
        </w:rPr>
        <w:t>that the legislation is fit for purpose and has not had unintended consequences.</w:t>
      </w:r>
      <w:r w:rsidRPr="00D837EA">
        <w:rPr>
          <w:rFonts w:ascii="Arial" w:hAnsi="Arial" w:cs="Arial"/>
          <w:bCs/>
        </w:rPr>
        <w:t xml:space="preserve"> </w:t>
      </w:r>
    </w:p>
    <w:p w14:paraId="19278CF5" w14:textId="300BEA81" w:rsidR="00B1519B" w:rsidRPr="00D837EA" w:rsidRDefault="00B1519B" w:rsidP="003167B6">
      <w:pPr>
        <w:spacing w:before="240"/>
        <w:rPr>
          <w:rFonts w:ascii="Arial" w:hAnsi="Arial" w:cs="Arial"/>
          <w:b/>
        </w:rPr>
      </w:pPr>
      <w:r w:rsidRPr="00D837EA">
        <w:rPr>
          <w:rFonts w:ascii="Arial" w:hAnsi="Arial" w:cs="Arial"/>
          <w:b/>
        </w:rPr>
        <w:t>Amendment 1</w:t>
      </w:r>
      <w:r w:rsidR="00C75FA0" w:rsidRPr="00D837EA">
        <w:rPr>
          <w:rFonts w:ascii="Arial" w:hAnsi="Arial" w:cs="Arial"/>
          <w:b/>
        </w:rPr>
        <w:t>2</w:t>
      </w:r>
      <w:r w:rsidRPr="00D837EA">
        <w:rPr>
          <w:rFonts w:ascii="Arial" w:hAnsi="Arial" w:cs="Arial"/>
          <w:b/>
        </w:rPr>
        <w:t xml:space="preserve"> – Clause 13</w:t>
      </w:r>
    </w:p>
    <w:p w14:paraId="74BC5474" w14:textId="249E1EC8" w:rsidR="00E80E9F" w:rsidRPr="00D837EA" w:rsidRDefault="00E80E9F" w:rsidP="003167B6">
      <w:pPr>
        <w:spacing w:before="240"/>
        <w:rPr>
          <w:rFonts w:ascii="Arial" w:hAnsi="Arial" w:cs="Arial"/>
          <w:bCs/>
        </w:rPr>
      </w:pPr>
      <w:r w:rsidRPr="00D837EA">
        <w:rPr>
          <w:rFonts w:ascii="Arial" w:hAnsi="Arial" w:cs="Arial"/>
          <w:bCs/>
        </w:rPr>
        <w:t xml:space="preserve">This amendment inserts a new definition of ‘small quantity’ of a drug of dependence or prohibited substance into the Dictionary of the </w:t>
      </w:r>
      <w:r w:rsidR="00140044" w:rsidRPr="00D837EA">
        <w:rPr>
          <w:rFonts w:ascii="Arial" w:hAnsi="Arial" w:cs="Arial"/>
          <w:bCs/>
        </w:rPr>
        <w:t>DoD Act</w:t>
      </w:r>
      <w:r w:rsidRPr="00D837EA">
        <w:rPr>
          <w:rFonts w:ascii="Arial" w:hAnsi="Arial" w:cs="Arial"/>
          <w:bCs/>
        </w:rPr>
        <w:t>.</w:t>
      </w:r>
      <w:r w:rsidRPr="00D837EA">
        <w:rPr>
          <w:rFonts w:ascii="Arial" w:hAnsi="Arial" w:cs="Arial"/>
          <w:bCs/>
          <w:i/>
          <w:iCs/>
        </w:rPr>
        <w:t xml:space="preserve"> </w:t>
      </w:r>
      <w:r w:rsidRPr="00D837EA">
        <w:rPr>
          <w:rFonts w:ascii="Arial" w:hAnsi="Arial" w:cs="Arial"/>
          <w:bCs/>
        </w:rPr>
        <w:t xml:space="preserve">It provides that a small quantity is a quantity that is not more than the quantity prescribed by regulation. </w:t>
      </w:r>
    </w:p>
    <w:p w14:paraId="0C01ACEA" w14:textId="63C19925" w:rsidR="00E80E9F" w:rsidRPr="00D837EA" w:rsidRDefault="00E80E9F" w:rsidP="003167B6">
      <w:pPr>
        <w:spacing w:before="240"/>
        <w:rPr>
          <w:rFonts w:ascii="Arial" w:hAnsi="Arial" w:cs="Arial"/>
          <w:bCs/>
        </w:rPr>
      </w:pPr>
      <w:r w:rsidRPr="00D837EA">
        <w:rPr>
          <w:rFonts w:ascii="Arial" w:hAnsi="Arial" w:cs="Arial"/>
          <w:bCs/>
        </w:rPr>
        <w:t xml:space="preserve">The term ‘small quantity’ has been chosen instead of ‘personal possession limit’ </w:t>
      </w:r>
      <w:r w:rsidR="000C440B" w:rsidRPr="00D837EA">
        <w:rPr>
          <w:rFonts w:ascii="Arial" w:hAnsi="Arial" w:cs="Arial"/>
          <w:bCs/>
        </w:rPr>
        <w:t>to</w:t>
      </w:r>
      <w:r w:rsidRPr="00D837EA">
        <w:rPr>
          <w:rFonts w:ascii="Arial" w:hAnsi="Arial" w:cs="Arial"/>
          <w:bCs/>
        </w:rPr>
        <w:t xml:space="preserve"> </w:t>
      </w:r>
      <w:r w:rsidR="000C440B" w:rsidRPr="00D837EA">
        <w:rPr>
          <w:rFonts w:ascii="Arial" w:hAnsi="Arial" w:cs="Arial"/>
          <w:bCs/>
        </w:rPr>
        <w:t>reflect the purpose of the Private Member’s Bill more closely, align with terminology used elsewhere in the DoD Act,</w:t>
      </w:r>
      <w:r w:rsidR="00140044" w:rsidRPr="00D837EA">
        <w:rPr>
          <w:rFonts w:ascii="Arial" w:hAnsi="Arial" w:cs="Arial"/>
          <w:bCs/>
        </w:rPr>
        <w:t xml:space="preserve"> and prevent confusion. </w:t>
      </w:r>
      <w:r w:rsidRPr="00D837EA">
        <w:rPr>
          <w:rFonts w:ascii="Arial" w:hAnsi="Arial" w:cs="Arial"/>
          <w:bCs/>
        </w:rPr>
        <w:t xml:space="preserve">Under ACT law, personal possession penalties apply up to the </w:t>
      </w:r>
      <w:r w:rsidR="00BA5D91" w:rsidRPr="00D837EA">
        <w:rPr>
          <w:rFonts w:ascii="Arial" w:hAnsi="Arial" w:cs="Arial"/>
          <w:bCs/>
        </w:rPr>
        <w:t xml:space="preserve">trafficable quantity for the individual drug as indicated in the </w:t>
      </w:r>
      <w:r w:rsidR="00BA5D91" w:rsidRPr="00D837EA">
        <w:rPr>
          <w:rFonts w:ascii="Arial" w:hAnsi="Arial" w:cs="Arial"/>
          <w:bCs/>
          <w:i/>
          <w:iCs/>
        </w:rPr>
        <w:t>Criminal Code Regulation 2005</w:t>
      </w:r>
      <w:r w:rsidRPr="00D837EA">
        <w:rPr>
          <w:rFonts w:ascii="Arial" w:hAnsi="Arial" w:cs="Arial"/>
          <w:bCs/>
        </w:rPr>
        <w:t xml:space="preserve">, not </w:t>
      </w:r>
      <w:r w:rsidR="00BA5D91" w:rsidRPr="00D837EA">
        <w:rPr>
          <w:rFonts w:ascii="Arial" w:hAnsi="Arial" w:cs="Arial"/>
          <w:bCs/>
        </w:rPr>
        <w:t>only</w:t>
      </w:r>
      <w:r w:rsidRPr="00D837EA">
        <w:rPr>
          <w:rFonts w:ascii="Arial" w:hAnsi="Arial" w:cs="Arial"/>
          <w:bCs/>
        </w:rPr>
        <w:t xml:space="preserve"> for possession of </w:t>
      </w:r>
      <w:r w:rsidR="00BA5D91" w:rsidRPr="00D837EA">
        <w:rPr>
          <w:rFonts w:ascii="Arial" w:hAnsi="Arial" w:cs="Arial"/>
          <w:bCs/>
        </w:rPr>
        <w:t>the newly defined ‘</w:t>
      </w:r>
      <w:r w:rsidRPr="00D837EA">
        <w:rPr>
          <w:rFonts w:ascii="Arial" w:hAnsi="Arial" w:cs="Arial"/>
          <w:bCs/>
        </w:rPr>
        <w:t>small quantities</w:t>
      </w:r>
      <w:r w:rsidR="00BA5D91" w:rsidRPr="00D837EA">
        <w:rPr>
          <w:rFonts w:ascii="Arial" w:hAnsi="Arial" w:cs="Arial"/>
          <w:bCs/>
        </w:rPr>
        <w:t>’</w:t>
      </w:r>
      <w:r w:rsidRPr="00D837EA">
        <w:rPr>
          <w:rFonts w:ascii="Arial" w:hAnsi="Arial" w:cs="Arial"/>
          <w:bCs/>
        </w:rPr>
        <w:t xml:space="preserve"> of</w:t>
      </w:r>
      <w:r w:rsidR="00BA5D91" w:rsidRPr="00D837EA">
        <w:rPr>
          <w:rFonts w:ascii="Arial" w:hAnsi="Arial" w:cs="Arial"/>
          <w:bCs/>
        </w:rPr>
        <w:t xml:space="preserve"> specific</w:t>
      </w:r>
      <w:r w:rsidRPr="00D837EA">
        <w:rPr>
          <w:rFonts w:ascii="Arial" w:hAnsi="Arial" w:cs="Arial"/>
          <w:bCs/>
        </w:rPr>
        <w:t xml:space="preserve"> drugs.</w:t>
      </w:r>
    </w:p>
    <w:p w14:paraId="16745FBD" w14:textId="6B169978" w:rsidR="00E80E9F" w:rsidRPr="00D837EA" w:rsidRDefault="00E80E9F" w:rsidP="003167B6">
      <w:pPr>
        <w:spacing w:before="240"/>
        <w:rPr>
          <w:rFonts w:ascii="Arial" w:hAnsi="Arial" w:cs="Arial"/>
          <w:bCs/>
        </w:rPr>
      </w:pPr>
      <w:r w:rsidRPr="00D837EA">
        <w:rPr>
          <w:rFonts w:ascii="Arial" w:hAnsi="Arial" w:cs="Arial"/>
          <w:bCs/>
        </w:rPr>
        <w:lastRenderedPageBreak/>
        <w:t>A small quantity has been defined as an amount not more than the prescribed small quantity limit, rather than only for possession of amounts below that limit (as set out in the Private Member’s Bill), for consistency with limits in other areas of legislation.</w:t>
      </w:r>
    </w:p>
    <w:p w14:paraId="1D1090B4" w14:textId="54301C05" w:rsidR="00E80E9F" w:rsidRPr="00D837EA" w:rsidRDefault="00E80E9F" w:rsidP="003167B6">
      <w:pPr>
        <w:spacing w:before="240"/>
        <w:rPr>
          <w:rFonts w:ascii="Arial" w:hAnsi="Arial" w:cs="Arial"/>
          <w:b/>
        </w:rPr>
      </w:pPr>
      <w:r w:rsidRPr="00D837EA">
        <w:rPr>
          <w:rFonts w:ascii="Arial" w:hAnsi="Arial" w:cs="Arial"/>
          <w:b/>
        </w:rPr>
        <w:t>Amendment 1</w:t>
      </w:r>
      <w:r w:rsidR="00C75FA0" w:rsidRPr="00D837EA">
        <w:rPr>
          <w:rFonts w:ascii="Arial" w:hAnsi="Arial" w:cs="Arial"/>
          <w:b/>
        </w:rPr>
        <w:t>3</w:t>
      </w:r>
      <w:r w:rsidRPr="00D837EA">
        <w:rPr>
          <w:rFonts w:ascii="Arial" w:hAnsi="Arial" w:cs="Arial"/>
          <w:b/>
        </w:rPr>
        <w:t xml:space="preserve"> – Clause</w:t>
      </w:r>
      <w:r w:rsidR="008462C5" w:rsidRPr="00D837EA">
        <w:rPr>
          <w:rFonts w:ascii="Arial" w:hAnsi="Arial" w:cs="Arial"/>
          <w:b/>
        </w:rPr>
        <w:t>s</w:t>
      </w:r>
      <w:r w:rsidRPr="00D837EA">
        <w:rPr>
          <w:rFonts w:ascii="Arial" w:hAnsi="Arial" w:cs="Arial"/>
          <w:b/>
        </w:rPr>
        <w:t xml:space="preserve"> 14</w:t>
      </w:r>
      <w:r w:rsidR="008462C5" w:rsidRPr="00D837EA">
        <w:rPr>
          <w:rFonts w:ascii="Arial" w:hAnsi="Arial" w:cs="Arial"/>
          <w:b/>
        </w:rPr>
        <w:t>-15</w:t>
      </w:r>
    </w:p>
    <w:p w14:paraId="079032A8" w14:textId="12FEBA0B" w:rsidR="00301D73" w:rsidRPr="00D837EA" w:rsidRDefault="00301D73" w:rsidP="003167B6">
      <w:pPr>
        <w:spacing w:before="240"/>
        <w:rPr>
          <w:rFonts w:ascii="Arial" w:hAnsi="Arial" w:cs="Arial"/>
          <w:bCs/>
        </w:rPr>
      </w:pPr>
      <w:r w:rsidRPr="00D837EA">
        <w:rPr>
          <w:rFonts w:ascii="Arial" w:hAnsi="Arial" w:cs="Arial"/>
          <w:bCs/>
        </w:rPr>
        <w:t xml:space="preserve">This amendment inserts a new part 3 into the Private Member’s Bill. This part sets out amendments to the </w:t>
      </w:r>
      <w:r w:rsidR="00140044" w:rsidRPr="00D837EA">
        <w:rPr>
          <w:rFonts w:ascii="Arial" w:hAnsi="Arial" w:cs="Arial"/>
          <w:bCs/>
        </w:rPr>
        <w:t>DoD Regulation</w:t>
      </w:r>
      <w:r w:rsidRPr="00D837EA">
        <w:rPr>
          <w:rFonts w:ascii="Arial" w:hAnsi="Arial" w:cs="Arial"/>
          <w:bCs/>
          <w:i/>
          <w:iCs/>
        </w:rPr>
        <w:t>.</w:t>
      </w:r>
    </w:p>
    <w:p w14:paraId="601ABAEE" w14:textId="77777777" w:rsidR="003167B6" w:rsidRPr="00D837EA" w:rsidRDefault="008462C5" w:rsidP="003167B6">
      <w:pPr>
        <w:spacing w:before="240"/>
        <w:rPr>
          <w:rFonts w:ascii="Arial" w:hAnsi="Arial" w:cs="Arial"/>
          <w:bCs/>
        </w:rPr>
      </w:pPr>
      <w:r w:rsidRPr="00D837EA">
        <w:rPr>
          <w:rFonts w:ascii="Arial" w:hAnsi="Arial" w:cs="Arial"/>
          <w:bCs/>
        </w:rPr>
        <w:t xml:space="preserve">New section 3A of the DoD Regulation provides that the prescribed penalty for an offence notice issued for a simple drug offence is $100. </w:t>
      </w:r>
    </w:p>
    <w:p w14:paraId="00FC52CA" w14:textId="58EB90B1" w:rsidR="008462C5" w:rsidRPr="00D837EA" w:rsidRDefault="00B677EC" w:rsidP="003167B6">
      <w:pPr>
        <w:spacing w:before="240"/>
        <w:rPr>
          <w:rFonts w:ascii="Arial" w:hAnsi="Arial" w:cs="Arial"/>
          <w:bCs/>
        </w:rPr>
      </w:pPr>
      <w:r w:rsidRPr="00D837EA">
        <w:rPr>
          <w:rFonts w:ascii="Arial" w:hAnsi="Arial" w:cs="Arial"/>
          <w:bCs/>
        </w:rPr>
        <w:t>The penalty</w:t>
      </w:r>
      <w:r w:rsidR="008462C5" w:rsidRPr="00D837EA">
        <w:rPr>
          <w:rFonts w:ascii="Arial" w:hAnsi="Arial" w:cs="Arial"/>
          <w:bCs/>
        </w:rPr>
        <w:t xml:space="preserve"> is unchanged from the existing penalty </w:t>
      </w:r>
      <w:r w:rsidRPr="00D837EA">
        <w:rPr>
          <w:rFonts w:ascii="Arial" w:hAnsi="Arial" w:cs="Arial"/>
          <w:bCs/>
        </w:rPr>
        <w:t xml:space="preserve">associated with a simple cannabis offence notice, but </w:t>
      </w:r>
      <w:r w:rsidR="007D3D7A" w:rsidRPr="00D837EA">
        <w:rPr>
          <w:rFonts w:ascii="Arial" w:hAnsi="Arial" w:cs="Arial"/>
          <w:bCs/>
        </w:rPr>
        <w:t xml:space="preserve">it </w:t>
      </w:r>
      <w:r w:rsidRPr="00D837EA">
        <w:rPr>
          <w:rFonts w:ascii="Arial" w:hAnsi="Arial" w:cs="Arial"/>
          <w:bCs/>
        </w:rPr>
        <w:t>has been moved from the DoD Act to the DoD Regulation for consistency with other areas of legislation and to facilitate any changes to the penalty in future in response to changing circumstances.</w:t>
      </w:r>
    </w:p>
    <w:p w14:paraId="6A004F83" w14:textId="3B93F531" w:rsidR="00301D73" w:rsidRPr="00D837EA" w:rsidRDefault="00301D73" w:rsidP="003167B6">
      <w:pPr>
        <w:spacing w:before="240"/>
        <w:rPr>
          <w:rFonts w:ascii="Arial" w:hAnsi="Arial" w:cs="Arial"/>
          <w:bCs/>
        </w:rPr>
      </w:pPr>
      <w:r w:rsidRPr="00D837EA">
        <w:rPr>
          <w:rFonts w:ascii="Arial" w:hAnsi="Arial" w:cs="Arial"/>
          <w:bCs/>
        </w:rPr>
        <w:t>New section 6</w:t>
      </w:r>
      <w:r w:rsidR="00E61BE2" w:rsidRPr="00D837EA">
        <w:rPr>
          <w:rFonts w:ascii="Arial" w:hAnsi="Arial" w:cs="Arial"/>
          <w:bCs/>
        </w:rPr>
        <w:t>(1)</w:t>
      </w:r>
      <w:r w:rsidRPr="00D837EA">
        <w:rPr>
          <w:rFonts w:ascii="Arial" w:hAnsi="Arial" w:cs="Arial"/>
          <w:bCs/>
        </w:rPr>
        <w:t xml:space="preserve"> of the </w:t>
      </w:r>
      <w:r w:rsidR="00140044" w:rsidRPr="00D837EA">
        <w:rPr>
          <w:rFonts w:ascii="Arial" w:hAnsi="Arial" w:cs="Arial"/>
          <w:bCs/>
        </w:rPr>
        <w:t>DoD Regulation</w:t>
      </w:r>
      <w:r w:rsidRPr="00D837EA">
        <w:rPr>
          <w:rFonts w:ascii="Arial" w:hAnsi="Arial" w:cs="Arial"/>
          <w:bCs/>
        </w:rPr>
        <w:t xml:space="preserve"> provides that for the purposes of the </w:t>
      </w:r>
      <w:r w:rsidR="00140044" w:rsidRPr="00D837EA">
        <w:rPr>
          <w:rFonts w:ascii="Arial" w:hAnsi="Arial" w:cs="Arial"/>
          <w:bCs/>
        </w:rPr>
        <w:t>DoD Act</w:t>
      </w:r>
      <w:r w:rsidRPr="00D837EA">
        <w:rPr>
          <w:rFonts w:ascii="Arial" w:hAnsi="Arial" w:cs="Arial"/>
          <w:bCs/>
          <w:i/>
          <w:iCs/>
        </w:rPr>
        <w:t xml:space="preserve">, </w:t>
      </w:r>
      <w:r w:rsidRPr="00D837EA">
        <w:rPr>
          <w:rFonts w:ascii="Arial" w:hAnsi="Arial" w:cs="Arial"/>
          <w:bCs/>
        </w:rPr>
        <w:t>a small quantity of a particular drug of dependence or prohibited substance is as set out in column 3 of table 6.1 (drug of dependence) or column 3 of table 6.2 (prohibited substance).</w:t>
      </w:r>
    </w:p>
    <w:p w14:paraId="23EBEBC1" w14:textId="4E0A00D5" w:rsidR="00F7161A" w:rsidRPr="00D837EA" w:rsidRDefault="00F7161A" w:rsidP="003167B6">
      <w:pPr>
        <w:spacing w:before="240"/>
        <w:rPr>
          <w:rFonts w:ascii="Arial" w:hAnsi="Arial" w:cs="Arial"/>
          <w:bCs/>
        </w:rPr>
      </w:pPr>
      <w:r w:rsidRPr="00D837EA">
        <w:rPr>
          <w:rFonts w:ascii="Arial" w:hAnsi="Arial" w:cs="Arial"/>
          <w:bCs/>
        </w:rPr>
        <w:t xml:space="preserve">The small quantities for these drugs (except for lysergide and lysergic acid) are intended to refer to a mixture, reflecting that these drugs are usually mixed with other substances and sold in fairly standard amounts. </w:t>
      </w:r>
      <w:r w:rsidR="007D3D7A" w:rsidRPr="00D837EA">
        <w:rPr>
          <w:rFonts w:ascii="Arial" w:hAnsi="Arial" w:cs="Arial"/>
          <w:bCs/>
        </w:rPr>
        <w:t>However, t</w:t>
      </w:r>
      <w:r w:rsidRPr="00D837EA">
        <w:rPr>
          <w:rFonts w:ascii="Arial" w:hAnsi="Arial" w:cs="Arial"/>
          <w:bCs/>
        </w:rPr>
        <w:t>he small quantities for lysergide and lysergic acid refer to a pure weight of the drug</w:t>
      </w:r>
      <w:r w:rsidR="007D3D7A" w:rsidRPr="00D837EA">
        <w:rPr>
          <w:rFonts w:ascii="Arial" w:hAnsi="Arial" w:cs="Arial"/>
          <w:bCs/>
        </w:rPr>
        <w:t xml:space="preserve">. This is because the mixed weights for these drugs can vary widely depending on the carrier that is used. </w:t>
      </w:r>
    </w:p>
    <w:p w14:paraId="2D80D01F" w14:textId="6F095192" w:rsidR="00E61BE2" w:rsidRPr="00D837EA" w:rsidRDefault="00E61BE2" w:rsidP="003167B6">
      <w:pPr>
        <w:spacing w:before="240"/>
        <w:rPr>
          <w:rFonts w:ascii="Arial" w:hAnsi="Arial" w:cs="Arial"/>
          <w:bCs/>
        </w:rPr>
      </w:pPr>
      <w:r w:rsidRPr="00D837EA">
        <w:rPr>
          <w:rFonts w:ascii="Arial" w:hAnsi="Arial" w:cs="Arial"/>
          <w:bCs/>
        </w:rPr>
        <w:t>New section 6(2) establishes a definition for a discrete dose unit</w:t>
      </w:r>
      <w:r w:rsidR="00AC44DF" w:rsidRPr="00D837EA">
        <w:rPr>
          <w:rFonts w:ascii="Arial" w:hAnsi="Arial" w:cs="Arial"/>
          <w:bCs/>
        </w:rPr>
        <w:t xml:space="preserve"> (DDU). The amendments propose introduction of a DDU for some drugs which are often packaged as a single dose, for example, capsules</w:t>
      </w:r>
      <w:r w:rsidR="000C2845" w:rsidRPr="00D837EA">
        <w:rPr>
          <w:rFonts w:ascii="Arial" w:hAnsi="Arial" w:cs="Arial"/>
          <w:bCs/>
        </w:rPr>
        <w:t xml:space="preserve"> or</w:t>
      </w:r>
      <w:r w:rsidR="00AC44DF" w:rsidRPr="00D837EA">
        <w:rPr>
          <w:rFonts w:ascii="Arial" w:hAnsi="Arial" w:cs="Arial"/>
          <w:bCs/>
        </w:rPr>
        <w:t xml:space="preserve"> tablets. This will facilitate measurement of those drugs.</w:t>
      </w:r>
    </w:p>
    <w:p w14:paraId="6A599092" w14:textId="5E707D5F" w:rsidR="0060702A" w:rsidRPr="00D837EA" w:rsidRDefault="009403A2" w:rsidP="003167B6">
      <w:pPr>
        <w:spacing w:before="240"/>
        <w:rPr>
          <w:rFonts w:ascii="Arial" w:hAnsi="Arial" w:cs="Arial"/>
          <w:bCs/>
        </w:rPr>
      </w:pPr>
      <w:r w:rsidRPr="00D837EA">
        <w:rPr>
          <w:rFonts w:ascii="Arial" w:hAnsi="Arial" w:cs="Arial"/>
          <w:bCs/>
        </w:rPr>
        <w:t>The</w:t>
      </w:r>
      <w:r w:rsidR="00301D73" w:rsidRPr="00D837EA">
        <w:rPr>
          <w:rFonts w:ascii="Arial" w:hAnsi="Arial" w:cs="Arial"/>
          <w:bCs/>
        </w:rPr>
        <w:t xml:space="preserve"> </w:t>
      </w:r>
      <w:r w:rsidRPr="00D837EA">
        <w:rPr>
          <w:rFonts w:ascii="Arial" w:hAnsi="Arial" w:cs="Arial"/>
          <w:bCs/>
        </w:rPr>
        <w:t>proposed list of drugs eligible for the simple drug offence notice and maximum penalty of one penalty unit includes those most commonly used and for which people are most commonly diverted</w:t>
      </w:r>
      <w:r w:rsidR="00653AAD" w:rsidRPr="00D837EA">
        <w:rPr>
          <w:rFonts w:ascii="Arial" w:hAnsi="Arial" w:cs="Arial"/>
          <w:bCs/>
        </w:rPr>
        <w:t xml:space="preserve"> from the criminal justice system.</w:t>
      </w:r>
      <w:r w:rsidR="00140044" w:rsidRPr="00D837EA">
        <w:rPr>
          <w:rFonts w:ascii="Arial" w:hAnsi="Arial" w:cs="Arial"/>
          <w:bCs/>
        </w:rPr>
        <w:t xml:space="preserve"> </w:t>
      </w:r>
      <w:r w:rsidR="0060702A" w:rsidRPr="00D837EA">
        <w:rPr>
          <w:rFonts w:ascii="Arial" w:hAnsi="Arial" w:cs="Arial"/>
          <w:bCs/>
        </w:rPr>
        <w:t>Methadone has been removed from the list proposed by the Private Member’s Bill, as it is regulated as a pharmaceutical drug, unlike the others on the list.</w:t>
      </w:r>
    </w:p>
    <w:p w14:paraId="0F480030" w14:textId="2E19ED22" w:rsidR="00484AD1" w:rsidRPr="00D837EA" w:rsidRDefault="00022D33" w:rsidP="003167B6">
      <w:pPr>
        <w:spacing w:before="240"/>
        <w:rPr>
          <w:rFonts w:ascii="Arial" w:hAnsi="Arial" w:cs="Arial"/>
          <w:bCs/>
        </w:rPr>
      </w:pPr>
      <w:r w:rsidRPr="00D837EA">
        <w:rPr>
          <w:rFonts w:ascii="Arial" w:hAnsi="Arial" w:cs="Arial"/>
          <w:bCs/>
        </w:rPr>
        <w:t xml:space="preserve">The amendments propose changes to the small quantity amounts for </w:t>
      </w:r>
      <w:r w:rsidR="000C2845" w:rsidRPr="00D837EA">
        <w:rPr>
          <w:rFonts w:ascii="Arial" w:hAnsi="Arial" w:cs="Arial"/>
          <w:bCs/>
        </w:rPr>
        <w:t>most</w:t>
      </w:r>
      <w:r w:rsidRPr="00D837EA">
        <w:rPr>
          <w:rFonts w:ascii="Arial" w:hAnsi="Arial" w:cs="Arial"/>
          <w:bCs/>
        </w:rPr>
        <w:t xml:space="preserve"> drugs list</w:t>
      </w:r>
      <w:r w:rsidR="000C440B" w:rsidRPr="00D837EA">
        <w:rPr>
          <w:rFonts w:ascii="Arial" w:hAnsi="Arial" w:cs="Arial"/>
          <w:bCs/>
        </w:rPr>
        <w:t>ed</w:t>
      </w:r>
      <w:r w:rsidR="000C2845" w:rsidRPr="00D837EA">
        <w:rPr>
          <w:rFonts w:ascii="Arial" w:hAnsi="Arial" w:cs="Arial"/>
          <w:bCs/>
        </w:rPr>
        <w:t xml:space="preserve"> </w:t>
      </w:r>
      <w:r w:rsidR="000C440B" w:rsidRPr="00D837EA">
        <w:rPr>
          <w:rFonts w:ascii="Arial" w:hAnsi="Arial" w:cs="Arial"/>
          <w:bCs/>
        </w:rPr>
        <w:t xml:space="preserve">in the Private Member’s </w:t>
      </w:r>
      <w:r w:rsidR="000C2845" w:rsidRPr="00D837EA">
        <w:rPr>
          <w:rFonts w:ascii="Arial" w:hAnsi="Arial" w:cs="Arial"/>
          <w:bCs/>
        </w:rPr>
        <w:t>Bill</w:t>
      </w:r>
      <w:r w:rsidRPr="00D837EA">
        <w:rPr>
          <w:rFonts w:ascii="Arial" w:hAnsi="Arial" w:cs="Arial"/>
          <w:bCs/>
        </w:rPr>
        <w:t>. This is intended to increase consistency across the small quantity amounts for the different drugs</w:t>
      </w:r>
      <w:r w:rsidR="00AC44DF" w:rsidRPr="00D837EA">
        <w:rPr>
          <w:rFonts w:ascii="Arial" w:hAnsi="Arial" w:cs="Arial"/>
          <w:bCs/>
        </w:rPr>
        <w:t>, to facilitate implementation of the reforms,</w:t>
      </w:r>
      <w:r w:rsidRPr="00D837EA">
        <w:rPr>
          <w:rFonts w:ascii="Arial" w:hAnsi="Arial" w:cs="Arial"/>
          <w:bCs/>
        </w:rPr>
        <w:t xml:space="preserve"> and to better reflect evidence on consumption patterns and drug dose amounts.</w:t>
      </w:r>
      <w:r w:rsidR="00484AD1" w:rsidRPr="00D837EA">
        <w:rPr>
          <w:rFonts w:ascii="Arial" w:hAnsi="Arial" w:cs="Arial"/>
          <w:bCs/>
        </w:rPr>
        <w:t xml:space="preserve"> </w:t>
      </w:r>
      <w:r w:rsidR="0030592F" w:rsidRPr="00D837EA">
        <w:rPr>
          <w:rFonts w:ascii="Arial" w:hAnsi="Arial" w:cs="Arial"/>
          <w:bCs/>
        </w:rPr>
        <w:t xml:space="preserve">These changes </w:t>
      </w:r>
      <w:r w:rsidR="00BB4F2D" w:rsidRPr="00D837EA">
        <w:rPr>
          <w:rFonts w:ascii="Arial" w:hAnsi="Arial" w:cs="Arial"/>
          <w:bCs/>
        </w:rPr>
        <w:t>have been informed by drug user self-reported consumption patterns recorded in the ACT and national Illicit Drug Reporting System (IDRS) annual reports, and the corresponding Ecstasy and Related Drugs Reporting System (EDRS) reports</w:t>
      </w:r>
      <w:r w:rsidR="000C2845" w:rsidRPr="00D837EA">
        <w:rPr>
          <w:rFonts w:ascii="Arial" w:hAnsi="Arial" w:cs="Arial"/>
          <w:bCs/>
        </w:rPr>
        <w:t xml:space="preserve"> and evidence provided to the </w:t>
      </w:r>
      <w:r w:rsidR="000C440B" w:rsidRPr="00D837EA">
        <w:rPr>
          <w:rFonts w:ascii="Arial" w:hAnsi="Arial" w:cs="Arial"/>
          <w:bCs/>
        </w:rPr>
        <w:t>Select Committee I</w:t>
      </w:r>
      <w:r w:rsidR="000C2845" w:rsidRPr="00D837EA">
        <w:rPr>
          <w:rFonts w:ascii="Arial" w:hAnsi="Arial" w:cs="Arial"/>
          <w:bCs/>
        </w:rPr>
        <w:t>nquiry</w:t>
      </w:r>
      <w:r w:rsidR="00BB4F2D" w:rsidRPr="00D837EA">
        <w:rPr>
          <w:rFonts w:ascii="Arial" w:hAnsi="Arial" w:cs="Arial"/>
          <w:bCs/>
        </w:rPr>
        <w:t xml:space="preserve">. </w:t>
      </w:r>
      <w:r w:rsidR="0030592F" w:rsidRPr="00D837EA">
        <w:rPr>
          <w:rFonts w:ascii="Arial" w:hAnsi="Arial" w:cs="Arial"/>
          <w:bCs/>
        </w:rPr>
        <w:t xml:space="preserve">The amounts proposed are intended to cover most people who use these drugs for 1-2 sessions or 1-2 days of use in most cases, allowing for varying use patterns. This means that all small quantity limits have been reduced from the personal possession </w:t>
      </w:r>
      <w:r w:rsidR="0030592F" w:rsidRPr="00D837EA">
        <w:rPr>
          <w:rFonts w:ascii="Arial" w:hAnsi="Arial" w:cs="Arial"/>
          <w:bCs/>
        </w:rPr>
        <w:lastRenderedPageBreak/>
        <w:t>limits proposed in the Private Member’s Bill, except MDMA (‘ecstasy’) which has been increased.</w:t>
      </w:r>
    </w:p>
    <w:p w14:paraId="3FBAF2ED" w14:textId="146BCDE0" w:rsidR="00CB471B" w:rsidRPr="009F5DE3" w:rsidRDefault="009403A2" w:rsidP="003167B6">
      <w:pPr>
        <w:spacing w:before="240"/>
        <w:rPr>
          <w:rFonts w:ascii="Arial" w:hAnsi="Arial" w:cs="Arial"/>
          <w:bCs/>
        </w:rPr>
      </w:pPr>
      <w:r w:rsidRPr="00D837EA">
        <w:rPr>
          <w:rFonts w:ascii="Arial" w:hAnsi="Arial" w:cs="Arial"/>
          <w:bCs/>
        </w:rPr>
        <w:t xml:space="preserve">For drugs where it is appropriate to specify a DDU (i.e. MDMA, lysergide and lysergic acid), five DDU has been chosen as this will capture </w:t>
      </w:r>
      <w:r w:rsidR="00C045B8" w:rsidRPr="00D837EA">
        <w:rPr>
          <w:rFonts w:ascii="Arial" w:hAnsi="Arial" w:cs="Arial"/>
          <w:bCs/>
        </w:rPr>
        <w:t xml:space="preserve">the majority of individual drug </w:t>
      </w:r>
      <w:r w:rsidR="00B11B14" w:rsidRPr="00D837EA">
        <w:rPr>
          <w:rFonts w:ascii="Arial" w:hAnsi="Arial" w:cs="Arial"/>
          <w:bCs/>
        </w:rPr>
        <w:t>over 2 days, or longer for use at lower levels</w:t>
      </w:r>
      <w:r w:rsidR="002B2B9B" w:rsidRPr="00D837EA">
        <w:rPr>
          <w:rFonts w:ascii="Arial" w:hAnsi="Arial" w:cs="Arial"/>
          <w:bCs/>
        </w:rPr>
        <w:t xml:space="preserve"> according</w:t>
      </w:r>
      <w:r w:rsidR="00C045B8" w:rsidRPr="00D837EA">
        <w:rPr>
          <w:rFonts w:ascii="Arial" w:hAnsi="Arial" w:cs="Arial"/>
          <w:bCs/>
        </w:rPr>
        <w:t xml:space="preserve"> </w:t>
      </w:r>
      <w:r w:rsidR="002B2B9B" w:rsidRPr="00D837EA">
        <w:rPr>
          <w:rFonts w:ascii="Arial" w:hAnsi="Arial" w:cs="Arial"/>
          <w:bCs/>
        </w:rPr>
        <w:t>to</w:t>
      </w:r>
      <w:r w:rsidRPr="00D837EA">
        <w:rPr>
          <w:rFonts w:ascii="Arial" w:hAnsi="Arial" w:cs="Arial"/>
          <w:bCs/>
        </w:rPr>
        <w:t xml:space="preserve"> us</w:t>
      </w:r>
      <w:r w:rsidR="00B11B14" w:rsidRPr="00D837EA">
        <w:rPr>
          <w:rFonts w:ascii="Arial" w:hAnsi="Arial" w:cs="Arial"/>
          <w:bCs/>
        </w:rPr>
        <w:t>ag</w:t>
      </w:r>
      <w:r w:rsidRPr="00D837EA">
        <w:rPr>
          <w:rFonts w:ascii="Arial" w:hAnsi="Arial" w:cs="Arial"/>
          <w:bCs/>
        </w:rPr>
        <w:t xml:space="preserve">e patterns described in </w:t>
      </w:r>
      <w:r w:rsidR="002B2B9B" w:rsidRPr="00D837EA">
        <w:rPr>
          <w:rFonts w:ascii="Arial" w:hAnsi="Arial" w:cs="Arial"/>
          <w:bCs/>
        </w:rPr>
        <w:t xml:space="preserve">both </w:t>
      </w:r>
      <w:r w:rsidRPr="00D837EA">
        <w:rPr>
          <w:rFonts w:ascii="Arial" w:hAnsi="Arial" w:cs="Arial"/>
          <w:bCs/>
        </w:rPr>
        <w:t>IDRS and EDRS reports</w:t>
      </w:r>
      <w:r w:rsidR="002B2B9B" w:rsidRPr="00D837EA">
        <w:rPr>
          <w:rFonts w:ascii="Arial" w:hAnsi="Arial" w:cs="Arial"/>
          <w:bCs/>
        </w:rPr>
        <w:t xml:space="preserve">, and other research </w:t>
      </w:r>
      <w:r w:rsidR="00C045B8" w:rsidRPr="00D837EA">
        <w:rPr>
          <w:rFonts w:ascii="Arial" w:hAnsi="Arial" w:cs="Arial"/>
          <w:bCs/>
        </w:rPr>
        <w:t xml:space="preserve">conducted </w:t>
      </w:r>
      <w:r w:rsidR="002B2B9B" w:rsidRPr="00D837EA">
        <w:rPr>
          <w:rFonts w:ascii="Arial" w:hAnsi="Arial" w:cs="Arial"/>
          <w:bCs/>
        </w:rPr>
        <w:t>directly with current users</w:t>
      </w:r>
      <w:r w:rsidRPr="00D837EA">
        <w:rPr>
          <w:rFonts w:ascii="Arial" w:hAnsi="Arial" w:cs="Arial"/>
          <w:bCs/>
        </w:rPr>
        <w:t xml:space="preserve">. </w:t>
      </w:r>
      <w:r w:rsidR="00BB4F2D" w:rsidRPr="00D837EA">
        <w:rPr>
          <w:rFonts w:ascii="Arial" w:hAnsi="Arial" w:cs="Arial"/>
          <w:bCs/>
        </w:rPr>
        <w:t xml:space="preserve">Five DDU is intended to equate to the weight specified in grams in column 3 of each of tables 6.1 and 6.2. </w:t>
      </w:r>
      <w:r w:rsidRPr="00D837EA">
        <w:rPr>
          <w:rFonts w:ascii="Arial" w:hAnsi="Arial" w:cs="Arial"/>
          <w:bCs/>
        </w:rPr>
        <w:t>For MDMA both DDU and mixed quantities are proposed as the drug is commonly used in formats that include capsules, tablets, powder and crystals.</w:t>
      </w:r>
    </w:p>
    <w:p w14:paraId="3237991D" w14:textId="596FF5C1" w:rsidR="001B31F7" w:rsidRDefault="001B31F7" w:rsidP="001A321A">
      <w:pPr>
        <w:rPr>
          <w:rFonts w:ascii="Arial" w:hAnsi="Arial" w:cs="Arial"/>
        </w:rPr>
      </w:pPr>
    </w:p>
    <w:sectPr w:rsidR="001B31F7" w:rsidSect="00695C7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80A2" w14:textId="77777777" w:rsidR="00DD5EB6" w:rsidRDefault="00DD5EB6" w:rsidP="0070666D">
      <w:r>
        <w:separator/>
      </w:r>
    </w:p>
  </w:endnote>
  <w:endnote w:type="continuationSeparator" w:id="0">
    <w:p w14:paraId="18ECF249" w14:textId="77777777" w:rsidR="00DD5EB6" w:rsidRDefault="00DD5EB6" w:rsidP="0070666D">
      <w:r>
        <w:continuationSeparator/>
      </w:r>
    </w:p>
  </w:endnote>
  <w:endnote w:type="continuationNotice" w:id="1">
    <w:p w14:paraId="2FB6D7A1" w14:textId="77777777" w:rsidR="00DD5EB6" w:rsidRDefault="00DD5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2D48" w14:textId="77777777" w:rsidR="005541EB" w:rsidRDefault="00554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77661"/>
      <w:docPartObj>
        <w:docPartGallery w:val="Page Numbers (Bottom of Page)"/>
        <w:docPartUnique/>
      </w:docPartObj>
    </w:sdtPr>
    <w:sdtEndPr>
      <w:rPr>
        <w:noProof/>
        <w:sz w:val="14"/>
        <w:szCs w:val="14"/>
      </w:rPr>
    </w:sdtEndPr>
    <w:sdtContent>
      <w:p w14:paraId="457F8B87" w14:textId="77777777" w:rsidR="00950C54" w:rsidRDefault="004E0B9F" w:rsidP="00950C5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AE93B39" w14:textId="77777777" w:rsidR="005541EB" w:rsidRDefault="005541EB" w:rsidP="00950C54">
        <w:pPr>
          <w:pStyle w:val="Footer"/>
          <w:spacing w:before="120"/>
          <w:jc w:val="center"/>
          <w:rPr>
            <w:noProof/>
            <w:sz w:val="14"/>
            <w:szCs w:val="14"/>
          </w:rPr>
        </w:pPr>
      </w:p>
    </w:sdtContent>
  </w:sdt>
  <w:p w14:paraId="3F033B70" w14:textId="5091B2E0" w:rsidR="005C4761" w:rsidRPr="005541EB" w:rsidRDefault="005541EB" w:rsidP="005541EB">
    <w:pPr>
      <w:pStyle w:val="Footer"/>
      <w:spacing w:before="120"/>
      <w:jc w:val="center"/>
      <w:rPr>
        <w:rFonts w:ascii="Arial" w:hAnsi="Arial" w:cs="Arial"/>
        <w:sz w:val="14"/>
        <w:szCs w:val="14"/>
      </w:rPr>
    </w:pPr>
    <w:r w:rsidRPr="005541EB">
      <w:rPr>
        <w:rFonts w:ascii="Arial" w:hAnsi="Arial" w:cs="Arial"/>
        <w:noProof/>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35D9" w14:textId="77777777" w:rsidR="004E0B9F" w:rsidRPr="00695C70" w:rsidRDefault="004E0B9F" w:rsidP="00695C70">
    <w:pPr>
      <w:jc w:val="center"/>
      <w:rPr>
        <w:rFonts w:ascii="Arial" w:hAnsi="Arial" w:cs="Arial"/>
        <w:b/>
        <w:bCs/>
        <w:color w:val="FF0000"/>
      </w:rPr>
    </w:pPr>
    <w:r w:rsidRPr="00695C70">
      <w:rPr>
        <w:rFonts w:ascii="Arial" w:hAnsi="Arial" w:cs="Arial"/>
        <w:b/>
        <w:bCs/>
        <w:color w:val="FF0000"/>
      </w:rPr>
      <w:t>Cabinet in Confidence</w:t>
    </w:r>
  </w:p>
  <w:p w14:paraId="4AC4915C" w14:textId="77777777" w:rsidR="004E0B9F" w:rsidRDefault="004E0B9F">
    <w:pPr>
      <w:pStyle w:val="Footer"/>
    </w:pPr>
  </w:p>
  <w:p w14:paraId="720953DB" w14:textId="77777777" w:rsidR="004E0B9F" w:rsidRDefault="004E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298F" w14:textId="77777777" w:rsidR="00DD5EB6" w:rsidRDefault="00DD5EB6" w:rsidP="0070666D">
      <w:r>
        <w:separator/>
      </w:r>
    </w:p>
  </w:footnote>
  <w:footnote w:type="continuationSeparator" w:id="0">
    <w:p w14:paraId="14DA059C" w14:textId="77777777" w:rsidR="00DD5EB6" w:rsidRDefault="00DD5EB6" w:rsidP="0070666D">
      <w:r>
        <w:continuationSeparator/>
      </w:r>
    </w:p>
  </w:footnote>
  <w:footnote w:type="continuationNotice" w:id="1">
    <w:p w14:paraId="014CB18F" w14:textId="77777777" w:rsidR="00DD5EB6" w:rsidRDefault="00DD5EB6"/>
  </w:footnote>
  <w:footnote w:id="2">
    <w:p w14:paraId="485F77B8" w14:textId="00B8A7C5" w:rsidR="00284401" w:rsidRPr="00470643" w:rsidRDefault="00284401">
      <w:pPr>
        <w:pStyle w:val="FootnoteText"/>
        <w:rPr>
          <w:rFonts w:asciiTheme="minorHAnsi" w:hAnsiTheme="minorHAnsi" w:cstheme="minorHAnsi"/>
        </w:rPr>
      </w:pPr>
      <w:r w:rsidRPr="00470643">
        <w:rPr>
          <w:rStyle w:val="FootnoteReference"/>
          <w:rFonts w:asciiTheme="minorHAnsi" w:hAnsiTheme="minorHAnsi" w:cstheme="minorHAnsi"/>
        </w:rPr>
        <w:footnoteRef/>
      </w:r>
      <w:r w:rsidRPr="00470643">
        <w:rPr>
          <w:rFonts w:asciiTheme="minorHAnsi" w:hAnsiTheme="minorHAnsi" w:cstheme="minorHAnsi"/>
        </w:rPr>
        <w:t xml:space="preserve"> </w:t>
      </w:r>
      <w:r w:rsidR="00D53213" w:rsidRPr="00470643">
        <w:rPr>
          <w:rFonts w:asciiTheme="minorHAnsi" w:hAnsiTheme="minorHAnsi" w:cstheme="minorHAnsi"/>
        </w:rPr>
        <w:t xml:space="preserve">Commonwealth of Australia, Department of Health (2017). </w:t>
      </w:r>
      <w:r w:rsidRPr="00470643">
        <w:rPr>
          <w:rFonts w:asciiTheme="minorHAnsi" w:hAnsiTheme="minorHAnsi" w:cstheme="minorHAnsi"/>
        </w:rPr>
        <w:t>National Drug Strategy 2017-202</w:t>
      </w:r>
      <w:r w:rsidR="00D53213" w:rsidRPr="00470643">
        <w:rPr>
          <w:rFonts w:asciiTheme="minorHAnsi" w:hAnsiTheme="minorHAnsi" w:cstheme="minorHAnsi"/>
        </w:rPr>
        <w:t>6</w:t>
      </w:r>
      <w:r w:rsidR="00CF16D3" w:rsidRPr="00470643">
        <w:rPr>
          <w:rFonts w:asciiTheme="minorHAnsi" w:hAnsiTheme="minorHAnsi" w:cstheme="minorHAnsi"/>
        </w:rPr>
        <w:t>.</w:t>
      </w:r>
    </w:p>
  </w:footnote>
  <w:footnote w:id="3">
    <w:p w14:paraId="1A32E3AC" w14:textId="602D4067" w:rsidR="00625FD1" w:rsidRPr="00470643" w:rsidRDefault="00625FD1">
      <w:pPr>
        <w:pStyle w:val="FootnoteText"/>
        <w:rPr>
          <w:rFonts w:asciiTheme="minorHAnsi" w:hAnsiTheme="minorHAnsi" w:cstheme="minorHAnsi"/>
        </w:rPr>
      </w:pPr>
      <w:r w:rsidRPr="00470643">
        <w:rPr>
          <w:rStyle w:val="FootnoteReference"/>
          <w:rFonts w:asciiTheme="minorHAnsi" w:hAnsiTheme="minorHAnsi" w:cstheme="minorHAnsi"/>
        </w:rPr>
        <w:footnoteRef/>
      </w:r>
      <w:r w:rsidRPr="00470643">
        <w:rPr>
          <w:rFonts w:asciiTheme="minorHAnsi" w:hAnsiTheme="minorHAnsi" w:cstheme="minorHAnsi"/>
        </w:rPr>
        <w:t xml:space="preserve"> Australian Institute of Health and Welfare (2020). Data Tables National Drug Strategy Household Survey 2019 – 8 Priority Population Groups Supplementary Tables</w:t>
      </w:r>
      <w:r w:rsidR="00F907F7" w:rsidRPr="00470643">
        <w:rPr>
          <w:rFonts w:asciiTheme="minorHAnsi" w:hAnsiTheme="minorHAnsi" w:cstheme="minorHAnsi"/>
        </w:rPr>
        <w:t xml:space="preserve">. </w:t>
      </w:r>
      <w:r w:rsidR="00915438" w:rsidRPr="00470643">
        <w:rPr>
          <w:rFonts w:asciiTheme="minorHAnsi" w:hAnsiTheme="minorHAnsi" w:cstheme="minorHAnsi"/>
        </w:rPr>
        <w:t>Table 8.13</w:t>
      </w:r>
      <w:r w:rsidR="00F907F7" w:rsidRPr="00470643">
        <w:rPr>
          <w:rFonts w:asciiTheme="minorHAnsi" w:hAnsiTheme="minorHAnsi" w:cstheme="minorHAnsi"/>
        </w:rPr>
        <w:t xml:space="preserve"> -</w:t>
      </w:r>
      <w:r w:rsidR="00915438" w:rsidRPr="00470643">
        <w:rPr>
          <w:rFonts w:asciiTheme="minorHAnsi" w:hAnsiTheme="minorHAnsi" w:cstheme="minorHAnsi"/>
        </w:rPr>
        <w:t xml:space="preserve"> Use of drugs by employment status, people aged 14 and over, 2010-2019.</w:t>
      </w:r>
    </w:p>
  </w:footnote>
  <w:footnote w:id="4">
    <w:p w14:paraId="62748FA2" w14:textId="4708DF3F" w:rsidR="0094647D" w:rsidRPr="00470643" w:rsidRDefault="0094647D">
      <w:pPr>
        <w:pStyle w:val="FootnoteText"/>
        <w:rPr>
          <w:rFonts w:asciiTheme="minorHAnsi" w:hAnsiTheme="minorHAnsi" w:cstheme="minorHAnsi"/>
        </w:rPr>
      </w:pPr>
      <w:r w:rsidRPr="00470643">
        <w:rPr>
          <w:rStyle w:val="FootnoteReference"/>
          <w:rFonts w:asciiTheme="minorHAnsi" w:hAnsiTheme="minorHAnsi" w:cstheme="minorHAnsi"/>
        </w:rPr>
        <w:footnoteRef/>
      </w:r>
      <w:r w:rsidRPr="00470643">
        <w:rPr>
          <w:rFonts w:asciiTheme="minorHAnsi" w:hAnsiTheme="minorHAnsi" w:cstheme="minorHAnsi"/>
        </w:rPr>
        <w:t xml:space="preserve"> A</w:t>
      </w:r>
      <w:r w:rsidR="00625FD1" w:rsidRPr="00470643">
        <w:rPr>
          <w:rFonts w:asciiTheme="minorHAnsi" w:hAnsiTheme="minorHAnsi" w:cstheme="minorHAnsi"/>
        </w:rPr>
        <w:t>ustralian Institute of Health and Welfare. See Alcohol, tobacco &amp; other drugs in Australia, People who inject drugs - Australian Institute of Health and Welfare (aihw.gov.au)</w:t>
      </w:r>
      <w:r w:rsidR="004A1523" w:rsidRPr="00470643">
        <w:rPr>
          <w:rFonts w:asciiTheme="minorHAnsi" w:hAnsiTheme="minorHAnsi" w:cstheme="minorHAnsi"/>
        </w:rPr>
        <w:t>.</w:t>
      </w:r>
    </w:p>
  </w:footnote>
  <w:footnote w:id="5">
    <w:p w14:paraId="40F103E8" w14:textId="00996DA1" w:rsidR="0094647D" w:rsidRDefault="0094647D">
      <w:pPr>
        <w:pStyle w:val="FootnoteText"/>
        <w:rPr>
          <w:rFonts w:asciiTheme="minorHAnsi" w:hAnsiTheme="minorHAnsi" w:cstheme="minorHAnsi"/>
        </w:rPr>
      </w:pPr>
      <w:r w:rsidRPr="00470643">
        <w:rPr>
          <w:rStyle w:val="FootnoteReference"/>
          <w:rFonts w:asciiTheme="minorHAnsi" w:hAnsiTheme="minorHAnsi" w:cstheme="minorHAnsi"/>
        </w:rPr>
        <w:footnoteRef/>
      </w:r>
      <w:r w:rsidRPr="00470643">
        <w:rPr>
          <w:rFonts w:asciiTheme="minorHAnsi" w:hAnsiTheme="minorHAnsi" w:cstheme="minorHAnsi"/>
        </w:rPr>
        <w:t xml:space="preserve"> Sutherland</w:t>
      </w:r>
      <w:r w:rsidR="00915438" w:rsidRPr="00470643">
        <w:rPr>
          <w:rFonts w:asciiTheme="minorHAnsi" w:hAnsiTheme="minorHAnsi" w:cstheme="minorHAnsi"/>
        </w:rPr>
        <w:t xml:space="preserve"> R, Uporova, J, Chandrasena U, </w:t>
      </w:r>
      <w:r w:rsidRPr="00470643">
        <w:rPr>
          <w:rFonts w:asciiTheme="minorHAnsi" w:hAnsiTheme="minorHAnsi" w:cstheme="minorHAnsi"/>
        </w:rPr>
        <w:t xml:space="preserve"> et al. </w:t>
      </w:r>
      <w:r w:rsidR="00915438" w:rsidRPr="00470643">
        <w:rPr>
          <w:rFonts w:asciiTheme="minorHAnsi" w:hAnsiTheme="minorHAnsi" w:cstheme="minorHAnsi"/>
        </w:rPr>
        <w:t>(</w:t>
      </w:r>
      <w:r w:rsidRPr="00470643">
        <w:rPr>
          <w:rFonts w:asciiTheme="minorHAnsi" w:hAnsiTheme="minorHAnsi" w:cstheme="minorHAnsi"/>
        </w:rPr>
        <w:t>202</w:t>
      </w:r>
      <w:r w:rsidR="00915438" w:rsidRPr="00470643">
        <w:rPr>
          <w:rFonts w:asciiTheme="minorHAnsi" w:hAnsiTheme="minorHAnsi" w:cstheme="minorHAnsi"/>
        </w:rPr>
        <w:t>1)</w:t>
      </w:r>
      <w:r w:rsidR="004A1523" w:rsidRPr="00470643">
        <w:rPr>
          <w:rFonts w:asciiTheme="minorHAnsi" w:hAnsiTheme="minorHAnsi" w:cstheme="minorHAnsi"/>
        </w:rPr>
        <w:t>.</w:t>
      </w:r>
      <w:r w:rsidR="00915438" w:rsidRPr="00470643">
        <w:rPr>
          <w:rFonts w:asciiTheme="minorHAnsi" w:hAnsiTheme="minorHAnsi" w:cstheme="minorHAnsi"/>
        </w:rPr>
        <w:t xml:space="preserve"> Australian Drug Trends 2021: Key findings from the national Illicit Drugs Reporting System (IDRS) interviews. Sydney: National Drug and Alcohol Research Centre, UNSW Sydney.</w:t>
      </w:r>
    </w:p>
    <w:p w14:paraId="190F79DB" w14:textId="77777777" w:rsidR="00470643" w:rsidRDefault="00470643">
      <w:pPr>
        <w:pStyle w:val="FootnoteText"/>
      </w:pPr>
    </w:p>
  </w:footnote>
  <w:footnote w:id="6">
    <w:p w14:paraId="425E3861" w14:textId="01165A6A" w:rsidR="005045E1" w:rsidRPr="008818C2" w:rsidRDefault="005045E1">
      <w:pPr>
        <w:pStyle w:val="FootnoteText"/>
        <w:rPr>
          <w:rFonts w:asciiTheme="minorHAnsi" w:hAnsiTheme="minorHAnsi" w:cstheme="minorHAnsi"/>
        </w:rPr>
      </w:pPr>
      <w:r w:rsidRPr="008818C2">
        <w:rPr>
          <w:rStyle w:val="FootnoteReference"/>
          <w:rFonts w:asciiTheme="minorHAnsi" w:hAnsiTheme="minorHAnsi" w:cstheme="minorHAnsi"/>
        </w:rPr>
        <w:footnoteRef/>
      </w:r>
      <w:r w:rsidRPr="008818C2">
        <w:rPr>
          <w:rFonts w:asciiTheme="minorHAnsi" w:hAnsiTheme="minorHAnsi" w:cstheme="minorHAnsi"/>
        </w:rPr>
        <w:t xml:space="preserve"> </w:t>
      </w:r>
      <w:r w:rsidR="00D53213" w:rsidRPr="002169FD">
        <w:rPr>
          <w:rFonts w:asciiTheme="minorHAnsi" w:hAnsiTheme="minorHAnsi" w:cstheme="minorHAnsi"/>
        </w:rPr>
        <w:t>Commonwealth of Australia</w:t>
      </w:r>
      <w:r w:rsidR="00D53213">
        <w:rPr>
          <w:rFonts w:asciiTheme="minorHAnsi" w:hAnsiTheme="minorHAnsi" w:cstheme="minorHAnsi"/>
        </w:rPr>
        <w:t xml:space="preserve">, </w:t>
      </w:r>
      <w:r w:rsidR="00D53213" w:rsidRPr="002169FD">
        <w:rPr>
          <w:rFonts w:asciiTheme="minorHAnsi" w:hAnsiTheme="minorHAnsi" w:cstheme="minorHAnsi"/>
        </w:rPr>
        <w:t>Department of Health</w:t>
      </w:r>
      <w:r w:rsidR="00D53213">
        <w:rPr>
          <w:rFonts w:asciiTheme="minorHAnsi" w:hAnsiTheme="minorHAnsi" w:cstheme="minorHAnsi"/>
        </w:rPr>
        <w:t xml:space="preserve"> (2017). </w:t>
      </w:r>
      <w:r w:rsidRPr="008818C2">
        <w:rPr>
          <w:rFonts w:asciiTheme="minorHAnsi" w:hAnsiTheme="minorHAnsi" w:cstheme="minorHAnsi"/>
        </w:rPr>
        <w:t>National Drug Strategy 2017-2026.</w:t>
      </w:r>
    </w:p>
  </w:footnote>
  <w:footnote w:id="7">
    <w:p w14:paraId="5C11C4A3" w14:textId="77EE47CA" w:rsidR="00E6113D" w:rsidRPr="00654DD1" w:rsidRDefault="00E6113D">
      <w:pPr>
        <w:pStyle w:val="FootnoteText"/>
        <w:rPr>
          <w:rFonts w:asciiTheme="minorHAnsi" w:hAnsiTheme="minorHAnsi" w:cstheme="minorHAnsi"/>
        </w:rPr>
      </w:pPr>
      <w:r w:rsidRPr="00654DD1">
        <w:rPr>
          <w:rStyle w:val="FootnoteReference"/>
          <w:rFonts w:asciiTheme="minorHAnsi" w:hAnsiTheme="minorHAnsi" w:cstheme="minorHAnsi"/>
        </w:rPr>
        <w:footnoteRef/>
      </w:r>
      <w:r w:rsidRPr="00654DD1">
        <w:rPr>
          <w:rFonts w:asciiTheme="minorHAnsi" w:hAnsiTheme="minorHAnsi" w:cstheme="minorHAnsi"/>
        </w:rPr>
        <w:t xml:space="preserve"> </w:t>
      </w:r>
      <w:r w:rsidR="0052360D">
        <w:rPr>
          <w:rFonts w:asciiTheme="minorHAnsi" w:hAnsiTheme="minorHAnsi" w:cstheme="minorHAnsi"/>
        </w:rPr>
        <w:t>World Health Organization (2017)</w:t>
      </w:r>
      <w:r w:rsidR="000A15F1">
        <w:rPr>
          <w:rFonts w:asciiTheme="minorHAnsi" w:hAnsiTheme="minorHAnsi" w:cstheme="minorHAnsi"/>
        </w:rPr>
        <w:t>.</w:t>
      </w:r>
      <w:r w:rsidR="00F907F7">
        <w:rPr>
          <w:rFonts w:asciiTheme="minorHAnsi" w:hAnsiTheme="minorHAnsi" w:cstheme="minorHAnsi"/>
        </w:rPr>
        <w:t xml:space="preserve"> </w:t>
      </w:r>
      <w:hyperlink r:id="rId1" w:history="1">
        <w:r w:rsidR="0052360D">
          <w:rPr>
            <w:rStyle w:val="Hyperlink"/>
          </w:rPr>
          <w:t>Joint United Nations statement on ending discrimination in health care settings (who.int)</w:t>
        </w:r>
      </w:hyperlink>
    </w:p>
  </w:footnote>
  <w:footnote w:id="8">
    <w:p w14:paraId="416CF040" w14:textId="30647E0F" w:rsidR="00CF527E" w:rsidRPr="00654DD1" w:rsidRDefault="00CF527E">
      <w:pPr>
        <w:pStyle w:val="FootnoteText"/>
        <w:rPr>
          <w:rFonts w:asciiTheme="minorHAnsi" w:hAnsiTheme="minorHAnsi" w:cstheme="minorHAnsi"/>
        </w:rPr>
      </w:pPr>
      <w:r w:rsidRPr="00D2692C">
        <w:rPr>
          <w:rStyle w:val="FootnoteReference"/>
          <w:rFonts w:asciiTheme="minorHAnsi" w:hAnsiTheme="minorHAnsi" w:cstheme="minorHAnsi"/>
        </w:rPr>
        <w:footnoteRef/>
      </w:r>
      <w:r w:rsidRPr="00D2692C">
        <w:rPr>
          <w:rFonts w:asciiTheme="minorHAnsi" w:hAnsiTheme="minorHAnsi" w:cstheme="minorHAnsi"/>
        </w:rPr>
        <w:t xml:space="preserve"> </w:t>
      </w:r>
      <w:r w:rsidRPr="00C96D60">
        <w:rPr>
          <w:rFonts w:asciiTheme="minorHAnsi" w:hAnsiTheme="minorHAnsi" w:cstheme="minorHAnsi"/>
        </w:rPr>
        <w:t xml:space="preserve">Lenton, S and Humeniuk, R and Heale, P </w:t>
      </w:r>
      <w:r w:rsidR="00F907F7" w:rsidRPr="00C96D60">
        <w:rPr>
          <w:rFonts w:asciiTheme="minorHAnsi" w:hAnsiTheme="minorHAnsi" w:cstheme="minorHAnsi"/>
        </w:rPr>
        <w:t>&amp;</w:t>
      </w:r>
      <w:r w:rsidRPr="00C96D60">
        <w:rPr>
          <w:rFonts w:asciiTheme="minorHAnsi" w:hAnsiTheme="minorHAnsi" w:cstheme="minorHAnsi"/>
        </w:rPr>
        <w:t xml:space="preserve"> Christie, P. </w:t>
      </w:r>
      <w:r w:rsidR="00F907F7" w:rsidRPr="00C96D60">
        <w:rPr>
          <w:rFonts w:asciiTheme="minorHAnsi" w:hAnsiTheme="minorHAnsi" w:cstheme="minorHAnsi"/>
        </w:rPr>
        <w:t>(</w:t>
      </w:r>
      <w:r w:rsidRPr="00C96D60">
        <w:rPr>
          <w:rFonts w:asciiTheme="minorHAnsi" w:hAnsiTheme="minorHAnsi" w:cstheme="minorHAnsi"/>
        </w:rPr>
        <w:t>2000</w:t>
      </w:r>
      <w:r w:rsidR="00F907F7" w:rsidRPr="00C96D60">
        <w:rPr>
          <w:rFonts w:asciiTheme="minorHAnsi" w:hAnsiTheme="minorHAnsi" w:cstheme="minorHAnsi"/>
        </w:rPr>
        <w:t>)</w:t>
      </w:r>
      <w:r w:rsidRPr="00C96D60">
        <w:rPr>
          <w:rFonts w:asciiTheme="minorHAnsi" w:hAnsiTheme="minorHAnsi" w:cstheme="minorHAnsi"/>
        </w:rPr>
        <w:t>. Infringement versus conviction: the social impact of a minor cannabis offence in South Australia and Western Australia. Drug and Alcohol Review 19 (3): 257-264.</w:t>
      </w:r>
    </w:p>
  </w:footnote>
  <w:footnote w:id="9">
    <w:p w14:paraId="432565BE" w14:textId="4BCE1DE9" w:rsidR="0052360D" w:rsidRPr="00654DD1" w:rsidRDefault="0052360D">
      <w:pPr>
        <w:pStyle w:val="FootnoteText"/>
        <w:rPr>
          <w:rFonts w:asciiTheme="minorHAnsi" w:hAnsiTheme="minorHAnsi" w:cstheme="minorHAnsi"/>
        </w:rPr>
      </w:pPr>
      <w:r w:rsidRPr="00654DD1">
        <w:rPr>
          <w:rStyle w:val="FootnoteReference"/>
          <w:rFonts w:asciiTheme="minorHAnsi" w:hAnsiTheme="minorHAnsi" w:cstheme="minorHAnsi"/>
        </w:rPr>
        <w:footnoteRef/>
      </w:r>
      <w:r w:rsidRPr="00654DD1">
        <w:rPr>
          <w:rFonts w:asciiTheme="minorHAnsi" w:hAnsiTheme="minorHAnsi" w:cstheme="minorHAnsi"/>
        </w:rPr>
        <w:t xml:space="preserve"> </w:t>
      </w:r>
      <w:r w:rsidR="00FF6405">
        <w:rPr>
          <w:rFonts w:asciiTheme="minorHAnsi" w:hAnsiTheme="minorHAnsi" w:cstheme="minorHAnsi"/>
        </w:rPr>
        <w:t xml:space="preserve">Babor et al. (2018) </w:t>
      </w:r>
      <w:r w:rsidRPr="00654DD1">
        <w:rPr>
          <w:rFonts w:asciiTheme="minorHAnsi" w:hAnsiTheme="minorHAnsi" w:cstheme="minorHAnsi"/>
        </w:rPr>
        <w:t>Drug Policy and the Public Good</w:t>
      </w:r>
      <w:r w:rsidR="00D87F22">
        <w:rPr>
          <w:rFonts w:asciiTheme="minorHAnsi" w:hAnsiTheme="minorHAnsi" w:cstheme="minorHAnsi"/>
        </w:rPr>
        <w:t xml:space="preserve"> (2</w:t>
      </w:r>
      <w:r w:rsidR="00D87F22" w:rsidRPr="00654DD1">
        <w:rPr>
          <w:rFonts w:asciiTheme="minorHAnsi" w:hAnsiTheme="minorHAnsi" w:cstheme="minorHAnsi"/>
          <w:vertAlign w:val="superscript"/>
        </w:rPr>
        <w:t>nd</w:t>
      </w:r>
      <w:r w:rsidR="00D87F22">
        <w:rPr>
          <w:rFonts w:asciiTheme="minorHAnsi" w:hAnsiTheme="minorHAnsi" w:cstheme="minorHAnsi"/>
        </w:rPr>
        <w:t xml:space="preserve"> edition)</w:t>
      </w:r>
      <w:r w:rsidRPr="00654DD1">
        <w:rPr>
          <w:rFonts w:asciiTheme="minorHAnsi" w:hAnsiTheme="minorHAnsi" w:cstheme="minorHAnsi"/>
        </w:rPr>
        <w:t>. Chapter 11, Criminalization and Decriminalization of Drug Possession. Oxford, Oxford University Press</w:t>
      </w:r>
      <w:r w:rsidR="00D87F22">
        <w:rPr>
          <w:rFonts w:asciiTheme="minorHAnsi" w:hAnsiTheme="minorHAnsi" w:cstheme="minorHAnsi"/>
        </w:rPr>
        <w:t>, 2018</w:t>
      </w:r>
      <w:r w:rsidRPr="00654DD1">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8B59" w14:textId="77777777" w:rsidR="005541EB" w:rsidRDefault="00554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E42" w14:textId="563891E6" w:rsidR="0083438F" w:rsidRPr="0083438F" w:rsidRDefault="0083438F" w:rsidP="0083438F">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3A51" w14:textId="495A934A" w:rsidR="004E0B9F" w:rsidRPr="00695C70" w:rsidRDefault="004E0B9F" w:rsidP="00695C70">
    <w:pPr>
      <w:autoSpaceDE w:val="0"/>
      <w:autoSpaceDN w:val="0"/>
      <w:spacing w:after="120"/>
      <w:jc w:val="center"/>
      <w:outlineLvl w:val="0"/>
      <w:rPr>
        <w:rFonts w:ascii="Arial" w:hAnsi="Arial" w:cs="Arial"/>
        <w:b/>
        <w:bCs/>
        <w:color w:val="FF0000"/>
      </w:rPr>
    </w:pPr>
    <w:r w:rsidRPr="00695C70">
      <w:rPr>
        <w:rFonts w:ascii="Arial" w:hAnsi="Arial" w:cs="Arial"/>
        <w:b/>
        <w:bCs/>
        <w:color w:val="FF0000"/>
      </w:rPr>
      <w:t>Cabinet in Confidence</w:t>
    </w:r>
  </w:p>
  <w:p w14:paraId="56853DCB" w14:textId="77777777" w:rsidR="004E0B9F" w:rsidRDefault="004E0B9F">
    <w:pPr>
      <w:pStyle w:val="Header"/>
    </w:pPr>
  </w:p>
  <w:p w14:paraId="50A08510" w14:textId="77777777" w:rsidR="004E0B9F" w:rsidRDefault="004E0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9BA"/>
    <w:multiLevelType w:val="hybridMultilevel"/>
    <w:tmpl w:val="3220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93173"/>
    <w:multiLevelType w:val="hybridMultilevel"/>
    <w:tmpl w:val="7C0C46BA"/>
    <w:lvl w:ilvl="0" w:tplc="0C090001">
      <w:start w:val="1"/>
      <w:numFmt w:val="bullet"/>
      <w:lvlText w:val=""/>
      <w:lvlJc w:val="left"/>
      <w:pPr>
        <w:ind w:left="720" w:hanging="360"/>
      </w:pPr>
      <w:rPr>
        <w:rFonts w:ascii="Symbol" w:hAnsi="Symbol" w:hint="default"/>
      </w:rPr>
    </w:lvl>
    <w:lvl w:ilvl="1" w:tplc="C0E00D2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E7D75"/>
    <w:multiLevelType w:val="hybridMultilevel"/>
    <w:tmpl w:val="7436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974EB"/>
    <w:multiLevelType w:val="hybridMultilevel"/>
    <w:tmpl w:val="6302B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235007"/>
    <w:multiLevelType w:val="multilevel"/>
    <w:tmpl w:val="E5105AE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
      <w:lvlJc w:val="left"/>
      <w:pPr>
        <w:tabs>
          <w:tab w:val="num" w:pos="1620"/>
        </w:tabs>
        <w:ind w:left="162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5" w15:restartNumberingAfterBreak="0">
    <w:nsid w:val="16F27518"/>
    <w:multiLevelType w:val="hybridMultilevel"/>
    <w:tmpl w:val="EA0214A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940553A"/>
    <w:multiLevelType w:val="hybridMultilevel"/>
    <w:tmpl w:val="AFA0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60263"/>
    <w:multiLevelType w:val="hybridMultilevel"/>
    <w:tmpl w:val="61BCF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4123F0"/>
    <w:multiLevelType w:val="hybridMultilevel"/>
    <w:tmpl w:val="D6F86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pStyle w:val="ListParagraph2"/>
      <w:lvlText w:val="%2."/>
      <w:lvlJc w:val="left"/>
      <w:pPr>
        <w:tabs>
          <w:tab w:val="num" w:pos="851"/>
        </w:tabs>
        <w:ind w:left="851" w:hanging="426"/>
      </w:pPr>
      <w:rPr>
        <w:rFonts w:ascii="Calibri" w:hAnsi="Calibri" w:hint="default"/>
        <w:b w:val="0"/>
        <w:i w:val="0"/>
        <w:sz w:val="24"/>
      </w:rPr>
    </w:lvl>
    <w:lvl w:ilvl="2">
      <w:start w:val="1"/>
      <w:numFmt w:val="lowerRoman"/>
      <w:pStyle w:val="ListParagraph3"/>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153A4B"/>
    <w:multiLevelType w:val="hybridMultilevel"/>
    <w:tmpl w:val="E446F4AA"/>
    <w:lvl w:ilvl="0" w:tplc="0C090001">
      <w:start w:val="1"/>
      <w:numFmt w:val="bullet"/>
      <w:lvlText w:val=""/>
      <w:lvlJc w:val="left"/>
      <w:pPr>
        <w:ind w:left="720" w:hanging="360"/>
      </w:pPr>
      <w:rPr>
        <w:rFonts w:ascii="Symbol" w:hAnsi="Symbol" w:hint="default"/>
      </w:rPr>
    </w:lvl>
    <w:lvl w:ilvl="1" w:tplc="AFAA98B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143A0"/>
    <w:multiLevelType w:val="hybridMultilevel"/>
    <w:tmpl w:val="3D50AB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08A76EA"/>
    <w:multiLevelType w:val="hybridMultilevel"/>
    <w:tmpl w:val="95C4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B554EF"/>
    <w:multiLevelType w:val="hybridMultilevel"/>
    <w:tmpl w:val="3FB42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A2848"/>
    <w:multiLevelType w:val="hybridMultilevel"/>
    <w:tmpl w:val="09F09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D42FF"/>
    <w:multiLevelType w:val="hybridMultilevel"/>
    <w:tmpl w:val="D46A846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5B6E8E"/>
    <w:multiLevelType w:val="multilevel"/>
    <w:tmpl w:val="32B4AD0A"/>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1980"/>
        </w:tabs>
        <w:ind w:left="1980" w:hanging="360"/>
      </w:pPr>
      <w:rPr>
        <w:rFonts w:ascii="Arial" w:eastAsia="Times New Roman" w:hAnsi="Arial" w:cs="Arial"/>
      </w:rPr>
    </w:lvl>
    <w:lvl w:ilvl="3">
      <w:start w:val="1"/>
      <w:numFmt w:val="upperLetter"/>
      <w:lvlText w:val="(%4)"/>
      <w:lvlJc w:val="left"/>
      <w:pPr>
        <w:tabs>
          <w:tab w:val="num" w:pos="2340"/>
        </w:tabs>
        <w:ind w:left="2340" w:hanging="360"/>
      </w:pPr>
      <w:rPr>
        <w:rFonts w:cs="Times New Roman"/>
      </w:rPr>
    </w:lvl>
    <w:lvl w:ilvl="4">
      <w:start w:val="1"/>
      <w:numFmt w:val="lowerLetter"/>
      <w:lvlText w:val="(%5)"/>
      <w:lvlJc w:val="left"/>
      <w:pPr>
        <w:tabs>
          <w:tab w:val="num" w:pos="928"/>
        </w:tabs>
        <w:ind w:left="928" w:hanging="360"/>
      </w:pPr>
      <w:rPr>
        <w:rFonts w:cs="Times New Roman"/>
      </w:rPr>
    </w:lvl>
    <w:lvl w:ilvl="5">
      <w:start w:val="1"/>
      <w:numFmt w:val="lowerRoman"/>
      <w:lvlText w:val="(%6)"/>
      <w:lvlJc w:val="left"/>
      <w:pPr>
        <w:tabs>
          <w:tab w:val="num" w:pos="3060"/>
        </w:tabs>
        <w:ind w:left="3060" w:hanging="36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left"/>
      <w:pPr>
        <w:tabs>
          <w:tab w:val="num" w:pos="4140"/>
        </w:tabs>
        <w:ind w:left="4140" w:hanging="360"/>
      </w:pPr>
      <w:rPr>
        <w:rFonts w:cs="Times New Roman"/>
      </w:rPr>
    </w:lvl>
  </w:abstractNum>
  <w:abstractNum w:abstractNumId="17" w15:restartNumberingAfterBreak="0">
    <w:nsid w:val="3925793B"/>
    <w:multiLevelType w:val="hybridMultilevel"/>
    <w:tmpl w:val="519E88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1E826CF"/>
    <w:multiLevelType w:val="multilevel"/>
    <w:tmpl w:val="1B68DC0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26A2B3F"/>
    <w:multiLevelType w:val="hybridMultilevel"/>
    <w:tmpl w:val="95E4B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CE0B88"/>
    <w:multiLevelType w:val="hybridMultilevel"/>
    <w:tmpl w:val="11E6F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ED151E"/>
    <w:multiLevelType w:val="hybridMultilevel"/>
    <w:tmpl w:val="5D38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E1497"/>
    <w:multiLevelType w:val="hybridMultilevel"/>
    <w:tmpl w:val="2BC0DE20"/>
    <w:lvl w:ilvl="0" w:tplc="563EDAAC">
      <w:start w:val="1"/>
      <w:numFmt w:val="bullet"/>
      <w:lvlText w:val=""/>
      <w:lvlJc w:val="left"/>
      <w:pPr>
        <w:ind w:left="3600" w:hanging="360"/>
      </w:pPr>
      <w:rPr>
        <w:rFonts w:ascii="Symbol" w:hAnsi="Symbol" w:hint="default"/>
        <w:color w:val="808080" w:themeColor="background1" w:themeShade="80"/>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3" w15:restartNumberingAfterBreak="0">
    <w:nsid w:val="4B750FDE"/>
    <w:multiLevelType w:val="hybridMultilevel"/>
    <w:tmpl w:val="C99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1F505B"/>
    <w:multiLevelType w:val="hybridMultilevel"/>
    <w:tmpl w:val="5A8AF364"/>
    <w:lvl w:ilvl="0" w:tplc="FFFFFFFF">
      <w:start w:val="1"/>
      <w:numFmt w:val="bullet"/>
      <w:lvlText w:val="o"/>
      <w:lvlJc w:val="left"/>
      <w:pPr>
        <w:tabs>
          <w:tab w:val="num" w:pos="720"/>
        </w:tabs>
        <w:ind w:left="720" w:hanging="360"/>
      </w:pPr>
      <w:rPr>
        <w:rFonts w:ascii="Courier New" w:hAnsi="Courier New"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69A5C3B"/>
    <w:multiLevelType w:val="hybridMultilevel"/>
    <w:tmpl w:val="3A08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E66512"/>
    <w:multiLevelType w:val="hybridMultilevel"/>
    <w:tmpl w:val="72E09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8801E5"/>
    <w:multiLevelType w:val="multilevel"/>
    <w:tmpl w:val="DBC6FC9A"/>
    <w:lvl w:ilvl="0">
      <w:start w:val="1"/>
      <w:numFmt w:val="bullet"/>
      <w:pStyle w:val="Bullet"/>
      <w:lvlText w:val="•"/>
      <w:lvlJc w:val="left"/>
      <w:pPr>
        <w:tabs>
          <w:tab w:val="num" w:pos="567"/>
        </w:tabs>
        <w:ind w:left="567" w:hanging="567"/>
      </w:pPr>
      <w:rPr>
        <w:rFonts w:ascii="Calibri" w:hAnsi="Calibri" w:cs="Times New Roman" w:hint="default"/>
        <w:color w:val="006063"/>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5645F99"/>
    <w:multiLevelType w:val="hybridMultilevel"/>
    <w:tmpl w:val="88DE52D4"/>
    <w:lvl w:ilvl="0" w:tplc="0C090001">
      <w:start w:val="1"/>
      <w:numFmt w:val="bullet"/>
      <w:lvlText w:val=""/>
      <w:lvlJc w:val="left"/>
      <w:pPr>
        <w:tabs>
          <w:tab w:val="num" w:pos="360"/>
        </w:tabs>
        <w:ind w:left="360" w:hanging="360"/>
      </w:pPr>
      <w:rPr>
        <w:rFonts w:ascii="Symbol" w:hAnsi="Symbol" w:hint="default"/>
      </w:rPr>
    </w:lvl>
    <w:lvl w:ilvl="1" w:tplc="EA2E784C" w:tentative="1">
      <w:start w:val="1"/>
      <w:numFmt w:val="bullet"/>
      <w:lvlText w:val="o"/>
      <w:lvlJc w:val="left"/>
      <w:pPr>
        <w:tabs>
          <w:tab w:val="num" w:pos="1080"/>
        </w:tabs>
        <w:ind w:left="1080" w:hanging="360"/>
      </w:pPr>
      <w:rPr>
        <w:rFonts w:ascii="Courier New" w:hAnsi="Courier New" w:hint="default"/>
      </w:rPr>
    </w:lvl>
    <w:lvl w:ilvl="2" w:tplc="58D0B5F4" w:tentative="1">
      <w:start w:val="1"/>
      <w:numFmt w:val="bullet"/>
      <w:lvlText w:val="o"/>
      <w:lvlJc w:val="left"/>
      <w:pPr>
        <w:tabs>
          <w:tab w:val="num" w:pos="1800"/>
        </w:tabs>
        <w:ind w:left="1800" w:hanging="360"/>
      </w:pPr>
      <w:rPr>
        <w:rFonts w:ascii="Courier New" w:hAnsi="Courier New" w:hint="default"/>
      </w:rPr>
    </w:lvl>
    <w:lvl w:ilvl="3" w:tplc="CF18710E" w:tentative="1">
      <w:start w:val="1"/>
      <w:numFmt w:val="bullet"/>
      <w:lvlText w:val="o"/>
      <w:lvlJc w:val="left"/>
      <w:pPr>
        <w:tabs>
          <w:tab w:val="num" w:pos="2520"/>
        </w:tabs>
        <w:ind w:left="2520" w:hanging="360"/>
      </w:pPr>
      <w:rPr>
        <w:rFonts w:ascii="Courier New" w:hAnsi="Courier New" w:hint="default"/>
      </w:rPr>
    </w:lvl>
    <w:lvl w:ilvl="4" w:tplc="C36451EA" w:tentative="1">
      <w:start w:val="1"/>
      <w:numFmt w:val="bullet"/>
      <w:lvlText w:val="o"/>
      <w:lvlJc w:val="left"/>
      <w:pPr>
        <w:tabs>
          <w:tab w:val="num" w:pos="3240"/>
        </w:tabs>
        <w:ind w:left="3240" w:hanging="360"/>
      </w:pPr>
      <w:rPr>
        <w:rFonts w:ascii="Courier New" w:hAnsi="Courier New" w:hint="default"/>
      </w:rPr>
    </w:lvl>
    <w:lvl w:ilvl="5" w:tplc="07489192" w:tentative="1">
      <w:start w:val="1"/>
      <w:numFmt w:val="bullet"/>
      <w:lvlText w:val="o"/>
      <w:lvlJc w:val="left"/>
      <w:pPr>
        <w:tabs>
          <w:tab w:val="num" w:pos="3960"/>
        </w:tabs>
        <w:ind w:left="3960" w:hanging="360"/>
      </w:pPr>
      <w:rPr>
        <w:rFonts w:ascii="Courier New" w:hAnsi="Courier New" w:hint="default"/>
      </w:rPr>
    </w:lvl>
    <w:lvl w:ilvl="6" w:tplc="FF90E414" w:tentative="1">
      <w:start w:val="1"/>
      <w:numFmt w:val="bullet"/>
      <w:lvlText w:val="o"/>
      <w:lvlJc w:val="left"/>
      <w:pPr>
        <w:tabs>
          <w:tab w:val="num" w:pos="4680"/>
        </w:tabs>
        <w:ind w:left="4680" w:hanging="360"/>
      </w:pPr>
      <w:rPr>
        <w:rFonts w:ascii="Courier New" w:hAnsi="Courier New" w:hint="default"/>
      </w:rPr>
    </w:lvl>
    <w:lvl w:ilvl="7" w:tplc="57D8959C" w:tentative="1">
      <w:start w:val="1"/>
      <w:numFmt w:val="bullet"/>
      <w:lvlText w:val="o"/>
      <w:lvlJc w:val="left"/>
      <w:pPr>
        <w:tabs>
          <w:tab w:val="num" w:pos="5400"/>
        </w:tabs>
        <w:ind w:left="5400" w:hanging="360"/>
      </w:pPr>
      <w:rPr>
        <w:rFonts w:ascii="Courier New" w:hAnsi="Courier New" w:hint="default"/>
      </w:rPr>
    </w:lvl>
    <w:lvl w:ilvl="8" w:tplc="136EB214" w:tentative="1">
      <w:start w:val="1"/>
      <w:numFmt w:val="bullet"/>
      <w:lvlText w:val="o"/>
      <w:lvlJc w:val="left"/>
      <w:pPr>
        <w:tabs>
          <w:tab w:val="num" w:pos="6120"/>
        </w:tabs>
        <w:ind w:left="6120" w:hanging="360"/>
      </w:pPr>
      <w:rPr>
        <w:rFonts w:ascii="Courier New" w:hAnsi="Courier New" w:hint="default"/>
      </w:rPr>
    </w:lvl>
  </w:abstractNum>
  <w:abstractNum w:abstractNumId="30" w15:restartNumberingAfterBreak="0">
    <w:nsid w:val="7FE9684D"/>
    <w:multiLevelType w:val="multilevel"/>
    <w:tmpl w:val="0442CF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16cid:durableId="1701012442">
    <w:abstractNumId w:val="25"/>
  </w:num>
  <w:num w:numId="2" w16cid:durableId="1504389991">
    <w:abstractNumId w:val="24"/>
  </w:num>
  <w:num w:numId="3" w16cid:durableId="1596087199">
    <w:abstractNumId w:val="4"/>
  </w:num>
  <w:num w:numId="4" w16cid:durableId="1943487064">
    <w:abstractNumId w:val="29"/>
  </w:num>
  <w:num w:numId="5" w16cid:durableId="1163743515">
    <w:abstractNumId w:val="27"/>
  </w:num>
  <w:num w:numId="6" w16cid:durableId="798305135">
    <w:abstractNumId w:val="15"/>
  </w:num>
  <w:num w:numId="7" w16cid:durableId="2093113879">
    <w:abstractNumId w:val="18"/>
  </w:num>
  <w:num w:numId="8" w16cid:durableId="1461999258">
    <w:abstractNumId w:val="11"/>
  </w:num>
  <w:num w:numId="9" w16cid:durableId="1791632106">
    <w:abstractNumId w:val="20"/>
  </w:num>
  <w:num w:numId="10" w16cid:durableId="89618816">
    <w:abstractNumId w:val="1"/>
  </w:num>
  <w:num w:numId="11" w16cid:durableId="351303476">
    <w:abstractNumId w:val="10"/>
  </w:num>
  <w:num w:numId="12" w16cid:durableId="1042092342">
    <w:abstractNumId w:val="28"/>
  </w:num>
  <w:num w:numId="13" w16cid:durableId="2101676761">
    <w:abstractNumId w:val="0"/>
  </w:num>
  <w:num w:numId="14" w16cid:durableId="1521238272">
    <w:abstractNumId w:val="30"/>
  </w:num>
  <w:num w:numId="15" w16cid:durableId="211581374">
    <w:abstractNumId w:val="26"/>
  </w:num>
  <w:num w:numId="16" w16cid:durableId="1403328794">
    <w:abstractNumId w:val="22"/>
  </w:num>
  <w:num w:numId="17" w16cid:durableId="15915458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4935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0753310">
    <w:abstractNumId w:val="8"/>
  </w:num>
  <w:num w:numId="20" w16cid:durableId="1949851844">
    <w:abstractNumId w:val="13"/>
  </w:num>
  <w:num w:numId="21" w16cid:durableId="1111896095">
    <w:abstractNumId w:val="23"/>
  </w:num>
  <w:num w:numId="22" w16cid:durableId="207113064">
    <w:abstractNumId w:val="21"/>
  </w:num>
  <w:num w:numId="23" w16cid:durableId="1689790597">
    <w:abstractNumId w:val="12"/>
  </w:num>
  <w:num w:numId="24" w16cid:durableId="1963800805">
    <w:abstractNumId w:val="3"/>
  </w:num>
  <w:num w:numId="25" w16cid:durableId="705066208">
    <w:abstractNumId w:val="19"/>
  </w:num>
  <w:num w:numId="26" w16cid:durableId="1500585740">
    <w:abstractNumId w:val="2"/>
  </w:num>
  <w:num w:numId="27" w16cid:durableId="1612855172">
    <w:abstractNumId w:val="14"/>
  </w:num>
  <w:num w:numId="28" w16cid:durableId="1076514168">
    <w:abstractNumId w:val="7"/>
  </w:num>
  <w:num w:numId="29" w16cid:durableId="402028057">
    <w:abstractNumId w:val="6"/>
  </w:num>
  <w:num w:numId="30" w16cid:durableId="1426225821">
    <w:abstractNumId w:val="9"/>
  </w:num>
  <w:num w:numId="31" w16cid:durableId="2066679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6274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E7"/>
    <w:rsid w:val="00000D31"/>
    <w:rsid w:val="00001337"/>
    <w:rsid w:val="0000294E"/>
    <w:rsid w:val="00003E02"/>
    <w:rsid w:val="00005DC6"/>
    <w:rsid w:val="0000756C"/>
    <w:rsid w:val="00011132"/>
    <w:rsid w:val="0001117D"/>
    <w:rsid w:val="00011564"/>
    <w:rsid w:val="000130C6"/>
    <w:rsid w:val="00015221"/>
    <w:rsid w:val="0002189E"/>
    <w:rsid w:val="00021A7E"/>
    <w:rsid w:val="00022209"/>
    <w:rsid w:val="00022D33"/>
    <w:rsid w:val="000237C9"/>
    <w:rsid w:val="000239F1"/>
    <w:rsid w:val="00023C93"/>
    <w:rsid w:val="0002436A"/>
    <w:rsid w:val="00025331"/>
    <w:rsid w:val="00025727"/>
    <w:rsid w:val="00025E25"/>
    <w:rsid w:val="00030680"/>
    <w:rsid w:val="000315EC"/>
    <w:rsid w:val="000325FB"/>
    <w:rsid w:val="00034C96"/>
    <w:rsid w:val="0003532F"/>
    <w:rsid w:val="000355F7"/>
    <w:rsid w:val="00036F3C"/>
    <w:rsid w:val="000405F4"/>
    <w:rsid w:val="0004092E"/>
    <w:rsid w:val="000417E8"/>
    <w:rsid w:val="0004228C"/>
    <w:rsid w:val="00044B07"/>
    <w:rsid w:val="00045D8E"/>
    <w:rsid w:val="00046FA1"/>
    <w:rsid w:val="00047C03"/>
    <w:rsid w:val="00050F82"/>
    <w:rsid w:val="00051EEF"/>
    <w:rsid w:val="0005290C"/>
    <w:rsid w:val="00052A84"/>
    <w:rsid w:val="00053E65"/>
    <w:rsid w:val="00053E73"/>
    <w:rsid w:val="00056A8E"/>
    <w:rsid w:val="000570A2"/>
    <w:rsid w:val="0006202B"/>
    <w:rsid w:val="000622B3"/>
    <w:rsid w:val="0006505B"/>
    <w:rsid w:val="0006550A"/>
    <w:rsid w:val="00066D2F"/>
    <w:rsid w:val="00067582"/>
    <w:rsid w:val="00070F8A"/>
    <w:rsid w:val="00071A0B"/>
    <w:rsid w:val="00071B61"/>
    <w:rsid w:val="00073273"/>
    <w:rsid w:val="00073A1E"/>
    <w:rsid w:val="000755D3"/>
    <w:rsid w:val="00075E81"/>
    <w:rsid w:val="00076B6B"/>
    <w:rsid w:val="000814C0"/>
    <w:rsid w:val="000819B8"/>
    <w:rsid w:val="00081C97"/>
    <w:rsid w:val="00082B1C"/>
    <w:rsid w:val="000830D5"/>
    <w:rsid w:val="00083F93"/>
    <w:rsid w:val="0008410D"/>
    <w:rsid w:val="00084272"/>
    <w:rsid w:val="000855E8"/>
    <w:rsid w:val="000855F1"/>
    <w:rsid w:val="0008651C"/>
    <w:rsid w:val="00086741"/>
    <w:rsid w:val="0008691D"/>
    <w:rsid w:val="00086F7D"/>
    <w:rsid w:val="0008759E"/>
    <w:rsid w:val="000913FB"/>
    <w:rsid w:val="0009472C"/>
    <w:rsid w:val="00096309"/>
    <w:rsid w:val="0009702B"/>
    <w:rsid w:val="000974E7"/>
    <w:rsid w:val="000A15F1"/>
    <w:rsid w:val="000A1A30"/>
    <w:rsid w:val="000A209A"/>
    <w:rsid w:val="000A2CE1"/>
    <w:rsid w:val="000A2D40"/>
    <w:rsid w:val="000A3A2B"/>
    <w:rsid w:val="000A3A2C"/>
    <w:rsid w:val="000A5E08"/>
    <w:rsid w:val="000A6966"/>
    <w:rsid w:val="000A69C1"/>
    <w:rsid w:val="000A74C2"/>
    <w:rsid w:val="000A7732"/>
    <w:rsid w:val="000B1463"/>
    <w:rsid w:val="000B2F0C"/>
    <w:rsid w:val="000B3581"/>
    <w:rsid w:val="000B370A"/>
    <w:rsid w:val="000B3C60"/>
    <w:rsid w:val="000B59DE"/>
    <w:rsid w:val="000B5ED1"/>
    <w:rsid w:val="000B6C0E"/>
    <w:rsid w:val="000B7B4D"/>
    <w:rsid w:val="000C1A87"/>
    <w:rsid w:val="000C2845"/>
    <w:rsid w:val="000C42E8"/>
    <w:rsid w:val="000C440B"/>
    <w:rsid w:val="000C485A"/>
    <w:rsid w:val="000C6957"/>
    <w:rsid w:val="000C6AE7"/>
    <w:rsid w:val="000C7128"/>
    <w:rsid w:val="000C7237"/>
    <w:rsid w:val="000D0C30"/>
    <w:rsid w:val="000D15EF"/>
    <w:rsid w:val="000D19D4"/>
    <w:rsid w:val="000D304D"/>
    <w:rsid w:val="000D45CA"/>
    <w:rsid w:val="000D60D4"/>
    <w:rsid w:val="000D69E0"/>
    <w:rsid w:val="000D6DC4"/>
    <w:rsid w:val="000E266A"/>
    <w:rsid w:val="000E26D2"/>
    <w:rsid w:val="000E4CD6"/>
    <w:rsid w:val="000E7D7C"/>
    <w:rsid w:val="000F136C"/>
    <w:rsid w:val="000F1F7E"/>
    <w:rsid w:val="000F61D5"/>
    <w:rsid w:val="000F6C8E"/>
    <w:rsid w:val="000F7C13"/>
    <w:rsid w:val="0010235D"/>
    <w:rsid w:val="00103378"/>
    <w:rsid w:val="00103D8C"/>
    <w:rsid w:val="00105F12"/>
    <w:rsid w:val="00105F2F"/>
    <w:rsid w:val="00106020"/>
    <w:rsid w:val="00107BBC"/>
    <w:rsid w:val="00110150"/>
    <w:rsid w:val="00110AEE"/>
    <w:rsid w:val="00115C86"/>
    <w:rsid w:val="00116706"/>
    <w:rsid w:val="0012052D"/>
    <w:rsid w:val="001217DE"/>
    <w:rsid w:val="00121C88"/>
    <w:rsid w:val="00121DA1"/>
    <w:rsid w:val="00122B4D"/>
    <w:rsid w:val="00123731"/>
    <w:rsid w:val="001239DB"/>
    <w:rsid w:val="00125078"/>
    <w:rsid w:val="0012762C"/>
    <w:rsid w:val="00127716"/>
    <w:rsid w:val="00127A95"/>
    <w:rsid w:val="00130348"/>
    <w:rsid w:val="00130AAA"/>
    <w:rsid w:val="00133956"/>
    <w:rsid w:val="001347B9"/>
    <w:rsid w:val="001348EA"/>
    <w:rsid w:val="00135475"/>
    <w:rsid w:val="0013547E"/>
    <w:rsid w:val="00137137"/>
    <w:rsid w:val="00140044"/>
    <w:rsid w:val="00141460"/>
    <w:rsid w:val="001416F9"/>
    <w:rsid w:val="00141CC2"/>
    <w:rsid w:val="0014456C"/>
    <w:rsid w:val="0014488D"/>
    <w:rsid w:val="00145576"/>
    <w:rsid w:val="00145A84"/>
    <w:rsid w:val="001501AC"/>
    <w:rsid w:val="00150F30"/>
    <w:rsid w:val="00151843"/>
    <w:rsid w:val="0015194E"/>
    <w:rsid w:val="00151E9A"/>
    <w:rsid w:val="00152696"/>
    <w:rsid w:val="00152B58"/>
    <w:rsid w:val="00153847"/>
    <w:rsid w:val="00154B01"/>
    <w:rsid w:val="00155DD0"/>
    <w:rsid w:val="00155FE9"/>
    <w:rsid w:val="00157501"/>
    <w:rsid w:val="00161205"/>
    <w:rsid w:val="00161AF2"/>
    <w:rsid w:val="00162538"/>
    <w:rsid w:val="0016528C"/>
    <w:rsid w:val="00166135"/>
    <w:rsid w:val="00167AFF"/>
    <w:rsid w:val="00171091"/>
    <w:rsid w:val="001713C4"/>
    <w:rsid w:val="00171899"/>
    <w:rsid w:val="00173C2B"/>
    <w:rsid w:val="00173F47"/>
    <w:rsid w:val="00174699"/>
    <w:rsid w:val="00175863"/>
    <w:rsid w:val="00175C8D"/>
    <w:rsid w:val="00175F8C"/>
    <w:rsid w:val="00176A62"/>
    <w:rsid w:val="00176A68"/>
    <w:rsid w:val="00176A6F"/>
    <w:rsid w:val="00181168"/>
    <w:rsid w:val="001817FF"/>
    <w:rsid w:val="0018182A"/>
    <w:rsid w:val="00182BE3"/>
    <w:rsid w:val="00187658"/>
    <w:rsid w:val="00190015"/>
    <w:rsid w:val="00190502"/>
    <w:rsid w:val="00191F93"/>
    <w:rsid w:val="001924B4"/>
    <w:rsid w:val="00192D7B"/>
    <w:rsid w:val="00195ADB"/>
    <w:rsid w:val="00196C2A"/>
    <w:rsid w:val="001A1F19"/>
    <w:rsid w:val="001A2A33"/>
    <w:rsid w:val="001A2CDB"/>
    <w:rsid w:val="001A321A"/>
    <w:rsid w:val="001A328B"/>
    <w:rsid w:val="001A421F"/>
    <w:rsid w:val="001A46AE"/>
    <w:rsid w:val="001A4C2A"/>
    <w:rsid w:val="001A6626"/>
    <w:rsid w:val="001A6999"/>
    <w:rsid w:val="001B0CFE"/>
    <w:rsid w:val="001B1D12"/>
    <w:rsid w:val="001B31F7"/>
    <w:rsid w:val="001B4B1D"/>
    <w:rsid w:val="001B4F5F"/>
    <w:rsid w:val="001B5746"/>
    <w:rsid w:val="001C0699"/>
    <w:rsid w:val="001C1BC1"/>
    <w:rsid w:val="001C217D"/>
    <w:rsid w:val="001C226C"/>
    <w:rsid w:val="001C27B9"/>
    <w:rsid w:val="001C359D"/>
    <w:rsid w:val="001C3710"/>
    <w:rsid w:val="001C3D8E"/>
    <w:rsid w:val="001C459E"/>
    <w:rsid w:val="001C65D3"/>
    <w:rsid w:val="001C7906"/>
    <w:rsid w:val="001C7DDF"/>
    <w:rsid w:val="001D0553"/>
    <w:rsid w:val="001D0EE7"/>
    <w:rsid w:val="001D1E4E"/>
    <w:rsid w:val="001D27A9"/>
    <w:rsid w:val="001D336C"/>
    <w:rsid w:val="001D5266"/>
    <w:rsid w:val="001D5E12"/>
    <w:rsid w:val="001D7158"/>
    <w:rsid w:val="001E3930"/>
    <w:rsid w:val="001E3B06"/>
    <w:rsid w:val="001E4314"/>
    <w:rsid w:val="001E574C"/>
    <w:rsid w:val="001E5ABB"/>
    <w:rsid w:val="001E6BE2"/>
    <w:rsid w:val="001E72AF"/>
    <w:rsid w:val="001F0901"/>
    <w:rsid w:val="001F26EE"/>
    <w:rsid w:val="001F5211"/>
    <w:rsid w:val="001F65F6"/>
    <w:rsid w:val="00201A20"/>
    <w:rsid w:val="002027BB"/>
    <w:rsid w:val="00204D69"/>
    <w:rsid w:val="002051D5"/>
    <w:rsid w:val="00205C6C"/>
    <w:rsid w:val="00205F36"/>
    <w:rsid w:val="0020619C"/>
    <w:rsid w:val="0020720F"/>
    <w:rsid w:val="002075F5"/>
    <w:rsid w:val="00210183"/>
    <w:rsid w:val="00210833"/>
    <w:rsid w:val="00211E90"/>
    <w:rsid w:val="00212414"/>
    <w:rsid w:val="00215AA4"/>
    <w:rsid w:val="00215D53"/>
    <w:rsid w:val="00216482"/>
    <w:rsid w:val="00216FB2"/>
    <w:rsid w:val="00222CBC"/>
    <w:rsid w:val="002233F2"/>
    <w:rsid w:val="00224C1E"/>
    <w:rsid w:val="00226ACA"/>
    <w:rsid w:val="00231E33"/>
    <w:rsid w:val="00235A55"/>
    <w:rsid w:val="00237274"/>
    <w:rsid w:val="00242BE8"/>
    <w:rsid w:val="00244084"/>
    <w:rsid w:val="0024552B"/>
    <w:rsid w:val="00245CC9"/>
    <w:rsid w:val="00246A0F"/>
    <w:rsid w:val="0025084C"/>
    <w:rsid w:val="00250A50"/>
    <w:rsid w:val="00253275"/>
    <w:rsid w:val="002533B0"/>
    <w:rsid w:val="00253A5C"/>
    <w:rsid w:val="0025430C"/>
    <w:rsid w:val="00255AF5"/>
    <w:rsid w:val="00256521"/>
    <w:rsid w:val="00257C37"/>
    <w:rsid w:val="00260C2B"/>
    <w:rsid w:val="00261C70"/>
    <w:rsid w:val="00262D70"/>
    <w:rsid w:val="0026459F"/>
    <w:rsid w:val="00265130"/>
    <w:rsid w:val="00265472"/>
    <w:rsid w:val="00266B47"/>
    <w:rsid w:val="002678BA"/>
    <w:rsid w:val="0027025D"/>
    <w:rsid w:val="002705D4"/>
    <w:rsid w:val="0027239A"/>
    <w:rsid w:val="002752BF"/>
    <w:rsid w:val="00277825"/>
    <w:rsid w:val="00280742"/>
    <w:rsid w:val="00281D74"/>
    <w:rsid w:val="00282468"/>
    <w:rsid w:val="00282716"/>
    <w:rsid w:val="00282B7C"/>
    <w:rsid w:val="002834BD"/>
    <w:rsid w:val="00283813"/>
    <w:rsid w:val="00284035"/>
    <w:rsid w:val="00284401"/>
    <w:rsid w:val="002848A6"/>
    <w:rsid w:val="0028526B"/>
    <w:rsid w:val="0028646A"/>
    <w:rsid w:val="00286489"/>
    <w:rsid w:val="002867DD"/>
    <w:rsid w:val="00286B1F"/>
    <w:rsid w:val="00287D0A"/>
    <w:rsid w:val="00287D54"/>
    <w:rsid w:val="00290959"/>
    <w:rsid w:val="00290A1C"/>
    <w:rsid w:val="00291AFC"/>
    <w:rsid w:val="00291B7A"/>
    <w:rsid w:val="00291EF6"/>
    <w:rsid w:val="00292051"/>
    <w:rsid w:val="00293200"/>
    <w:rsid w:val="00294C54"/>
    <w:rsid w:val="00295526"/>
    <w:rsid w:val="0029634C"/>
    <w:rsid w:val="00297410"/>
    <w:rsid w:val="00297760"/>
    <w:rsid w:val="002A0B6A"/>
    <w:rsid w:val="002A1049"/>
    <w:rsid w:val="002A1569"/>
    <w:rsid w:val="002A20D9"/>
    <w:rsid w:val="002A238D"/>
    <w:rsid w:val="002A23E3"/>
    <w:rsid w:val="002A3CAE"/>
    <w:rsid w:val="002A3D36"/>
    <w:rsid w:val="002A4037"/>
    <w:rsid w:val="002A47A1"/>
    <w:rsid w:val="002A57FC"/>
    <w:rsid w:val="002A6F70"/>
    <w:rsid w:val="002B2560"/>
    <w:rsid w:val="002B2646"/>
    <w:rsid w:val="002B2B9B"/>
    <w:rsid w:val="002B5B83"/>
    <w:rsid w:val="002B6469"/>
    <w:rsid w:val="002B7CC1"/>
    <w:rsid w:val="002C29B0"/>
    <w:rsid w:val="002C4E26"/>
    <w:rsid w:val="002C73A5"/>
    <w:rsid w:val="002C7D63"/>
    <w:rsid w:val="002C7EAF"/>
    <w:rsid w:val="002D09FC"/>
    <w:rsid w:val="002D1EFD"/>
    <w:rsid w:val="002D3B0E"/>
    <w:rsid w:val="002D51C0"/>
    <w:rsid w:val="002D5AFE"/>
    <w:rsid w:val="002D7F15"/>
    <w:rsid w:val="002E1489"/>
    <w:rsid w:val="002E2885"/>
    <w:rsid w:val="002E2C99"/>
    <w:rsid w:val="002E3FFD"/>
    <w:rsid w:val="002E4A3C"/>
    <w:rsid w:val="002E540C"/>
    <w:rsid w:val="002E59C4"/>
    <w:rsid w:val="002F010F"/>
    <w:rsid w:val="002F0C14"/>
    <w:rsid w:val="002F27A7"/>
    <w:rsid w:val="002F28B5"/>
    <w:rsid w:val="002F3CF3"/>
    <w:rsid w:val="00300BE0"/>
    <w:rsid w:val="00301580"/>
    <w:rsid w:val="00301D73"/>
    <w:rsid w:val="003020BC"/>
    <w:rsid w:val="003028E3"/>
    <w:rsid w:val="00302AFD"/>
    <w:rsid w:val="003030FA"/>
    <w:rsid w:val="003037DB"/>
    <w:rsid w:val="00304139"/>
    <w:rsid w:val="0030592F"/>
    <w:rsid w:val="003068BC"/>
    <w:rsid w:val="00306D27"/>
    <w:rsid w:val="00307FAB"/>
    <w:rsid w:val="00311760"/>
    <w:rsid w:val="00311770"/>
    <w:rsid w:val="00312766"/>
    <w:rsid w:val="00313A05"/>
    <w:rsid w:val="00314FA6"/>
    <w:rsid w:val="00314FE0"/>
    <w:rsid w:val="0031557F"/>
    <w:rsid w:val="00315B49"/>
    <w:rsid w:val="00315C2D"/>
    <w:rsid w:val="003167B6"/>
    <w:rsid w:val="00316ABF"/>
    <w:rsid w:val="0031702D"/>
    <w:rsid w:val="0032094C"/>
    <w:rsid w:val="00321765"/>
    <w:rsid w:val="0032552A"/>
    <w:rsid w:val="00325CDA"/>
    <w:rsid w:val="0032683B"/>
    <w:rsid w:val="003310C8"/>
    <w:rsid w:val="00331BA8"/>
    <w:rsid w:val="0033351E"/>
    <w:rsid w:val="003336D1"/>
    <w:rsid w:val="00333C9B"/>
    <w:rsid w:val="00333FDF"/>
    <w:rsid w:val="00334334"/>
    <w:rsid w:val="003357CD"/>
    <w:rsid w:val="003365B7"/>
    <w:rsid w:val="003370F3"/>
    <w:rsid w:val="003372D6"/>
    <w:rsid w:val="00337915"/>
    <w:rsid w:val="00337B36"/>
    <w:rsid w:val="00340A81"/>
    <w:rsid w:val="00343765"/>
    <w:rsid w:val="0034546B"/>
    <w:rsid w:val="0034614B"/>
    <w:rsid w:val="003469B2"/>
    <w:rsid w:val="00347D6E"/>
    <w:rsid w:val="00351A1C"/>
    <w:rsid w:val="00351FB2"/>
    <w:rsid w:val="00352300"/>
    <w:rsid w:val="00352491"/>
    <w:rsid w:val="00352590"/>
    <w:rsid w:val="00352709"/>
    <w:rsid w:val="00352FCE"/>
    <w:rsid w:val="003532BE"/>
    <w:rsid w:val="00353D82"/>
    <w:rsid w:val="00354EF2"/>
    <w:rsid w:val="00356195"/>
    <w:rsid w:val="0035632C"/>
    <w:rsid w:val="003567A4"/>
    <w:rsid w:val="003574E4"/>
    <w:rsid w:val="0036064D"/>
    <w:rsid w:val="00362818"/>
    <w:rsid w:val="00363483"/>
    <w:rsid w:val="00365FB5"/>
    <w:rsid w:val="0036694F"/>
    <w:rsid w:val="0037224C"/>
    <w:rsid w:val="00373076"/>
    <w:rsid w:val="00373307"/>
    <w:rsid w:val="00374240"/>
    <w:rsid w:val="00375149"/>
    <w:rsid w:val="00375C9B"/>
    <w:rsid w:val="00376001"/>
    <w:rsid w:val="003770DF"/>
    <w:rsid w:val="003824EE"/>
    <w:rsid w:val="00382895"/>
    <w:rsid w:val="00382D05"/>
    <w:rsid w:val="003833C0"/>
    <w:rsid w:val="00383B4A"/>
    <w:rsid w:val="00383C70"/>
    <w:rsid w:val="0038460E"/>
    <w:rsid w:val="00386E21"/>
    <w:rsid w:val="00392CFB"/>
    <w:rsid w:val="00396502"/>
    <w:rsid w:val="003A0D5E"/>
    <w:rsid w:val="003A213D"/>
    <w:rsid w:val="003A2F04"/>
    <w:rsid w:val="003A3677"/>
    <w:rsid w:val="003A4B18"/>
    <w:rsid w:val="003A51BD"/>
    <w:rsid w:val="003A730C"/>
    <w:rsid w:val="003A76CB"/>
    <w:rsid w:val="003A7735"/>
    <w:rsid w:val="003A77E0"/>
    <w:rsid w:val="003A7BEA"/>
    <w:rsid w:val="003B025B"/>
    <w:rsid w:val="003B27C3"/>
    <w:rsid w:val="003B2904"/>
    <w:rsid w:val="003B2964"/>
    <w:rsid w:val="003B2D3D"/>
    <w:rsid w:val="003B5BDF"/>
    <w:rsid w:val="003B68D8"/>
    <w:rsid w:val="003B77D4"/>
    <w:rsid w:val="003B7889"/>
    <w:rsid w:val="003C05AC"/>
    <w:rsid w:val="003C151D"/>
    <w:rsid w:val="003C1AB6"/>
    <w:rsid w:val="003C291A"/>
    <w:rsid w:val="003C2BF0"/>
    <w:rsid w:val="003C4BFA"/>
    <w:rsid w:val="003C7245"/>
    <w:rsid w:val="003D2489"/>
    <w:rsid w:val="003D3A7F"/>
    <w:rsid w:val="003D5315"/>
    <w:rsid w:val="003D53FF"/>
    <w:rsid w:val="003D6232"/>
    <w:rsid w:val="003D6492"/>
    <w:rsid w:val="003D7026"/>
    <w:rsid w:val="003E08BE"/>
    <w:rsid w:val="003E0B97"/>
    <w:rsid w:val="003E24FD"/>
    <w:rsid w:val="003E39DA"/>
    <w:rsid w:val="003E72D1"/>
    <w:rsid w:val="003F14D1"/>
    <w:rsid w:val="003F385F"/>
    <w:rsid w:val="003F43FB"/>
    <w:rsid w:val="003F4B98"/>
    <w:rsid w:val="003F5925"/>
    <w:rsid w:val="003F5AFD"/>
    <w:rsid w:val="004025CB"/>
    <w:rsid w:val="00402A45"/>
    <w:rsid w:val="00403DAB"/>
    <w:rsid w:val="00406942"/>
    <w:rsid w:val="00407A86"/>
    <w:rsid w:val="00410EDC"/>
    <w:rsid w:val="0041155B"/>
    <w:rsid w:val="004129D5"/>
    <w:rsid w:val="00414B6B"/>
    <w:rsid w:val="00415A15"/>
    <w:rsid w:val="004164E3"/>
    <w:rsid w:val="00417986"/>
    <w:rsid w:val="004203C2"/>
    <w:rsid w:val="0042228B"/>
    <w:rsid w:val="004227F9"/>
    <w:rsid w:val="0042320F"/>
    <w:rsid w:val="004233F3"/>
    <w:rsid w:val="00423482"/>
    <w:rsid w:val="00423BF2"/>
    <w:rsid w:val="00424808"/>
    <w:rsid w:val="00424C53"/>
    <w:rsid w:val="00424C6D"/>
    <w:rsid w:val="00425338"/>
    <w:rsid w:val="00426614"/>
    <w:rsid w:val="00427872"/>
    <w:rsid w:val="00427B74"/>
    <w:rsid w:val="00430845"/>
    <w:rsid w:val="00431646"/>
    <w:rsid w:val="0043166D"/>
    <w:rsid w:val="004327CF"/>
    <w:rsid w:val="00433508"/>
    <w:rsid w:val="0043369E"/>
    <w:rsid w:val="004352E0"/>
    <w:rsid w:val="004357AF"/>
    <w:rsid w:val="0043710F"/>
    <w:rsid w:val="004408C7"/>
    <w:rsid w:val="00440970"/>
    <w:rsid w:val="0044321B"/>
    <w:rsid w:val="004456EF"/>
    <w:rsid w:val="0045039D"/>
    <w:rsid w:val="00451075"/>
    <w:rsid w:val="004511F3"/>
    <w:rsid w:val="004518B7"/>
    <w:rsid w:val="00452532"/>
    <w:rsid w:val="00452563"/>
    <w:rsid w:val="00452E56"/>
    <w:rsid w:val="004551D8"/>
    <w:rsid w:val="004579F4"/>
    <w:rsid w:val="00461A76"/>
    <w:rsid w:val="00462816"/>
    <w:rsid w:val="0046332B"/>
    <w:rsid w:val="00463B8A"/>
    <w:rsid w:val="00464424"/>
    <w:rsid w:val="00465412"/>
    <w:rsid w:val="004675F4"/>
    <w:rsid w:val="00467AF4"/>
    <w:rsid w:val="00470121"/>
    <w:rsid w:val="00470643"/>
    <w:rsid w:val="00471873"/>
    <w:rsid w:val="00472BD7"/>
    <w:rsid w:val="00472F88"/>
    <w:rsid w:val="00474851"/>
    <w:rsid w:val="00475C0E"/>
    <w:rsid w:val="00476402"/>
    <w:rsid w:val="00476A05"/>
    <w:rsid w:val="00476B47"/>
    <w:rsid w:val="004802B5"/>
    <w:rsid w:val="0048088A"/>
    <w:rsid w:val="00480BB7"/>
    <w:rsid w:val="0048333C"/>
    <w:rsid w:val="00483D08"/>
    <w:rsid w:val="00484798"/>
    <w:rsid w:val="00484818"/>
    <w:rsid w:val="00484AD1"/>
    <w:rsid w:val="00484F38"/>
    <w:rsid w:val="0048588A"/>
    <w:rsid w:val="00486657"/>
    <w:rsid w:val="00486A78"/>
    <w:rsid w:val="004901AF"/>
    <w:rsid w:val="00493892"/>
    <w:rsid w:val="004942E7"/>
    <w:rsid w:val="00494682"/>
    <w:rsid w:val="004956EA"/>
    <w:rsid w:val="00495B87"/>
    <w:rsid w:val="00495D07"/>
    <w:rsid w:val="004960DC"/>
    <w:rsid w:val="004A1523"/>
    <w:rsid w:val="004A228F"/>
    <w:rsid w:val="004B04B1"/>
    <w:rsid w:val="004B0AAF"/>
    <w:rsid w:val="004B20CD"/>
    <w:rsid w:val="004B52F5"/>
    <w:rsid w:val="004B548E"/>
    <w:rsid w:val="004B5AB7"/>
    <w:rsid w:val="004B743F"/>
    <w:rsid w:val="004C0C67"/>
    <w:rsid w:val="004C318D"/>
    <w:rsid w:val="004C57D2"/>
    <w:rsid w:val="004C5B28"/>
    <w:rsid w:val="004C5E1E"/>
    <w:rsid w:val="004C7656"/>
    <w:rsid w:val="004C7ED5"/>
    <w:rsid w:val="004D08A4"/>
    <w:rsid w:val="004D12CB"/>
    <w:rsid w:val="004D1C04"/>
    <w:rsid w:val="004D220B"/>
    <w:rsid w:val="004D25C5"/>
    <w:rsid w:val="004D3F30"/>
    <w:rsid w:val="004D52EA"/>
    <w:rsid w:val="004D59D1"/>
    <w:rsid w:val="004D6608"/>
    <w:rsid w:val="004D6BD9"/>
    <w:rsid w:val="004D6FA2"/>
    <w:rsid w:val="004D719C"/>
    <w:rsid w:val="004D7345"/>
    <w:rsid w:val="004E0AB4"/>
    <w:rsid w:val="004E0B9F"/>
    <w:rsid w:val="004E0BC8"/>
    <w:rsid w:val="004E1878"/>
    <w:rsid w:val="004E1A37"/>
    <w:rsid w:val="004E32F4"/>
    <w:rsid w:val="004E3813"/>
    <w:rsid w:val="004E3A11"/>
    <w:rsid w:val="004E44F7"/>
    <w:rsid w:val="004E7F22"/>
    <w:rsid w:val="004F11E3"/>
    <w:rsid w:val="004F15F7"/>
    <w:rsid w:val="004F1E9B"/>
    <w:rsid w:val="004F24BC"/>
    <w:rsid w:val="004F2D51"/>
    <w:rsid w:val="004F3BA6"/>
    <w:rsid w:val="004F5978"/>
    <w:rsid w:val="004F5F86"/>
    <w:rsid w:val="00500A33"/>
    <w:rsid w:val="00500C82"/>
    <w:rsid w:val="00500FA8"/>
    <w:rsid w:val="005015CD"/>
    <w:rsid w:val="00501809"/>
    <w:rsid w:val="00501A39"/>
    <w:rsid w:val="00502631"/>
    <w:rsid w:val="005040D6"/>
    <w:rsid w:val="005045E1"/>
    <w:rsid w:val="00504D0C"/>
    <w:rsid w:val="00505078"/>
    <w:rsid w:val="005070C2"/>
    <w:rsid w:val="005116A5"/>
    <w:rsid w:val="005122CF"/>
    <w:rsid w:val="00512AA9"/>
    <w:rsid w:val="00513B50"/>
    <w:rsid w:val="0051414E"/>
    <w:rsid w:val="005152B4"/>
    <w:rsid w:val="005156E4"/>
    <w:rsid w:val="005162D3"/>
    <w:rsid w:val="00520439"/>
    <w:rsid w:val="00520BE7"/>
    <w:rsid w:val="005213FB"/>
    <w:rsid w:val="0052288A"/>
    <w:rsid w:val="00522CE5"/>
    <w:rsid w:val="0052360D"/>
    <w:rsid w:val="00523F5D"/>
    <w:rsid w:val="005242CE"/>
    <w:rsid w:val="005246A8"/>
    <w:rsid w:val="005257D6"/>
    <w:rsid w:val="00525A86"/>
    <w:rsid w:val="0053220B"/>
    <w:rsid w:val="005329E0"/>
    <w:rsid w:val="0053376F"/>
    <w:rsid w:val="0053503B"/>
    <w:rsid w:val="005355EC"/>
    <w:rsid w:val="00536B7B"/>
    <w:rsid w:val="00536D5A"/>
    <w:rsid w:val="00540A74"/>
    <w:rsid w:val="00540AF4"/>
    <w:rsid w:val="00542867"/>
    <w:rsid w:val="00543001"/>
    <w:rsid w:val="005439D1"/>
    <w:rsid w:val="00543BC8"/>
    <w:rsid w:val="00545190"/>
    <w:rsid w:val="005454E3"/>
    <w:rsid w:val="00546370"/>
    <w:rsid w:val="005465BF"/>
    <w:rsid w:val="00550125"/>
    <w:rsid w:val="005503E2"/>
    <w:rsid w:val="005506A8"/>
    <w:rsid w:val="00550ACF"/>
    <w:rsid w:val="005535A5"/>
    <w:rsid w:val="005541EB"/>
    <w:rsid w:val="00555CF5"/>
    <w:rsid w:val="00556FD0"/>
    <w:rsid w:val="00560FCA"/>
    <w:rsid w:val="00561A9F"/>
    <w:rsid w:val="00562287"/>
    <w:rsid w:val="00562550"/>
    <w:rsid w:val="00565364"/>
    <w:rsid w:val="005655E3"/>
    <w:rsid w:val="0056629D"/>
    <w:rsid w:val="005664C7"/>
    <w:rsid w:val="00567A3F"/>
    <w:rsid w:val="00567C7C"/>
    <w:rsid w:val="00571D0F"/>
    <w:rsid w:val="00574529"/>
    <w:rsid w:val="005771CC"/>
    <w:rsid w:val="00580CD8"/>
    <w:rsid w:val="00581E87"/>
    <w:rsid w:val="00584615"/>
    <w:rsid w:val="00584F9E"/>
    <w:rsid w:val="00587EEE"/>
    <w:rsid w:val="0059048A"/>
    <w:rsid w:val="005938BA"/>
    <w:rsid w:val="00593EF5"/>
    <w:rsid w:val="0059501E"/>
    <w:rsid w:val="005954D7"/>
    <w:rsid w:val="00595612"/>
    <w:rsid w:val="005958CC"/>
    <w:rsid w:val="00596709"/>
    <w:rsid w:val="005A1497"/>
    <w:rsid w:val="005A1879"/>
    <w:rsid w:val="005A3057"/>
    <w:rsid w:val="005A410C"/>
    <w:rsid w:val="005A45ED"/>
    <w:rsid w:val="005A55A3"/>
    <w:rsid w:val="005A5DFA"/>
    <w:rsid w:val="005A62E9"/>
    <w:rsid w:val="005A690F"/>
    <w:rsid w:val="005B09EE"/>
    <w:rsid w:val="005B1042"/>
    <w:rsid w:val="005B2B54"/>
    <w:rsid w:val="005B3113"/>
    <w:rsid w:val="005B3CAC"/>
    <w:rsid w:val="005B5878"/>
    <w:rsid w:val="005C0BAA"/>
    <w:rsid w:val="005C0E25"/>
    <w:rsid w:val="005C0E30"/>
    <w:rsid w:val="005C14B9"/>
    <w:rsid w:val="005C201B"/>
    <w:rsid w:val="005C2946"/>
    <w:rsid w:val="005C2C97"/>
    <w:rsid w:val="005C2D63"/>
    <w:rsid w:val="005C30DD"/>
    <w:rsid w:val="005C4761"/>
    <w:rsid w:val="005C5C1A"/>
    <w:rsid w:val="005D28A4"/>
    <w:rsid w:val="005D5E20"/>
    <w:rsid w:val="005D6AAE"/>
    <w:rsid w:val="005D7866"/>
    <w:rsid w:val="005E2B0F"/>
    <w:rsid w:val="005E34EE"/>
    <w:rsid w:val="005E5B5E"/>
    <w:rsid w:val="005E60D8"/>
    <w:rsid w:val="005E679A"/>
    <w:rsid w:val="005E6AA7"/>
    <w:rsid w:val="005F154B"/>
    <w:rsid w:val="005F2CBC"/>
    <w:rsid w:val="005F3413"/>
    <w:rsid w:val="005F4F94"/>
    <w:rsid w:val="005F59E4"/>
    <w:rsid w:val="005F7283"/>
    <w:rsid w:val="005F73FE"/>
    <w:rsid w:val="0060210B"/>
    <w:rsid w:val="00602511"/>
    <w:rsid w:val="00602B97"/>
    <w:rsid w:val="00602CD5"/>
    <w:rsid w:val="00603DA8"/>
    <w:rsid w:val="00604FF9"/>
    <w:rsid w:val="0060513E"/>
    <w:rsid w:val="006058B1"/>
    <w:rsid w:val="0060702A"/>
    <w:rsid w:val="00610111"/>
    <w:rsid w:val="0061283F"/>
    <w:rsid w:val="00613E70"/>
    <w:rsid w:val="0061596D"/>
    <w:rsid w:val="00616920"/>
    <w:rsid w:val="0061748F"/>
    <w:rsid w:val="00620ED0"/>
    <w:rsid w:val="006218B4"/>
    <w:rsid w:val="00621C45"/>
    <w:rsid w:val="00621F7E"/>
    <w:rsid w:val="00622F93"/>
    <w:rsid w:val="00624E01"/>
    <w:rsid w:val="00625FD1"/>
    <w:rsid w:val="0062672A"/>
    <w:rsid w:val="00626B8F"/>
    <w:rsid w:val="006273A2"/>
    <w:rsid w:val="00634D0D"/>
    <w:rsid w:val="00634F03"/>
    <w:rsid w:val="00635700"/>
    <w:rsid w:val="00635717"/>
    <w:rsid w:val="006379DE"/>
    <w:rsid w:val="006405A0"/>
    <w:rsid w:val="006411C4"/>
    <w:rsid w:val="00641C59"/>
    <w:rsid w:val="006432B6"/>
    <w:rsid w:val="006443A5"/>
    <w:rsid w:val="006467A2"/>
    <w:rsid w:val="006525E9"/>
    <w:rsid w:val="00652B45"/>
    <w:rsid w:val="00652F3C"/>
    <w:rsid w:val="00653AAD"/>
    <w:rsid w:val="00653B0C"/>
    <w:rsid w:val="00653DDD"/>
    <w:rsid w:val="006542E3"/>
    <w:rsid w:val="0065436F"/>
    <w:rsid w:val="00654DD1"/>
    <w:rsid w:val="006557AD"/>
    <w:rsid w:val="00655DCF"/>
    <w:rsid w:val="00657BC0"/>
    <w:rsid w:val="006603C3"/>
    <w:rsid w:val="006618AA"/>
    <w:rsid w:val="00661A4F"/>
    <w:rsid w:val="00662825"/>
    <w:rsid w:val="0066401C"/>
    <w:rsid w:val="00664462"/>
    <w:rsid w:val="00664B59"/>
    <w:rsid w:val="00664DD5"/>
    <w:rsid w:val="006652B9"/>
    <w:rsid w:val="0066668F"/>
    <w:rsid w:val="0066723D"/>
    <w:rsid w:val="0067091D"/>
    <w:rsid w:val="0067122B"/>
    <w:rsid w:val="006722A8"/>
    <w:rsid w:val="00672443"/>
    <w:rsid w:val="006729AC"/>
    <w:rsid w:val="00675284"/>
    <w:rsid w:val="00677297"/>
    <w:rsid w:val="0068091F"/>
    <w:rsid w:val="006815D5"/>
    <w:rsid w:val="0068250C"/>
    <w:rsid w:val="006840D8"/>
    <w:rsid w:val="006847B8"/>
    <w:rsid w:val="00686013"/>
    <w:rsid w:val="00694D20"/>
    <w:rsid w:val="006956FA"/>
    <w:rsid w:val="0069582A"/>
    <w:rsid w:val="00695C70"/>
    <w:rsid w:val="00696259"/>
    <w:rsid w:val="006963DE"/>
    <w:rsid w:val="006A0151"/>
    <w:rsid w:val="006A023A"/>
    <w:rsid w:val="006A1AA4"/>
    <w:rsid w:val="006A1DBE"/>
    <w:rsid w:val="006A1F51"/>
    <w:rsid w:val="006A29C4"/>
    <w:rsid w:val="006A2E7C"/>
    <w:rsid w:val="006A3F25"/>
    <w:rsid w:val="006A4674"/>
    <w:rsid w:val="006A4BE6"/>
    <w:rsid w:val="006A54AA"/>
    <w:rsid w:val="006A5C84"/>
    <w:rsid w:val="006A5E9B"/>
    <w:rsid w:val="006A72CD"/>
    <w:rsid w:val="006A7ACF"/>
    <w:rsid w:val="006B1EE1"/>
    <w:rsid w:val="006B6080"/>
    <w:rsid w:val="006B656F"/>
    <w:rsid w:val="006B6F80"/>
    <w:rsid w:val="006B7479"/>
    <w:rsid w:val="006B7DE1"/>
    <w:rsid w:val="006C1ADF"/>
    <w:rsid w:val="006C33C3"/>
    <w:rsid w:val="006C5B79"/>
    <w:rsid w:val="006C6460"/>
    <w:rsid w:val="006C678B"/>
    <w:rsid w:val="006C7794"/>
    <w:rsid w:val="006C7E38"/>
    <w:rsid w:val="006D0914"/>
    <w:rsid w:val="006D0EC7"/>
    <w:rsid w:val="006D4751"/>
    <w:rsid w:val="006D49ED"/>
    <w:rsid w:val="006D5F51"/>
    <w:rsid w:val="006D6954"/>
    <w:rsid w:val="006D7284"/>
    <w:rsid w:val="006D78F2"/>
    <w:rsid w:val="006E0CBD"/>
    <w:rsid w:val="006E0F87"/>
    <w:rsid w:val="006E3084"/>
    <w:rsid w:val="006E41C7"/>
    <w:rsid w:val="006E47D7"/>
    <w:rsid w:val="006F07CF"/>
    <w:rsid w:val="006F19E3"/>
    <w:rsid w:val="006F1BBF"/>
    <w:rsid w:val="006F2DCF"/>
    <w:rsid w:val="006F3F36"/>
    <w:rsid w:val="006F4F7F"/>
    <w:rsid w:val="006F5CCA"/>
    <w:rsid w:val="006F6267"/>
    <w:rsid w:val="006F6C6E"/>
    <w:rsid w:val="006F7B07"/>
    <w:rsid w:val="006F7EEB"/>
    <w:rsid w:val="007000D4"/>
    <w:rsid w:val="00700ADA"/>
    <w:rsid w:val="00700CC5"/>
    <w:rsid w:val="00700DAE"/>
    <w:rsid w:val="00701A78"/>
    <w:rsid w:val="0070428D"/>
    <w:rsid w:val="00706091"/>
    <w:rsid w:val="0070666D"/>
    <w:rsid w:val="00706A32"/>
    <w:rsid w:val="0071016B"/>
    <w:rsid w:val="007101B9"/>
    <w:rsid w:val="00710DF4"/>
    <w:rsid w:val="00711F77"/>
    <w:rsid w:val="00712908"/>
    <w:rsid w:val="00712EB2"/>
    <w:rsid w:val="00715FF2"/>
    <w:rsid w:val="007164AB"/>
    <w:rsid w:val="00722E2D"/>
    <w:rsid w:val="0072434E"/>
    <w:rsid w:val="007250D6"/>
    <w:rsid w:val="00725182"/>
    <w:rsid w:val="00726A57"/>
    <w:rsid w:val="00727A9A"/>
    <w:rsid w:val="007319F3"/>
    <w:rsid w:val="00731A8D"/>
    <w:rsid w:val="00734887"/>
    <w:rsid w:val="0073493A"/>
    <w:rsid w:val="007354E8"/>
    <w:rsid w:val="007354FB"/>
    <w:rsid w:val="007359D9"/>
    <w:rsid w:val="0073685C"/>
    <w:rsid w:val="007409BA"/>
    <w:rsid w:val="007413BF"/>
    <w:rsid w:val="007416D9"/>
    <w:rsid w:val="00741706"/>
    <w:rsid w:val="007417C5"/>
    <w:rsid w:val="00741C76"/>
    <w:rsid w:val="00741D42"/>
    <w:rsid w:val="00742552"/>
    <w:rsid w:val="00742B86"/>
    <w:rsid w:val="007451A6"/>
    <w:rsid w:val="007454EA"/>
    <w:rsid w:val="00745D1F"/>
    <w:rsid w:val="0074762E"/>
    <w:rsid w:val="007479FB"/>
    <w:rsid w:val="00750634"/>
    <w:rsid w:val="00751BDB"/>
    <w:rsid w:val="00755865"/>
    <w:rsid w:val="00756227"/>
    <w:rsid w:val="007565B9"/>
    <w:rsid w:val="007565C8"/>
    <w:rsid w:val="00756E86"/>
    <w:rsid w:val="00760C79"/>
    <w:rsid w:val="00760CC0"/>
    <w:rsid w:val="00761432"/>
    <w:rsid w:val="00761BEC"/>
    <w:rsid w:val="00761CFA"/>
    <w:rsid w:val="0076228D"/>
    <w:rsid w:val="00763C4B"/>
    <w:rsid w:val="007647E5"/>
    <w:rsid w:val="007727F5"/>
    <w:rsid w:val="00773A45"/>
    <w:rsid w:val="00773E5F"/>
    <w:rsid w:val="007740E5"/>
    <w:rsid w:val="00775FF2"/>
    <w:rsid w:val="007761BF"/>
    <w:rsid w:val="007767D7"/>
    <w:rsid w:val="007768D6"/>
    <w:rsid w:val="00777DD0"/>
    <w:rsid w:val="00777ED8"/>
    <w:rsid w:val="00781065"/>
    <w:rsid w:val="0078171C"/>
    <w:rsid w:val="007820FD"/>
    <w:rsid w:val="007826EE"/>
    <w:rsid w:val="007854DA"/>
    <w:rsid w:val="00785B41"/>
    <w:rsid w:val="0079000C"/>
    <w:rsid w:val="00790414"/>
    <w:rsid w:val="00791127"/>
    <w:rsid w:val="007913BA"/>
    <w:rsid w:val="00791648"/>
    <w:rsid w:val="00794D0A"/>
    <w:rsid w:val="007954C3"/>
    <w:rsid w:val="00797E9E"/>
    <w:rsid w:val="007A0F62"/>
    <w:rsid w:val="007A44DB"/>
    <w:rsid w:val="007A4DEB"/>
    <w:rsid w:val="007A70EA"/>
    <w:rsid w:val="007B0C18"/>
    <w:rsid w:val="007B0FFE"/>
    <w:rsid w:val="007B136C"/>
    <w:rsid w:val="007B2E8E"/>
    <w:rsid w:val="007B45F8"/>
    <w:rsid w:val="007B5E7F"/>
    <w:rsid w:val="007C05D2"/>
    <w:rsid w:val="007C25F6"/>
    <w:rsid w:val="007C3C4A"/>
    <w:rsid w:val="007C4C41"/>
    <w:rsid w:val="007C5F77"/>
    <w:rsid w:val="007C719F"/>
    <w:rsid w:val="007D0566"/>
    <w:rsid w:val="007D119C"/>
    <w:rsid w:val="007D13AE"/>
    <w:rsid w:val="007D1FBE"/>
    <w:rsid w:val="007D3CB0"/>
    <w:rsid w:val="007D3D7A"/>
    <w:rsid w:val="007D5CC5"/>
    <w:rsid w:val="007D69FB"/>
    <w:rsid w:val="007D74ED"/>
    <w:rsid w:val="007E008E"/>
    <w:rsid w:val="007E2814"/>
    <w:rsid w:val="007E29D0"/>
    <w:rsid w:val="007E36DC"/>
    <w:rsid w:val="007E3E5D"/>
    <w:rsid w:val="007E44DF"/>
    <w:rsid w:val="007E4BCB"/>
    <w:rsid w:val="007E5B7E"/>
    <w:rsid w:val="007E7274"/>
    <w:rsid w:val="007E727A"/>
    <w:rsid w:val="007F0E16"/>
    <w:rsid w:val="007F2C35"/>
    <w:rsid w:val="007F47C5"/>
    <w:rsid w:val="007F501B"/>
    <w:rsid w:val="007F5433"/>
    <w:rsid w:val="007F57F6"/>
    <w:rsid w:val="0080090B"/>
    <w:rsid w:val="008033C4"/>
    <w:rsid w:val="00804A24"/>
    <w:rsid w:val="00805008"/>
    <w:rsid w:val="00807AC3"/>
    <w:rsid w:val="00811ABF"/>
    <w:rsid w:val="00812613"/>
    <w:rsid w:val="008141B7"/>
    <w:rsid w:val="00820A1A"/>
    <w:rsid w:val="00822BC2"/>
    <w:rsid w:val="00822F7F"/>
    <w:rsid w:val="00823F80"/>
    <w:rsid w:val="0082558F"/>
    <w:rsid w:val="008306F9"/>
    <w:rsid w:val="00832478"/>
    <w:rsid w:val="00832FD0"/>
    <w:rsid w:val="00834042"/>
    <w:rsid w:val="00834116"/>
    <w:rsid w:val="008341EC"/>
    <w:rsid w:val="0083438F"/>
    <w:rsid w:val="00835DF5"/>
    <w:rsid w:val="00837351"/>
    <w:rsid w:val="00840A74"/>
    <w:rsid w:val="00840D39"/>
    <w:rsid w:val="008418D5"/>
    <w:rsid w:val="008430F2"/>
    <w:rsid w:val="008448BC"/>
    <w:rsid w:val="00845082"/>
    <w:rsid w:val="00845358"/>
    <w:rsid w:val="00845613"/>
    <w:rsid w:val="008462C5"/>
    <w:rsid w:val="00847315"/>
    <w:rsid w:val="0084736F"/>
    <w:rsid w:val="0085080B"/>
    <w:rsid w:val="00851427"/>
    <w:rsid w:val="00851C70"/>
    <w:rsid w:val="008533B8"/>
    <w:rsid w:val="0085564A"/>
    <w:rsid w:val="00855956"/>
    <w:rsid w:val="00856B2E"/>
    <w:rsid w:val="0086060D"/>
    <w:rsid w:val="008608E6"/>
    <w:rsid w:val="008609AC"/>
    <w:rsid w:val="00860BE3"/>
    <w:rsid w:val="00862870"/>
    <w:rsid w:val="00862D74"/>
    <w:rsid w:val="00863056"/>
    <w:rsid w:val="008668F5"/>
    <w:rsid w:val="00870316"/>
    <w:rsid w:val="00870C58"/>
    <w:rsid w:val="00872D74"/>
    <w:rsid w:val="0087488F"/>
    <w:rsid w:val="0087493E"/>
    <w:rsid w:val="00874E83"/>
    <w:rsid w:val="008758DE"/>
    <w:rsid w:val="008818C2"/>
    <w:rsid w:val="00884D52"/>
    <w:rsid w:val="00890A09"/>
    <w:rsid w:val="008910E0"/>
    <w:rsid w:val="008912F4"/>
    <w:rsid w:val="008927B1"/>
    <w:rsid w:val="00894032"/>
    <w:rsid w:val="008955CE"/>
    <w:rsid w:val="0089695C"/>
    <w:rsid w:val="00897A4C"/>
    <w:rsid w:val="00897ABC"/>
    <w:rsid w:val="00897CA0"/>
    <w:rsid w:val="008A1F95"/>
    <w:rsid w:val="008A2462"/>
    <w:rsid w:val="008A2ED7"/>
    <w:rsid w:val="008A3533"/>
    <w:rsid w:val="008A4593"/>
    <w:rsid w:val="008A4DAA"/>
    <w:rsid w:val="008A4E02"/>
    <w:rsid w:val="008A5195"/>
    <w:rsid w:val="008A5C3A"/>
    <w:rsid w:val="008A5CEE"/>
    <w:rsid w:val="008A7885"/>
    <w:rsid w:val="008B1321"/>
    <w:rsid w:val="008B1C9E"/>
    <w:rsid w:val="008B2021"/>
    <w:rsid w:val="008B2A0D"/>
    <w:rsid w:val="008B3B20"/>
    <w:rsid w:val="008B61C0"/>
    <w:rsid w:val="008B6296"/>
    <w:rsid w:val="008B6628"/>
    <w:rsid w:val="008B7424"/>
    <w:rsid w:val="008C0149"/>
    <w:rsid w:val="008C141B"/>
    <w:rsid w:val="008C14AF"/>
    <w:rsid w:val="008C39EB"/>
    <w:rsid w:val="008C3C63"/>
    <w:rsid w:val="008C45A1"/>
    <w:rsid w:val="008C5DB9"/>
    <w:rsid w:val="008C62B5"/>
    <w:rsid w:val="008C7025"/>
    <w:rsid w:val="008D14EB"/>
    <w:rsid w:val="008D1524"/>
    <w:rsid w:val="008D2552"/>
    <w:rsid w:val="008D2681"/>
    <w:rsid w:val="008D2A11"/>
    <w:rsid w:val="008D2B17"/>
    <w:rsid w:val="008D3543"/>
    <w:rsid w:val="008E0491"/>
    <w:rsid w:val="008E072C"/>
    <w:rsid w:val="008E1683"/>
    <w:rsid w:val="008E1CC4"/>
    <w:rsid w:val="008E3AD2"/>
    <w:rsid w:val="008E3AFA"/>
    <w:rsid w:val="008E3BA1"/>
    <w:rsid w:val="008E3E86"/>
    <w:rsid w:val="008E53E9"/>
    <w:rsid w:val="008E6E8C"/>
    <w:rsid w:val="008E6FCF"/>
    <w:rsid w:val="008E7331"/>
    <w:rsid w:val="008E7A3A"/>
    <w:rsid w:val="008F0973"/>
    <w:rsid w:val="008F16AD"/>
    <w:rsid w:val="008F1967"/>
    <w:rsid w:val="008F2F97"/>
    <w:rsid w:val="008F47F2"/>
    <w:rsid w:val="008F60F3"/>
    <w:rsid w:val="008F6BF8"/>
    <w:rsid w:val="008F77B9"/>
    <w:rsid w:val="00901B8B"/>
    <w:rsid w:val="0090208B"/>
    <w:rsid w:val="00903DAC"/>
    <w:rsid w:val="00903DC2"/>
    <w:rsid w:val="00903ECA"/>
    <w:rsid w:val="00907F7E"/>
    <w:rsid w:val="00910D97"/>
    <w:rsid w:val="0091122E"/>
    <w:rsid w:val="00915438"/>
    <w:rsid w:val="00915936"/>
    <w:rsid w:val="00916476"/>
    <w:rsid w:val="00916D9B"/>
    <w:rsid w:val="00920053"/>
    <w:rsid w:val="00921C79"/>
    <w:rsid w:val="009223B9"/>
    <w:rsid w:val="00922C01"/>
    <w:rsid w:val="009237AA"/>
    <w:rsid w:val="00925138"/>
    <w:rsid w:val="009257A7"/>
    <w:rsid w:val="009259A2"/>
    <w:rsid w:val="00925CBF"/>
    <w:rsid w:val="009268AF"/>
    <w:rsid w:val="00926948"/>
    <w:rsid w:val="00926AA7"/>
    <w:rsid w:val="00927305"/>
    <w:rsid w:val="009305D8"/>
    <w:rsid w:val="0093133D"/>
    <w:rsid w:val="00931F50"/>
    <w:rsid w:val="009320A2"/>
    <w:rsid w:val="00935811"/>
    <w:rsid w:val="00936382"/>
    <w:rsid w:val="009403A2"/>
    <w:rsid w:val="00940537"/>
    <w:rsid w:val="0094297C"/>
    <w:rsid w:val="00942FB2"/>
    <w:rsid w:val="0094647D"/>
    <w:rsid w:val="009505A8"/>
    <w:rsid w:val="00950C54"/>
    <w:rsid w:val="0095126A"/>
    <w:rsid w:val="009512E0"/>
    <w:rsid w:val="00951F95"/>
    <w:rsid w:val="00952762"/>
    <w:rsid w:val="009557C2"/>
    <w:rsid w:val="009561FE"/>
    <w:rsid w:val="0095625E"/>
    <w:rsid w:val="009652BB"/>
    <w:rsid w:val="009655A4"/>
    <w:rsid w:val="009668A9"/>
    <w:rsid w:val="009668FD"/>
    <w:rsid w:val="009672C3"/>
    <w:rsid w:val="00967B9D"/>
    <w:rsid w:val="009708D4"/>
    <w:rsid w:val="00971D5D"/>
    <w:rsid w:val="0097570E"/>
    <w:rsid w:val="00975DDC"/>
    <w:rsid w:val="0097613D"/>
    <w:rsid w:val="00976285"/>
    <w:rsid w:val="00980FF7"/>
    <w:rsid w:val="00981826"/>
    <w:rsid w:val="00982811"/>
    <w:rsid w:val="00984251"/>
    <w:rsid w:val="00984DFC"/>
    <w:rsid w:val="009851D7"/>
    <w:rsid w:val="009852DE"/>
    <w:rsid w:val="00985D27"/>
    <w:rsid w:val="009905F8"/>
    <w:rsid w:val="00990F41"/>
    <w:rsid w:val="00991069"/>
    <w:rsid w:val="00993600"/>
    <w:rsid w:val="009946AA"/>
    <w:rsid w:val="00995B25"/>
    <w:rsid w:val="00996696"/>
    <w:rsid w:val="009A02AE"/>
    <w:rsid w:val="009A13F5"/>
    <w:rsid w:val="009A4F07"/>
    <w:rsid w:val="009A5083"/>
    <w:rsid w:val="009A6088"/>
    <w:rsid w:val="009A64F8"/>
    <w:rsid w:val="009A6C55"/>
    <w:rsid w:val="009B2C5D"/>
    <w:rsid w:val="009B31F3"/>
    <w:rsid w:val="009B38B6"/>
    <w:rsid w:val="009B666F"/>
    <w:rsid w:val="009B6720"/>
    <w:rsid w:val="009B6976"/>
    <w:rsid w:val="009B6EF6"/>
    <w:rsid w:val="009B73CB"/>
    <w:rsid w:val="009C25E1"/>
    <w:rsid w:val="009C4EEB"/>
    <w:rsid w:val="009C6554"/>
    <w:rsid w:val="009C7BC5"/>
    <w:rsid w:val="009D0175"/>
    <w:rsid w:val="009D11E9"/>
    <w:rsid w:val="009D1C74"/>
    <w:rsid w:val="009D1D16"/>
    <w:rsid w:val="009D4EF6"/>
    <w:rsid w:val="009D67AB"/>
    <w:rsid w:val="009D72B7"/>
    <w:rsid w:val="009D79A0"/>
    <w:rsid w:val="009E1C50"/>
    <w:rsid w:val="009E229F"/>
    <w:rsid w:val="009E4B0E"/>
    <w:rsid w:val="009E55E0"/>
    <w:rsid w:val="009E778E"/>
    <w:rsid w:val="009E7876"/>
    <w:rsid w:val="009F0A6A"/>
    <w:rsid w:val="009F1BA0"/>
    <w:rsid w:val="009F2504"/>
    <w:rsid w:val="009F38A7"/>
    <w:rsid w:val="009F528C"/>
    <w:rsid w:val="009F5684"/>
    <w:rsid w:val="009F5DE3"/>
    <w:rsid w:val="00A022B7"/>
    <w:rsid w:val="00A024B9"/>
    <w:rsid w:val="00A027CA"/>
    <w:rsid w:val="00A02933"/>
    <w:rsid w:val="00A036AF"/>
    <w:rsid w:val="00A10ACE"/>
    <w:rsid w:val="00A11412"/>
    <w:rsid w:val="00A11A21"/>
    <w:rsid w:val="00A1295D"/>
    <w:rsid w:val="00A12987"/>
    <w:rsid w:val="00A15CAD"/>
    <w:rsid w:val="00A15E12"/>
    <w:rsid w:val="00A17328"/>
    <w:rsid w:val="00A17679"/>
    <w:rsid w:val="00A176E0"/>
    <w:rsid w:val="00A1778E"/>
    <w:rsid w:val="00A21C59"/>
    <w:rsid w:val="00A23567"/>
    <w:rsid w:val="00A23743"/>
    <w:rsid w:val="00A23CC8"/>
    <w:rsid w:val="00A24DA7"/>
    <w:rsid w:val="00A2569E"/>
    <w:rsid w:val="00A25DDA"/>
    <w:rsid w:val="00A27833"/>
    <w:rsid w:val="00A27E42"/>
    <w:rsid w:val="00A3080D"/>
    <w:rsid w:val="00A3226C"/>
    <w:rsid w:val="00A32343"/>
    <w:rsid w:val="00A325B1"/>
    <w:rsid w:val="00A34208"/>
    <w:rsid w:val="00A3463F"/>
    <w:rsid w:val="00A34E0B"/>
    <w:rsid w:val="00A35102"/>
    <w:rsid w:val="00A365B2"/>
    <w:rsid w:val="00A40222"/>
    <w:rsid w:val="00A41338"/>
    <w:rsid w:val="00A4281A"/>
    <w:rsid w:val="00A42963"/>
    <w:rsid w:val="00A42A92"/>
    <w:rsid w:val="00A4350B"/>
    <w:rsid w:val="00A4420D"/>
    <w:rsid w:val="00A44E1F"/>
    <w:rsid w:val="00A44ED2"/>
    <w:rsid w:val="00A4599F"/>
    <w:rsid w:val="00A45A49"/>
    <w:rsid w:val="00A46D88"/>
    <w:rsid w:val="00A52B79"/>
    <w:rsid w:val="00A5364A"/>
    <w:rsid w:val="00A53CA1"/>
    <w:rsid w:val="00A53CE2"/>
    <w:rsid w:val="00A54531"/>
    <w:rsid w:val="00A554FF"/>
    <w:rsid w:val="00A562B1"/>
    <w:rsid w:val="00A57F08"/>
    <w:rsid w:val="00A6161B"/>
    <w:rsid w:val="00A62770"/>
    <w:rsid w:val="00A632D0"/>
    <w:rsid w:val="00A63553"/>
    <w:rsid w:val="00A64977"/>
    <w:rsid w:val="00A70D18"/>
    <w:rsid w:val="00A72160"/>
    <w:rsid w:val="00A72CB1"/>
    <w:rsid w:val="00A73308"/>
    <w:rsid w:val="00A77D05"/>
    <w:rsid w:val="00A8195C"/>
    <w:rsid w:val="00A827D4"/>
    <w:rsid w:val="00A85746"/>
    <w:rsid w:val="00A85BF1"/>
    <w:rsid w:val="00A91291"/>
    <w:rsid w:val="00A91B88"/>
    <w:rsid w:val="00A92CB4"/>
    <w:rsid w:val="00A92ECD"/>
    <w:rsid w:val="00A9316B"/>
    <w:rsid w:val="00A9381F"/>
    <w:rsid w:val="00A939B1"/>
    <w:rsid w:val="00A93CFD"/>
    <w:rsid w:val="00A943DD"/>
    <w:rsid w:val="00A95082"/>
    <w:rsid w:val="00A950A2"/>
    <w:rsid w:val="00A958D8"/>
    <w:rsid w:val="00A974A2"/>
    <w:rsid w:val="00A97A09"/>
    <w:rsid w:val="00AA2018"/>
    <w:rsid w:val="00AA223A"/>
    <w:rsid w:val="00AA4314"/>
    <w:rsid w:val="00AA5FC1"/>
    <w:rsid w:val="00AA644E"/>
    <w:rsid w:val="00AA6788"/>
    <w:rsid w:val="00AB0360"/>
    <w:rsid w:val="00AB037D"/>
    <w:rsid w:val="00AB0461"/>
    <w:rsid w:val="00AB1724"/>
    <w:rsid w:val="00AB1EA7"/>
    <w:rsid w:val="00AB28DC"/>
    <w:rsid w:val="00AB2FA6"/>
    <w:rsid w:val="00AB3F3F"/>
    <w:rsid w:val="00AB713A"/>
    <w:rsid w:val="00AC040F"/>
    <w:rsid w:val="00AC10F5"/>
    <w:rsid w:val="00AC1513"/>
    <w:rsid w:val="00AC1C01"/>
    <w:rsid w:val="00AC1FBD"/>
    <w:rsid w:val="00AC3478"/>
    <w:rsid w:val="00AC44DF"/>
    <w:rsid w:val="00AC4E6D"/>
    <w:rsid w:val="00AC547E"/>
    <w:rsid w:val="00AC6E47"/>
    <w:rsid w:val="00AC75B8"/>
    <w:rsid w:val="00AD0D15"/>
    <w:rsid w:val="00AD2AC0"/>
    <w:rsid w:val="00AD342D"/>
    <w:rsid w:val="00AD6D5C"/>
    <w:rsid w:val="00AD6D6B"/>
    <w:rsid w:val="00AE18A7"/>
    <w:rsid w:val="00AE4E8D"/>
    <w:rsid w:val="00AE53F3"/>
    <w:rsid w:val="00AE7C7F"/>
    <w:rsid w:val="00AF046C"/>
    <w:rsid w:val="00AF15CE"/>
    <w:rsid w:val="00AF22DC"/>
    <w:rsid w:val="00AF4A44"/>
    <w:rsid w:val="00AF56F3"/>
    <w:rsid w:val="00AF718B"/>
    <w:rsid w:val="00AF7A00"/>
    <w:rsid w:val="00B01B1B"/>
    <w:rsid w:val="00B02030"/>
    <w:rsid w:val="00B0429C"/>
    <w:rsid w:val="00B05013"/>
    <w:rsid w:val="00B10A44"/>
    <w:rsid w:val="00B111ED"/>
    <w:rsid w:val="00B11B14"/>
    <w:rsid w:val="00B13E35"/>
    <w:rsid w:val="00B14129"/>
    <w:rsid w:val="00B1519B"/>
    <w:rsid w:val="00B161E9"/>
    <w:rsid w:val="00B16A75"/>
    <w:rsid w:val="00B16A90"/>
    <w:rsid w:val="00B16D71"/>
    <w:rsid w:val="00B178D1"/>
    <w:rsid w:val="00B20A05"/>
    <w:rsid w:val="00B211F4"/>
    <w:rsid w:val="00B21BD9"/>
    <w:rsid w:val="00B235B3"/>
    <w:rsid w:val="00B23C69"/>
    <w:rsid w:val="00B24F7B"/>
    <w:rsid w:val="00B2566B"/>
    <w:rsid w:val="00B25B7C"/>
    <w:rsid w:val="00B273A5"/>
    <w:rsid w:val="00B2771B"/>
    <w:rsid w:val="00B301AE"/>
    <w:rsid w:val="00B30890"/>
    <w:rsid w:val="00B31487"/>
    <w:rsid w:val="00B332A6"/>
    <w:rsid w:val="00B34CD0"/>
    <w:rsid w:val="00B36208"/>
    <w:rsid w:val="00B36692"/>
    <w:rsid w:val="00B367A0"/>
    <w:rsid w:val="00B37386"/>
    <w:rsid w:val="00B4096F"/>
    <w:rsid w:val="00B426CA"/>
    <w:rsid w:val="00B42E50"/>
    <w:rsid w:val="00B4377B"/>
    <w:rsid w:val="00B44EAB"/>
    <w:rsid w:val="00B53BA0"/>
    <w:rsid w:val="00B545AC"/>
    <w:rsid w:val="00B56E4E"/>
    <w:rsid w:val="00B60D52"/>
    <w:rsid w:val="00B60EDD"/>
    <w:rsid w:val="00B6137C"/>
    <w:rsid w:val="00B61554"/>
    <w:rsid w:val="00B62D96"/>
    <w:rsid w:val="00B63CA4"/>
    <w:rsid w:val="00B63DDE"/>
    <w:rsid w:val="00B6434B"/>
    <w:rsid w:val="00B64752"/>
    <w:rsid w:val="00B6733F"/>
    <w:rsid w:val="00B677EC"/>
    <w:rsid w:val="00B70693"/>
    <w:rsid w:val="00B71753"/>
    <w:rsid w:val="00B71EE2"/>
    <w:rsid w:val="00B731CD"/>
    <w:rsid w:val="00B742D6"/>
    <w:rsid w:val="00B746DC"/>
    <w:rsid w:val="00B74984"/>
    <w:rsid w:val="00B74BE7"/>
    <w:rsid w:val="00B74E7D"/>
    <w:rsid w:val="00B755A6"/>
    <w:rsid w:val="00B75EAF"/>
    <w:rsid w:val="00B7786E"/>
    <w:rsid w:val="00B77F0A"/>
    <w:rsid w:val="00B80329"/>
    <w:rsid w:val="00B8086F"/>
    <w:rsid w:val="00B814BE"/>
    <w:rsid w:val="00B820AA"/>
    <w:rsid w:val="00B83AD9"/>
    <w:rsid w:val="00B858D4"/>
    <w:rsid w:val="00B85C09"/>
    <w:rsid w:val="00B85FD7"/>
    <w:rsid w:val="00B86406"/>
    <w:rsid w:val="00B86BA6"/>
    <w:rsid w:val="00B9017D"/>
    <w:rsid w:val="00B92E9A"/>
    <w:rsid w:val="00BA08B2"/>
    <w:rsid w:val="00BA1A68"/>
    <w:rsid w:val="00BA34EA"/>
    <w:rsid w:val="00BA36DE"/>
    <w:rsid w:val="00BA3DF0"/>
    <w:rsid w:val="00BA5253"/>
    <w:rsid w:val="00BA5D91"/>
    <w:rsid w:val="00BA6B1E"/>
    <w:rsid w:val="00BB177A"/>
    <w:rsid w:val="00BB1CA9"/>
    <w:rsid w:val="00BB3FA9"/>
    <w:rsid w:val="00BB4F2D"/>
    <w:rsid w:val="00BB5436"/>
    <w:rsid w:val="00BB73EA"/>
    <w:rsid w:val="00BB75D1"/>
    <w:rsid w:val="00BB78F6"/>
    <w:rsid w:val="00BB7F4F"/>
    <w:rsid w:val="00BC38D2"/>
    <w:rsid w:val="00BC3B7E"/>
    <w:rsid w:val="00BC3E8B"/>
    <w:rsid w:val="00BC475F"/>
    <w:rsid w:val="00BC4E72"/>
    <w:rsid w:val="00BD045E"/>
    <w:rsid w:val="00BD325A"/>
    <w:rsid w:val="00BD43AC"/>
    <w:rsid w:val="00BD4B34"/>
    <w:rsid w:val="00BD6FAC"/>
    <w:rsid w:val="00BD72AE"/>
    <w:rsid w:val="00BE0466"/>
    <w:rsid w:val="00BE0835"/>
    <w:rsid w:val="00BE1642"/>
    <w:rsid w:val="00BE37E5"/>
    <w:rsid w:val="00BE4008"/>
    <w:rsid w:val="00BE4F50"/>
    <w:rsid w:val="00BE6179"/>
    <w:rsid w:val="00BE6E81"/>
    <w:rsid w:val="00BF0482"/>
    <w:rsid w:val="00BF06CB"/>
    <w:rsid w:val="00BF1503"/>
    <w:rsid w:val="00BF17B7"/>
    <w:rsid w:val="00BF30EE"/>
    <w:rsid w:val="00BF33A6"/>
    <w:rsid w:val="00BF3D24"/>
    <w:rsid w:val="00C00509"/>
    <w:rsid w:val="00C00B98"/>
    <w:rsid w:val="00C0324B"/>
    <w:rsid w:val="00C03832"/>
    <w:rsid w:val="00C045B8"/>
    <w:rsid w:val="00C0604D"/>
    <w:rsid w:val="00C060F5"/>
    <w:rsid w:val="00C06CDC"/>
    <w:rsid w:val="00C06FE7"/>
    <w:rsid w:val="00C117A9"/>
    <w:rsid w:val="00C13323"/>
    <w:rsid w:val="00C15119"/>
    <w:rsid w:val="00C164F0"/>
    <w:rsid w:val="00C16AC8"/>
    <w:rsid w:val="00C250E4"/>
    <w:rsid w:val="00C27AD9"/>
    <w:rsid w:val="00C27D51"/>
    <w:rsid w:val="00C32224"/>
    <w:rsid w:val="00C334EF"/>
    <w:rsid w:val="00C336B4"/>
    <w:rsid w:val="00C33787"/>
    <w:rsid w:val="00C34B02"/>
    <w:rsid w:val="00C34F6E"/>
    <w:rsid w:val="00C35687"/>
    <w:rsid w:val="00C35E44"/>
    <w:rsid w:val="00C3612F"/>
    <w:rsid w:val="00C3692F"/>
    <w:rsid w:val="00C376C7"/>
    <w:rsid w:val="00C37828"/>
    <w:rsid w:val="00C40F03"/>
    <w:rsid w:val="00C40FF0"/>
    <w:rsid w:val="00C436E0"/>
    <w:rsid w:val="00C44A81"/>
    <w:rsid w:val="00C45766"/>
    <w:rsid w:val="00C509D5"/>
    <w:rsid w:val="00C51A6D"/>
    <w:rsid w:val="00C5369B"/>
    <w:rsid w:val="00C544B6"/>
    <w:rsid w:val="00C54BA2"/>
    <w:rsid w:val="00C55C1D"/>
    <w:rsid w:val="00C5639E"/>
    <w:rsid w:val="00C57A59"/>
    <w:rsid w:val="00C57AFD"/>
    <w:rsid w:val="00C60526"/>
    <w:rsid w:val="00C61706"/>
    <w:rsid w:val="00C619FB"/>
    <w:rsid w:val="00C6204F"/>
    <w:rsid w:val="00C62329"/>
    <w:rsid w:val="00C62D81"/>
    <w:rsid w:val="00C62ECC"/>
    <w:rsid w:val="00C66148"/>
    <w:rsid w:val="00C665E3"/>
    <w:rsid w:val="00C668AD"/>
    <w:rsid w:val="00C67690"/>
    <w:rsid w:val="00C70D45"/>
    <w:rsid w:val="00C724A3"/>
    <w:rsid w:val="00C72F57"/>
    <w:rsid w:val="00C734A8"/>
    <w:rsid w:val="00C7452C"/>
    <w:rsid w:val="00C75FA0"/>
    <w:rsid w:val="00C77634"/>
    <w:rsid w:val="00C77ACC"/>
    <w:rsid w:val="00C80340"/>
    <w:rsid w:val="00C80764"/>
    <w:rsid w:val="00C8095B"/>
    <w:rsid w:val="00C817ED"/>
    <w:rsid w:val="00C81B5B"/>
    <w:rsid w:val="00C81C03"/>
    <w:rsid w:val="00C81DB6"/>
    <w:rsid w:val="00C81F4C"/>
    <w:rsid w:val="00C83160"/>
    <w:rsid w:val="00C842D4"/>
    <w:rsid w:val="00C849E9"/>
    <w:rsid w:val="00C877D5"/>
    <w:rsid w:val="00C87E95"/>
    <w:rsid w:val="00C9077F"/>
    <w:rsid w:val="00C90A86"/>
    <w:rsid w:val="00C919A7"/>
    <w:rsid w:val="00C9385F"/>
    <w:rsid w:val="00C94B98"/>
    <w:rsid w:val="00C95468"/>
    <w:rsid w:val="00C96D60"/>
    <w:rsid w:val="00C96F51"/>
    <w:rsid w:val="00C9799A"/>
    <w:rsid w:val="00CA03DE"/>
    <w:rsid w:val="00CA1401"/>
    <w:rsid w:val="00CA292A"/>
    <w:rsid w:val="00CA3702"/>
    <w:rsid w:val="00CA689E"/>
    <w:rsid w:val="00CA6B25"/>
    <w:rsid w:val="00CA6FAE"/>
    <w:rsid w:val="00CB0254"/>
    <w:rsid w:val="00CB0435"/>
    <w:rsid w:val="00CB059C"/>
    <w:rsid w:val="00CB1BCD"/>
    <w:rsid w:val="00CB424B"/>
    <w:rsid w:val="00CB471B"/>
    <w:rsid w:val="00CB4A2D"/>
    <w:rsid w:val="00CB4F01"/>
    <w:rsid w:val="00CB57BC"/>
    <w:rsid w:val="00CB5FCE"/>
    <w:rsid w:val="00CB6795"/>
    <w:rsid w:val="00CB774B"/>
    <w:rsid w:val="00CB7934"/>
    <w:rsid w:val="00CC1A4C"/>
    <w:rsid w:val="00CC47A0"/>
    <w:rsid w:val="00CC4EAF"/>
    <w:rsid w:val="00CC6E70"/>
    <w:rsid w:val="00CC7AA9"/>
    <w:rsid w:val="00CD0D9C"/>
    <w:rsid w:val="00CD1A1E"/>
    <w:rsid w:val="00CD1ABF"/>
    <w:rsid w:val="00CD1F42"/>
    <w:rsid w:val="00CD258A"/>
    <w:rsid w:val="00CD3170"/>
    <w:rsid w:val="00CD5784"/>
    <w:rsid w:val="00CD6170"/>
    <w:rsid w:val="00CE1651"/>
    <w:rsid w:val="00CE1C62"/>
    <w:rsid w:val="00CE231E"/>
    <w:rsid w:val="00CE3659"/>
    <w:rsid w:val="00CE3758"/>
    <w:rsid w:val="00CE5C0F"/>
    <w:rsid w:val="00CE6665"/>
    <w:rsid w:val="00CE7315"/>
    <w:rsid w:val="00CE7E7D"/>
    <w:rsid w:val="00CF0232"/>
    <w:rsid w:val="00CF0BD4"/>
    <w:rsid w:val="00CF16D3"/>
    <w:rsid w:val="00CF2A9A"/>
    <w:rsid w:val="00CF2B69"/>
    <w:rsid w:val="00CF2C3B"/>
    <w:rsid w:val="00CF3178"/>
    <w:rsid w:val="00CF3FC7"/>
    <w:rsid w:val="00CF4A76"/>
    <w:rsid w:val="00CF51FA"/>
    <w:rsid w:val="00CF527E"/>
    <w:rsid w:val="00CF5C91"/>
    <w:rsid w:val="00CF64F3"/>
    <w:rsid w:val="00D00DD0"/>
    <w:rsid w:val="00D02762"/>
    <w:rsid w:val="00D0337A"/>
    <w:rsid w:val="00D054E3"/>
    <w:rsid w:val="00D05FA1"/>
    <w:rsid w:val="00D0675B"/>
    <w:rsid w:val="00D06CC4"/>
    <w:rsid w:val="00D075B7"/>
    <w:rsid w:val="00D13D7F"/>
    <w:rsid w:val="00D164B7"/>
    <w:rsid w:val="00D16FD9"/>
    <w:rsid w:val="00D17422"/>
    <w:rsid w:val="00D17B6F"/>
    <w:rsid w:val="00D17DF8"/>
    <w:rsid w:val="00D2093E"/>
    <w:rsid w:val="00D23811"/>
    <w:rsid w:val="00D2394B"/>
    <w:rsid w:val="00D23AA8"/>
    <w:rsid w:val="00D24998"/>
    <w:rsid w:val="00D24DEA"/>
    <w:rsid w:val="00D2692C"/>
    <w:rsid w:val="00D26C08"/>
    <w:rsid w:val="00D278D3"/>
    <w:rsid w:val="00D27C35"/>
    <w:rsid w:val="00D27CD2"/>
    <w:rsid w:val="00D3109F"/>
    <w:rsid w:val="00D334D9"/>
    <w:rsid w:val="00D3471F"/>
    <w:rsid w:val="00D34E93"/>
    <w:rsid w:val="00D361F6"/>
    <w:rsid w:val="00D37A0F"/>
    <w:rsid w:val="00D37ADF"/>
    <w:rsid w:val="00D4375B"/>
    <w:rsid w:val="00D43B73"/>
    <w:rsid w:val="00D43F73"/>
    <w:rsid w:val="00D44472"/>
    <w:rsid w:val="00D44D63"/>
    <w:rsid w:val="00D45AF9"/>
    <w:rsid w:val="00D461B0"/>
    <w:rsid w:val="00D50CDC"/>
    <w:rsid w:val="00D513BF"/>
    <w:rsid w:val="00D515CA"/>
    <w:rsid w:val="00D51C5C"/>
    <w:rsid w:val="00D53213"/>
    <w:rsid w:val="00D54581"/>
    <w:rsid w:val="00D54F95"/>
    <w:rsid w:val="00D56697"/>
    <w:rsid w:val="00D56B3B"/>
    <w:rsid w:val="00D5756A"/>
    <w:rsid w:val="00D602A9"/>
    <w:rsid w:val="00D60874"/>
    <w:rsid w:val="00D60E5A"/>
    <w:rsid w:val="00D61E31"/>
    <w:rsid w:val="00D62B7D"/>
    <w:rsid w:val="00D63E24"/>
    <w:rsid w:val="00D6514B"/>
    <w:rsid w:val="00D67DD1"/>
    <w:rsid w:val="00D70FD5"/>
    <w:rsid w:val="00D73242"/>
    <w:rsid w:val="00D747BB"/>
    <w:rsid w:val="00D74E80"/>
    <w:rsid w:val="00D769C6"/>
    <w:rsid w:val="00D819C0"/>
    <w:rsid w:val="00D81EC9"/>
    <w:rsid w:val="00D831DD"/>
    <w:rsid w:val="00D837EA"/>
    <w:rsid w:val="00D83AA4"/>
    <w:rsid w:val="00D8555F"/>
    <w:rsid w:val="00D866E4"/>
    <w:rsid w:val="00D87F22"/>
    <w:rsid w:val="00D927B5"/>
    <w:rsid w:val="00D92EFC"/>
    <w:rsid w:val="00D93CC0"/>
    <w:rsid w:val="00D93E1C"/>
    <w:rsid w:val="00D93EFF"/>
    <w:rsid w:val="00D93FB1"/>
    <w:rsid w:val="00D954C2"/>
    <w:rsid w:val="00D9652C"/>
    <w:rsid w:val="00D96A2D"/>
    <w:rsid w:val="00D97007"/>
    <w:rsid w:val="00D97B86"/>
    <w:rsid w:val="00DA2629"/>
    <w:rsid w:val="00DA2789"/>
    <w:rsid w:val="00DA2C80"/>
    <w:rsid w:val="00DA2E52"/>
    <w:rsid w:val="00DA4C6A"/>
    <w:rsid w:val="00DA60E8"/>
    <w:rsid w:val="00DA732C"/>
    <w:rsid w:val="00DB0988"/>
    <w:rsid w:val="00DB0CD7"/>
    <w:rsid w:val="00DB1483"/>
    <w:rsid w:val="00DB2378"/>
    <w:rsid w:val="00DB2533"/>
    <w:rsid w:val="00DB4832"/>
    <w:rsid w:val="00DB60CF"/>
    <w:rsid w:val="00DB6775"/>
    <w:rsid w:val="00DB6798"/>
    <w:rsid w:val="00DC16E9"/>
    <w:rsid w:val="00DC4270"/>
    <w:rsid w:val="00DC48F0"/>
    <w:rsid w:val="00DC7840"/>
    <w:rsid w:val="00DC7EB3"/>
    <w:rsid w:val="00DD2C27"/>
    <w:rsid w:val="00DD3A95"/>
    <w:rsid w:val="00DD3E64"/>
    <w:rsid w:val="00DD52C5"/>
    <w:rsid w:val="00DD5EB6"/>
    <w:rsid w:val="00DD72BC"/>
    <w:rsid w:val="00DD7905"/>
    <w:rsid w:val="00DD7EB4"/>
    <w:rsid w:val="00DD7FD1"/>
    <w:rsid w:val="00DE0455"/>
    <w:rsid w:val="00DE06F2"/>
    <w:rsid w:val="00DE13E2"/>
    <w:rsid w:val="00DE2615"/>
    <w:rsid w:val="00DE2A3E"/>
    <w:rsid w:val="00DE5006"/>
    <w:rsid w:val="00DE52ED"/>
    <w:rsid w:val="00DF1954"/>
    <w:rsid w:val="00DF4372"/>
    <w:rsid w:val="00DF4392"/>
    <w:rsid w:val="00DF5A70"/>
    <w:rsid w:val="00DF611F"/>
    <w:rsid w:val="00DF63EA"/>
    <w:rsid w:val="00DF6573"/>
    <w:rsid w:val="00DF6C8E"/>
    <w:rsid w:val="00DF732C"/>
    <w:rsid w:val="00DF7DA7"/>
    <w:rsid w:val="00E00170"/>
    <w:rsid w:val="00E0134A"/>
    <w:rsid w:val="00E0288D"/>
    <w:rsid w:val="00E02BFF"/>
    <w:rsid w:val="00E04F33"/>
    <w:rsid w:val="00E05FD1"/>
    <w:rsid w:val="00E0736F"/>
    <w:rsid w:val="00E0780D"/>
    <w:rsid w:val="00E07AC6"/>
    <w:rsid w:val="00E103E0"/>
    <w:rsid w:val="00E1059F"/>
    <w:rsid w:val="00E13BFE"/>
    <w:rsid w:val="00E170C5"/>
    <w:rsid w:val="00E17B06"/>
    <w:rsid w:val="00E20809"/>
    <w:rsid w:val="00E20D6D"/>
    <w:rsid w:val="00E20F0B"/>
    <w:rsid w:val="00E21D8F"/>
    <w:rsid w:val="00E22C20"/>
    <w:rsid w:val="00E24C7F"/>
    <w:rsid w:val="00E257E8"/>
    <w:rsid w:val="00E27428"/>
    <w:rsid w:val="00E337C9"/>
    <w:rsid w:val="00E34966"/>
    <w:rsid w:val="00E355A7"/>
    <w:rsid w:val="00E36863"/>
    <w:rsid w:val="00E40534"/>
    <w:rsid w:val="00E41142"/>
    <w:rsid w:val="00E42230"/>
    <w:rsid w:val="00E422AF"/>
    <w:rsid w:val="00E42B9D"/>
    <w:rsid w:val="00E43B8F"/>
    <w:rsid w:val="00E459FE"/>
    <w:rsid w:val="00E45F85"/>
    <w:rsid w:val="00E46E61"/>
    <w:rsid w:val="00E478F9"/>
    <w:rsid w:val="00E53750"/>
    <w:rsid w:val="00E5420C"/>
    <w:rsid w:val="00E5434D"/>
    <w:rsid w:val="00E54AE8"/>
    <w:rsid w:val="00E5645E"/>
    <w:rsid w:val="00E56E27"/>
    <w:rsid w:val="00E56F0D"/>
    <w:rsid w:val="00E572CA"/>
    <w:rsid w:val="00E57E70"/>
    <w:rsid w:val="00E6113D"/>
    <w:rsid w:val="00E61BE2"/>
    <w:rsid w:val="00E63393"/>
    <w:rsid w:val="00E64E56"/>
    <w:rsid w:val="00E65EA6"/>
    <w:rsid w:val="00E662C1"/>
    <w:rsid w:val="00E671FB"/>
    <w:rsid w:val="00E752AC"/>
    <w:rsid w:val="00E75CA5"/>
    <w:rsid w:val="00E76FC5"/>
    <w:rsid w:val="00E80E9F"/>
    <w:rsid w:val="00E82551"/>
    <w:rsid w:val="00E82B45"/>
    <w:rsid w:val="00E84C48"/>
    <w:rsid w:val="00E84CFE"/>
    <w:rsid w:val="00E8590B"/>
    <w:rsid w:val="00E87314"/>
    <w:rsid w:val="00E9038A"/>
    <w:rsid w:val="00E91703"/>
    <w:rsid w:val="00E923AF"/>
    <w:rsid w:val="00E92EF8"/>
    <w:rsid w:val="00E92FE8"/>
    <w:rsid w:val="00E94A90"/>
    <w:rsid w:val="00E95D80"/>
    <w:rsid w:val="00E963B8"/>
    <w:rsid w:val="00E9652B"/>
    <w:rsid w:val="00E96955"/>
    <w:rsid w:val="00E97A7D"/>
    <w:rsid w:val="00EA1424"/>
    <w:rsid w:val="00EA1559"/>
    <w:rsid w:val="00EA20F2"/>
    <w:rsid w:val="00EA2E61"/>
    <w:rsid w:val="00EA5495"/>
    <w:rsid w:val="00EA6CF3"/>
    <w:rsid w:val="00EB0F68"/>
    <w:rsid w:val="00EB10FB"/>
    <w:rsid w:val="00EB206A"/>
    <w:rsid w:val="00EB285E"/>
    <w:rsid w:val="00EB2AE5"/>
    <w:rsid w:val="00EB336D"/>
    <w:rsid w:val="00EB61C3"/>
    <w:rsid w:val="00EC080D"/>
    <w:rsid w:val="00EC0907"/>
    <w:rsid w:val="00EC197C"/>
    <w:rsid w:val="00EC3060"/>
    <w:rsid w:val="00EC37D7"/>
    <w:rsid w:val="00EC4BD9"/>
    <w:rsid w:val="00EC4E31"/>
    <w:rsid w:val="00EC687C"/>
    <w:rsid w:val="00EC6CB5"/>
    <w:rsid w:val="00EC6F42"/>
    <w:rsid w:val="00EC733D"/>
    <w:rsid w:val="00ED08D2"/>
    <w:rsid w:val="00ED1389"/>
    <w:rsid w:val="00ED269B"/>
    <w:rsid w:val="00ED281C"/>
    <w:rsid w:val="00ED433E"/>
    <w:rsid w:val="00ED5AE3"/>
    <w:rsid w:val="00ED7958"/>
    <w:rsid w:val="00EE0581"/>
    <w:rsid w:val="00EE2B7C"/>
    <w:rsid w:val="00EE3EF3"/>
    <w:rsid w:val="00EE5154"/>
    <w:rsid w:val="00EE6A68"/>
    <w:rsid w:val="00EE7252"/>
    <w:rsid w:val="00EE799C"/>
    <w:rsid w:val="00EF0890"/>
    <w:rsid w:val="00EF0ABE"/>
    <w:rsid w:val="00EF11E1"/>
    <w:rsid w:val="00EF34BE"/>
    <w:rsid w:val="00EF3B18"/>
    <w:rsid w:val="00EF430B"/>
    <w:rsid w:val="00EF4359"/>
    <w:rsid w:val="00EF52BF"/>
    <w:rsid w:val="00EF742A"/>
    <w:rsid w:val="00EF7B20"/>
    <w:rsid w:val="00F03EAE"/>
    <w:rsid w:val="00F0604C"/>
    <w:rsid w:val="00F06256"/>
    <w:rsid w:val="00F07DB5"/>
    <w:rsid w:val="00F10E9A"/>
    <w:rsid w:val="00F11FC0"/>
    <w:rsid w:val="00F129C5"/>
    <w:rsid w:val="00F13C85"/>
    <w:rsid w:val="00F141DA"/>
    <w:rsid w:val="00F14D60"/>
    <w:rsid w:val="00F1538B"/>
    <w:rsid w:val="00F15D22"/>
    <w:rsid w:val="00F160F2"/>
    <w:rsid w:val="00F167B8"/>
    <w:rsid w:val="00F174E4"/>
    <w:rsid w:val="00F203F4"/>
    <w:rsid w:val="00F20CB2"/>
    <w:rsid w:val="00F21E66"/>
    <w:rsid w:val="00F2252F"/>
    <w:rsid w:val="00F240FC"/>
    <w:rsid w:val="00F260FC"/>
    <w:rsid w:val="00F302A3"/>
    <w:rsid w:val="00F30BD0"/>
    <w:rsid w:val="00F30E5F"/>
    <w:rsid w:val="00F32E96"/>
    <w:rsid w:val="00F346AC"/>
    <w:rsid w:val="00F35391"/>
    <w:rsid w:val="00F36FA2"/>
    <w:rsid w:val="00F40FE7"/>
    <w:rsid w:val="00F418A3"/>
    <w:rsid w:val="00F41DBE"/>
    <w:rsid w:val="00F42C0F"/>
    <w:rsid w:val="00F42F56"/>
    <w:rsid w:val="00F45A67"/>
    <w:rsid w:val="00F4732B"/>
    <w:rsid w:val="00F51D08"/>
    <w:rsid w:val="00F52913"/>
    <w:rsid w:val="00F53505"/>
    <w:rsid w:val="00F55B32"/>
    <w:rsid w:val="00F56266"/>
    <w:rsid w:val="00F5627B"/>
    <w:rsid w:val="00F56DC6"/>
    <w:rsid w:val="00F615AA"/>
    <w:rsid w:val="00F61820"/>
    <w:rsid w:val="00F6238A"/>
    <w:rsid w:val="00F63307"/>
    <w:rsid w:val="00F6626C"/>
    <w:rsid w:val="00F664E7"/>
    <w:rsid w:val="00F66B8B"/>
    <w:rsid w:val="00F66BC1"/>
    <w:rsid w:val="00F7161A"/>
    <w:rsid w:val="00F71F86"/>
    <w:rsid w:val="00F71FD8"/>
    <w:rsid w:val="00F726DF"/>
    <w:rsid w:val="00F72F14"/>
    <w:rsid w:val="00F73782"/>
    <w:rsid w:val="00F73F5C"/>
    <w:rsid w:val="00F7407D"/>
    <w:rsid w:val="00F75548"/>
    <w:rsid w:val="00F765C0"/>
    <w:rsid w:val="00F76FA0"/>
    <w:rsid w:val="00F80A2A"/>
    <w:rsid w:val="00F814EF"/>
    <w:rsid w:val="00F81544"/>
    <w:rsid w:val="00F824F4"/>
    <w:rsid w:val="00F83221"/>
    <w:rsid w:val="00F84286"/>
    <w:rsid w:val="00F8720D"/>
    <w:rsid w:val="00F907F7"/>
    <w:rsid w:val="00F90BB1"/>
    <w:rsid w:val="00F92F1E"/>
    <w:rsid w:val="00F968A9"/>
    <w:rsid w:val="00FA0080"/>
    <w:rsid w:val="00FA1A0E"/>
    <w:rsid w:val="00FA1A8B"/>
    <w:rsid w:val="00FA2DA1"/>
    <w:rsid w:val="00FA34A2"/>
    <w:rsid w:val="00FA5661"/>
    <w:rsid w:val="00FA6B11"/>
    <w:rsid w:val="00FA6CD5"/>
    <w:rsid w:val="00FA6D20"/>
    <w:rsid w:val="00FA7348"/>
    <w:rsid w:val="00FA7CBE"/>
    <w:rsid w:val="00FB2D0E"/>
    <w:rsid w:val="00FB3389"/>
    <w:rsid w:val="00FB5507"/>
    <w:rsid w:val="00FB5C40"/>
    <w:rsid w:val="00FB5C84"/>
    <w:rsid w:val="00FB5F5D"/>
    <w:rsid w:val="00FB6442"/>
    <w:rsid w:val="00FB742D"/>
    <w:rsid w:val="00FC141A"/>
    <w:rsid w:val="00FC1EB3"/>
    <w:rsid w:val="00FC2932"/>
    <w:rsid w:val="00FC2F6D"/>
    <w:rsid w:val="00FC6011"/>
    <w:rsid w:val="00FC6197"/>
    <w:rsid w:val="00FC6E3E"/>
    <w:rsid w:val="00FC772D"/>
    <w:rsid w:val="00FC7745"/>
    <w:rsid w:val="00FC7847"/>
    <w:rsid w:val="00FC7B9D"/>
    <w:rsid w:val="00FD0877"/>
    <w:rsid w:val="00FD0B57"/>
    <w:rsid w:val="00FD14D1"/>
    <w:rsid w:val="00FD2830"/>
    <w:rsid w:val="00FD38E2"/>
    <w:rsid w:val="00FD42FC"/>
    <w:rsid w:val="00FD611F"/>
    <w:rsid w:val="00FD7A87"/>
    <w:rsid w:val="00FE1324"/>
    <w:rsid w:val="00FE1A5B"/>
    <w:rsid w:val="00FE23FC"/>
    <w:rsid w:val="00FE2F5A"/>
    <w:rsid w:val="00FE3943"/>
    <w:rsid w:val="00FE46A8"/>
    <w:rsid w:val="00FE47FE"/>
    <w:rsid w:val="00FE4E33"/>
    <w:rsid w:val="00FE5254"/>
    <w:rsid w:val="00FE73FF"/>
    <w:rsid w:val="00FF0079"/>
    <w:rsid w:val="00FF0DCB"/>
    <w:rsid w:val="00FF104F"/>
    <w:rsid w:val="00FF2775"/>
    <w:rsid w:val="00FF32C5"/>
    <w:rsid w:val="00FF355D"/>
    <w:rsid w:val="00FF4832"/>
    <w:rsid w:val="00FF4ECE"/>
    <w:rsid w:val="00FF51E6"/>
    <w:rsid w:val="00FF5857"/>
    <w:rsid w:val="00FF63A9"/>
    <w:rsid w:val="00FF6405"/>
    <w:rsid w:val="00FF7B8B"/>
    <w:rsid w:val="00FF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5D1DFC4"/>
  <w15:docId w15:val="{85A4DB0B-4E6E-419B-9A9E-C97BB811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6C"/>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5364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35E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666D"/>
    <w:pPr>
      <w:tabs>
        <w:tab w:val="center" w:pos="4513"/>
        <w:tab w:val="right" w:pos="9026"/>
      </w:tabs>
    </w:pPr>
  </w:style>
  <w:style w:type="character" w:customStyle="1" w:styleId="HeaderChar">
    <w:name w:val="Header Char"/>
    <w:basedOn w:val="DefaultParagraphFont"/>
    <w:link w:val="Header"/>
    <w:rsid w:val="0070666D"/>
    <w:rPr>
      <w:rFonts w:ascii="Times New Roman" w:eastAsia="Times New Roman" w:hAnsi="Times New Roman"/>
      <w:sz w:val="24"/>
      <w:szCs w:val="24"/>
    </w:rPr>
  </w:style>
  <w:style w:type="paragraph" w:styleId="Footer">
    <w:name w:val="footer"/>
    <w:basedOn w:val="Normal"/>
    <w:link w:val="FooterChar"/>
    <w:uiPriority w:val="99"/>
    <w:unhideWhenUsed/>
    <w:rsid w:val="0070666D"/>
    <w:pPr>
      <w:tabs>
        <w:tab w:val="center" w:pos="4513"/>
        <w:tab w:val="right" w:pos="9026"/>
      </w:tabs>
    </w:pPr>
  </w:style>
  <w:style w:type="character" w:customStyle="1" w:styleId="FooterChar">
    <w:name w:val="Footer Char"/>
    <w:basedOn w:val="DefaultParagraphFont"/>
    <w:link w:val="Footer"/>
    <w:uiPriority w:val="99"/>
    <w:rsid w:val="0070666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535A5"/>
    <w:rPr>
      <w:sz w:val="16"/>
      <w:szCs w:val="16"/>
    </w:rPr>
  </w:style>
  <w:style w:type="paragraph" w:styleId="CommentText">
    <w:name w:val="annotation text"/>
    <w:basedOn w:val="Normal"/>
    <w:link w:val="CommentTextChar"/>
    <w:uiPriority w:val="99"/>
    <w:unhideWhenUsed/>
    <w:rsid w:val="005535A5"/>
    <w:rPr>
      <w:sz w:val="20"/>
      <w:szCs w:val="20"/>
    </w:rPr>
  </w:style>
  <w:style w:type="character" w:customStyle="1" w:styleId="CommentTextChar">
    <w:name w:val="Comment Text Char"/>
    <w:basedOn w:val="DefaultParagraphFont"/>
    <w:link w:val="CommentText"/>
    <w:uiPriority w:val="99"/>
    <w:rsid w:val="005535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535A5"/>
    <w:rPr>
      <w:b/>
      <w:bCs/>
    </w:rPr>
  </w:style>
  <w:style w:type="character" w:customStyle="1" w:styleId="CommentSubjectChar">
    <w:name w:val="Comment Subject Char"/>
    <w:basedOn w:val="CommentTextChar"/>
    <w:link w:val="CommentSubject"/>
    <w:uiPriority w:val="99"/>
    <w:semiHidden/>
    <w:rsid w:val="005535A5"/>
    <w:rPr>
      <w:rFonts w:ascii="Times New Roman" w:eastAsia="Times New Roman" w:hAnsi="Times New Roman"/>
      <w:b/>
      <w:bCs/>
    </w:rPr>
  </w:style>
  <w:style w:type="paragraph" w:styleId="BalloonText">
    <w:name w:val="Balloon Text"/>
    <w:basedOn w:val="Normal"/>
    <w:link w:val="BalloonTextChar"/>
    <w:uiPriority w:val="99"/>
    <w:semiHidden/>
    <w:unhideWhenUsed/>
    <w:rsid w:val="005535A5"/>
    <w:rPr>
      <w:rFonts w:ascii="Tahoma" w:hAnsi="Tahoma" w:cs="Tahoma"/>
      <w:sz w:val="16"/>
      <w:szCs w:val="16"/>
    </w:rPr>
  </w:style>
  <w:style w:type="character" w:customStyle="1" w:styleId="BalloonTextChar">
    <w:name w:val="Balloon Text Char"/>
    <w:basedOn w:val="DefaultParagraphFont"/>
    <w:link w:val="BalloonText"/>
    <w:uiPriority w:val="99"/>
    <w:semiHidden/>
    <w:rsid w:val="005535A5"/>
    <w:rPr>
      <w:rFonts w:ascii="Tahoma" w:eastAsia="Times New Roman" w:hAnsi="Tahoma" w:cs="Tahoma"/>
      <w:sz w:val="16"/>
      <w:szCs w:val="16"/>
    </w:rPr>
  </w:style>
  <w:style w:type="paragraph" w:styleId="ListParagraph">
    <w:name w:val="List Paragraph"/>
    <w:basedOn w:val="Normal"/>
    <w:uiPriority w:val="34"/>
    <w:qFormat/>
    <w:rsid w:val="00A44E1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C151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C35E44"/>
    <w:rPr>
      <w:rFonts w:ascii="Times New Roman" w:eastAsia="Times New Roman" w:hAnsi="Times New Roman"/>
      <w:b/>
      <w:bCs/>
      <w:sz w:val="27"/>
      <w:szCs w:val="27"/>
    </w:rPr>
  </w:style>
  <w:style w:type="paragraph" w:styleId="HTMLPreformatted">
    <w:name w:val="HTML Preformatted"/>
    <w:basedOn w:val="Normal"/>
    <w:link w:val="HTMLPreformattedChar"/>
    <w:uiPriority w:val="99"/>
    <w:rsid w:val="00C3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5E44"/>
    <w:rPr>
      <w:rFonts w:ascii="Courier New" w:eastAsia="Times New Roman" w:hAnsi="Courier New" w:cs="Courier New"/>
    </w:rPr>
  </w:style>
  <w:style w:type="paragraph" w:customStyle="1" w:styleId="2Indent">
    <w:name w:val="2Indent"/>
    <w:basedOn w:val="Normal"/>
    <w:rsid w:val="00C35E44"/>
    <w:pPr>
      <w:tabs>
        <w:tab w:val="left" w:pos="980"/>
      </w:tabs>
      <w:ind w:left="1500" w:hanging="1500"/>
    </w:pPr>
    <w:rPr>
      <w:rFonts w:ascii="Times" w:hAnsi="Times"/>
      <w:szCs w:val="20"/>
      <w:lang w:val="en-US" w:eastAsia="en-US"/>
    </w:rPr>
  </w:style>
  <w:style w:type="character" w:customStyle="1" w:styleId="HeaderChar1">
    <w:name w:val="Header Char1"/>
    <w:basedOn w:val="DefaultParagraphFont"/>
    <w:rsid w:val="000E4CD6"/>
    <w:rPr>
      <w:rFonts w:ascii="Arial" w:hAnsi="Arial" w:cs="Arial"/>
      <w:sz w:val="22"/>
      <w:szCs w:val="22"/>
    </w:rPr>
  </w:style>
  <w:style w:type="table" w:styleId="TableGrid">
    <w:name w:val="Table Grid"/>
    <w:basedOn w:val="TableNormal"/>
    <w:uiPriority w:val="59"/>
    <w:rsid w:val="00F0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1"/>
    <w:qFormat/>
    <w:rsid w:val="00F0604C"/>
    <w:pPr>
      <w:numPr>
        <w:numId w:val="12"/>
      </w:numPr>
      <w:spacing w:before="120" w:after="120"/>
    </w:pPr>
    <w:rPr>
      <w:rFonts w:asciiTheme="minorHAnsi" w:eastAsiaTheme="minorHAnsi" w:hAnsiTheme="minorHAnsi" w:cstheme="minorBidi"/>
      <w:sz w:val="22"/>
      <w:szCs w:val="22"/>
      <w:lang w:val="en-GB" w:eastAsia="en-US"/>
    </w:rPr>
  </w:style>
  <w:style w:type="character" w:customStyle="1" w:styleId="Bullet2Char">
    <w:name w:val="Bullet 2 Char"/>
    <w:basedOn w:val="DefaultParagraphFont"/>
    <w:link w:val="Bullet2"/>
    <w:uiPriority w:val="1"/>
    <w:locked/>
    <w:rsid w:val="00F0604C"/>
  </w:style>
  <w:style w:type="paragraph" w:customStyle="1" w:styleId="Bullet2">
    <w:name w:val="Bullet 2"/>
    <w:basedOn w:val="Normal"/>
    <w:link w:val="Bullet2Char"/>
    <w:uiPriority w:val="1"/>
    <w:qFormat/>
    <w:rsid w:val="00F0604C"/>
    <w:pPr>
      <w:numPr>
        <w:ilvl w:val="1"/>
        <w:numId w:val="12"/>
      </w:numPr>
      <w:spacing w:before="120" w:after="120"/>
    </w:pPr>
    <w:rPr>
      <w:rFonts w:ascii="Calibri" w:eastAsia="Calibri" w:hAnsi="Calibri"/>
      <w:sz w:val="20"/>
      <w:szCs w:val="20"/>
    </w:rPr>
  </w:style>
  <w:style w:type="table" w:styleId="ListTable3">
    <w:name w:val="List Table 3"/>
    <w:basedOn w:val="TableNormal"/>
    <w:uiPriority w:val="48"/>
    <w:rsid w:val="001713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Amainreturn">
    <w:name w:val="A main return"/>
    <w:basedOn w:val="Normal"/>
    <w:rsid w:val="001713C4"/>
    <w:pPr>
      <w:spacing w:before="140"/>
      <w:ind w:left="1100"/>
      <w:jc w:val="both"/>
    </w:pPr>
    <w:rPr>
      <w:szCs w:val="20"/>
      <w:lang w:eastAsia="en-US"/>
    </w:rPr>
  </w:style>
  <w:style w:type="paragraph" w:customStyle="1" w:styleId="aDef">
    <w:name w:val="aDef"/>
    <w:basedOn w:val="Normal"/>
    <w:link w:val="aDefChar"/>
    <w:rsid w:val="001713C4"/>
    <w:pPr>
      <w:numPr>
        <w:ilvl w:val="5"/>
        <w:numId w:val="14"/>
      </w:numPr>
      <w:spacing w:before="140"/>
      <w:jc w:val="both"/>
      <w:outlineLvl w:val="5"/>
    </w:pPr>
    <w:rPr>
      <w:szCs w:val="20"/>
      <w:lang w:eastAsia="en-US"/>
    </w:rPr>
  </w:style>
  <w:style w:type="paragraph" w:customStyle="1" w:styleId="aDefpara">
    <w:name w:val="aDef para"/>
    <w:basedOn w:val="Normal"/>
    <w:rsid w:val="001713C4"/>
    <w:pPr>
      <w:numPr>
        <w:ilvl w:val="6"/>
        <w:numId w:val="14"/>
      </w:numPr>
      <w:spacing w:before="140"/>
      <w:jc w:val="both"/>
      <w:outlineLvl w:val="6"/>
    </w:pPr>
    <w:rPr>
      <w:szCs w:val="20"/>
      <w:lang w:eastAsia="en-US"/>
    </w:rPr>
  </w:style>
  <w:style w:type="paragraph" w:customStyle="1" w:styleId="aDefsubpara">
    <w:name w:val="aDef subpara"/>
    <w:basedOn w:val="Normal"/>
    <w:rsid w:val="001713C4"/>
    <w:pPr>
      <w:numPr>
        <w:ilvl w:val="7"/>
        <w:numId w:val="14"/>
      </w:numPr>
      <w:spacing w:before="140"/>
      <w:jc w:val="both"/>
      <w:outlineLvl w:val="7"/>
    </w:pPr>
    <w:rPr>
      <w:szCs w:val="20"/>
      <w:lang w:eastAsia="en-US"/>
    </w:rPr>
  </w:style>
  <w:style w:type="character" w:customStyle="1" w:styleId="aDefChar">
    <w:name w:val="aDef Char"/>
    <w:basedOn w:val="DefaultParagraphFont"/>
    <w:link w:val="aDef"/>
    <w:locked/>
    <w:rsid w:val="001713C4"/>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rsid w:val="00A5364A"/>
    <w:rPr>
      <w:rFonts w:asciiTheme="majorHAnsi" w:eastAsiaTheme="majorEastAsia" w:hAnsiTheme="majorHAnsi" w:cstheme="majorBidi"/>
      <w:color w:val="365F91" w:themeColor="accent1" w:themeShade="BF"/>
      <w:sz w:val="26"/>
      <w:szCs w:val="26"/>
    </w:rPr>
  </w:style>
  <w:style w:type="paragraph" w:customStyle="1" w:styleId="Body">
    <w:name w:val="Body"/>
    <w:rsid w:val="0041155B"/>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Calibri12">
    <w:name w:val="Calibri 12"/>
    <w:basedOn w:val="DefaultParagraphFont"/>
    <w:uiPriority w:val="1"/>
    <w:qFormat/>
    <w:rsid w:val="00E53750"/>
    <w:rPr>
      <w:rFonts w:ascii="Calibri" w:hAnsi="Calibri" w:cs="Calibri" w:hint="default"/>
      <w:sz w:val="24"/>
    </w:rPr>
  </w:style>
  <w:style w:type="paragraph" w:styleId="Revision">
    <w:name w:val="Revision"/>
    <w:hidden/>
    <w:uiPriority w:val="99"/>
    <w:semiHidden/>
    <w:rsid w:val="00195ADB"/>
    <w:rPr>
      <w:rFonts w:ascii="Times New Roman" w:eastAsia="Times New Roman" w:hAnsi="Times New Roman"/>
      <w:sz w:val="24"/>
      <w:szCs w:val="24"/>
    </w:rPr>
  </w:style>
  <w:style w:type="paragraph" w:customStyle="1" w:styleId="ListParagraph2">
    <w:name w:val="List Paragraph 2"/>
    <w:basedOn w:val="ListParagraph"/>
    <w:qFormat/>
    <w:rsid w:val="009403A2"/>
    <w:pPr>
      <w:numPr>
        <w:ilvl w:val="1"/>
        <w:numId w:val="30"/>
      </w:numPr>
      <w:tabs>
        <w:tab w:val="left" w:pos="851"/>
      </w:tabs>
      <w:spacing w:before="240" w:after="0"/>
      <w:contextualSpacing w:val="0"/>
    </w:pPr>
    <w:rPr>
      <w:rFonts w:asciiTheme="minorHAnsi" w:eastAsiaTheme="minorEastAsia" w:hAnsiTheme="minorHAnsi" w:cstheme="minorBidi"/>
      <w:sz w:val="24"/>
      <w:szCs w:val="24"/>
    </w:rPr>
  </w:style>
  <w:style w:type="paragraph" w:customStyle="1" w:styleId="ListParagraph3">
    <w:name w:val="List Paragraph 3"/>
    <w:basedOn w:val="ListParagraph2"/>
    <w:qFormat/>
    <w:rsid w:val="009403A2"/>
    <w:pPr>
      <w:numPr>
        <w:ilvl w:val="2"/>
      </w:numPr>
      <w:tabs>
        <w:tab w:val="clear" w:pos="851"/>
        <w:tab w:val="left" w:pos="1701"/>
      </w:tabs>
      <w:spacing w:before="60"/>
    </w:pPr>
  </w:style>
  <w:style w:type="character" w:styleId="Hyperlink">
    <w:name w:val="Hyperlink"/>
    <w:basedOn w:val="DefaultParagraphFont"/>
    <w:uiPriority w:val="99"/>
    <w:unhideWhenUsed/>
    <w:rsid w:val="00F66B8B"/>
    <w:rPr>
      <w:color w:val="0563C1"/>
      <w:u w:val="single"/>
    </w:rPr>
  </w:style>
  <w:style w:type="paragraph" w:styleId="FootnoteText">
    <w:name w:val="footnote text"/>
    <w:basedOn w:val="Normal"/>
    <w:link w:val="FootnoteTextChar"/>
    <w:uiPriority w:val="99"/>
    <w:semiHidden/>
    <w:unhideWhenUsed/>
    <w:rsid w:val="00284401"/>
    <w:rPr>
      <w:sz w:val="20"/>
      <w:szCs w:val="20"/>
    </w:rPr>
  </w:style>
  <w:style w:type="character" w:customStyle="1" w:styleId="FootnoteTextChar">
    <w:name w:val="Footnote Text Char"/>
    <w:basedOn w:val="DefaultParagraphFont"/>
    <w:link w:val="FootnoteText"/>
    <w:uiPriority w:val="99"/>
    <w:semiHidden/>
    <w:rsid w:val="00284401"/>
    <w:rPr>
      <w:rFonts w:ascii="Times New Roman" w:eastAsia="Times New Roman" w:hAnsi="Times New Roman"/>
    </w:rPr>
  </w:style>
  <w:style w:type="character" w:styleId="FootnoteReference">
    <w:name w:val="footnote reference"/>
    <w:basedOn w:val="DefaultParagraphFont"/>
    <w:uiPriority w:val="99"/>
    <w:semiHidden/>
    <w:unhideWhenUsed/>
    <w:rsid w:val="00284401"/>
    <w:rPr>
      <w:vertAlign w:val="superscript"/>
    </w:rPr>
  </w:style>
  <w:style w:type="character" w:styleId="UnresolvedMention">
    <w:name w:val="Unresolved Mention"/>
    <w:basedOn w:val="DefaultParagraphFont"/>
    <w:uiPriority w:val="99"/>
    <w:semiHidden/>
    <w:unhideWhenUsed/>
    <w:rsid w:val="00E61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730">
      <w:bodyDiv w:val="1"/>
      <w:marLeft w:val="0"/>
      <w:marRight w:val="0"/>
      <w:marTop w:val="0"/>
      <w:marBottom w:val="0"/>
      <w:divBdr>
        <w:top w:val="none" w:sz="0" w:space="0" w:color="auto"/>
        <w:left w:val="none" w:sz="0" w:space="0" w:color="auto"/>
        <w:bottom w:val="none" w:sz="0" w:space="0" w:color="auto"/>
        <w:right w:val="none" w:sz="0" w:space="0" w:color="auto"/>
      </w:divBdr>
      <w:divsChild>
        <w:div w:id="1136950256">
          <w:marLeft w:val="0"/>
          <w:marRight w:val="0"/>
          <w:marTop w:val="0"/>
          <w:marBottom w:val="0"/>
          <w:divBdr>
            <w:top w:val="none" w:sz="0" w:space="0" w:color="auto"/>
            <w:left w:val="none" w:sz="0" w:space="0" w:color="auto"/>
            <w:bottom w:val="none" w:sz="0" w:space="0" w:color="auto"/>
            <w:right w:val="none" w:sz="0" w:space="0" w:color="auto"/>
          </w:divBdr>
        </w:div>
        <w:div w:id="1472095426">
          <w:marLeft w:val="0"/>
          <w:marRight w:val="0"/>
          <w:marTop w:val="0"/>
          <w:marBottom w:val="0"/>
          <w:divBdr>
            <w:top w:val="none" w:sz="0" w:space="0" w:color="auto"/>
            <w:left w:val="none" w:sz="0" w:space="0" w:color="auto"/>
            <w:bottom w:val="none" w:sz="0" w:space="0" w:color="auto"/>
            <w:right w:val="none" w:sz="0" w:space="0" w:color="auto"/>
          </w:divBdr>
        </w:div>
      </w:divsChild>
    </w:div>
    <w:div w:id="113141745">
      <w:bodyDiv w:val="1"/>
      <w:marLeft w:val="0"/>
      <w:marRight w:val="0"/>
      <w:marTop w:val="0"/>
      <w:marBottom w:val="0"/>
      <w:divBdr>
        <w:top w:val="none" w:sz="0" w:space="0" w:color="auto"/>
        <w:left w:val="none" w:sz="0" w:space="0" w:color="auto"/>
        <w:bottom w:val="none" w:sz="0" w:space="0" w:color="auto"/>
        <w:right w:val="none" w:sz="0" w:space="0" w:color="auto"/>
      </w:divBdr>
    </w:div>
    <w:div w:id="145980082">
      <w:bodyDiv w:val="1"/>
      <w:marLeft w:val="0"/>
      <w:marRight w:val="0"/>
      <w:marTop w:val="0"/>
      <w:marBottom w:val="0"/>
      <w:divBdr>
        <w:top w:val="none" w:sz="0" w:space="0" w:color="auto"/>
        <w:left w:val="none" w:sz="0" w:space="0" w:color="auto"/>
        <w:bottom w:val="none" w:sz="0" w:space="0" w:color="auto"/>
        <w:right w:val="none" w:sz="0" w:space="0" w:color="auto"/>
      </w:divBdr>
    </w:div>
    <w:div w:id="356082145">
      <w:bodyDiv w:val="1"/>
      <w:marLeft w:val="0"/>
      <w:marRight w:val="0"/>
      <w:marTop w:val="0"/>
      <w:marBottom w:val="0"/>
      <w:divBdr>
        <w:top w:val="none" w:sz="0" w:space="0" w:color="auto"/>
        <w:left w:val="none" w:sz="0" w:space="0" w:color="auto"/>
        <w:bottom w:val="none" w:sz="0" w:space="0" w:color="auto"/>
        <w:right w:val="none" w:sz="0" w:space="0" w:color="auto"/>
      </w:divBdr>
      <w:divsChild>
        <w:div w:id="1320963506">
          <w:marLeft w:val="0"/>
          <w:marRight w:val="0"/>
          <w:marTop w:val="0"/>
          <w:marBottom w:val="0"/>
          <w:divBdr>
            <w:top w:val="none" w:sz="0" w:space="0" w:color="auto"/>
            <w:left w:val="none" w:sz="0" w:space="0" w:color="auto"/>
            <w:bottom w:val="none" w:sz="0" w:space="0" w:color="auto"/>
            <w:right w:val="none" w:sz="0" w:space="0" w:color="auto"/>
          </w:divBdr>
        </w:div>
        <w:div w:id="913515038">
          <w:marLeft w:val="0"/>
          <w:marRight w:val="0"/>
          <w:marTop w:val="0"/>
          <w:marBottom w:val="0"/>
          <w:divBdr>
            <w:top w:val="none" w:sz="0" w:space="0" w:color="auto"/>
            <w:left w:val="none" w:sz="0" w:space="0" w:color="auto"/>
            <w:bottom w:val="none" w:sz="0" w:space="0" w:color="auto"/>
            <w:right w:val="none" w:sz="0" w:space="0" w:color="auto"/>
          </w:divBdr>
        </w:div>
        <w:div w:id="1859001389">
          <w:marLeft w:val="0"/>
          <w:marRight w:val="0"/>
          <w:marTop w:val="0"/>
          <w:marBottom w:val="0"/>
          <w:divBdr>
            <w:top w:val="none" w:sz="0" w:space="0" w:color="auto"/>
            <w:left w:val="none" w:sz="0" w:space="0" w:color="auto"/>
            <w:bottom w:val="none" w:sz="0" w:space="0" w:color="auto"/>
            <w:right w:val="none" w:sz="0" w:space="0" w:color="auto"/>
          </w:divBdr>
        </w:div>
        <w:div w:id="14043374">
          <w:marLeft w:val="0"/>
          <w:marRight w:val="0"/>
          <w:marTop w:val="0"/>
          <w:marBottom w:val="0"/>
          <w:divBdr>
            <w:top w:val="none" w:sz="0" w:space="0" w:color="auto"/>
            <w:left w:val="none" w:sz="0" w:space="0" w:color="auto"/>
            <w:bottom w:val="none" w:sz="0" w:space="0" w:color="auto"/>
            <w:right w:val="none" w:sz="0" w:space="0" w:color="auto"/>
          </w:divBdr>
        </w:div>
        <w:div w:id="1875537548">
          <w:marLeft w:val="0"/>
          <w:marRight w:val="0"/>
          <w:marTop w:val="0"/>
          <w:marBottom w:val="0"/>
          <w:divBdr>
            <w:top w:val="none" w:sz="0" w:space="0" w:color="auto"/>
            <w:left w:val="none" w:sz="0" w:space="0" w:color="auto"/>
            <w:bottom w:val="none" w:sz="0" w:space="0" w:color="auto"/>
            <w:right w:val="none" w:sz="0" w:space="0" w:color="auto"/>
          </w:divBdr>
        </w:div>
      </w:divsChild>
    </w:div>
    <w:div w:id="396705585">
      <w:bodyDiv w:val="1"/>
      <w:marLeft w:val="0"/>
      <w:marRight w:val="0"/>
      <w:marTop w:val="0"/>
      <w:marBottom w:val="0"/>
      <w:divBdr>
        <w:top w:val="none" w:sz="0" w:space="0" w:color="auto"/>
        <w:left w:val="none" w:sz="0" w:space="0" w:color="auto"/>
        <w:bottom w:val="none" w:sz="0" w:space="0" w:color="auto"/>
        <w:right w:val="none" w:sz="0" w:space="0" w:color="auto"/>
      </w:divBdr>
    </w:div>
    <w:div w:id="421952728">
      <w:bodyDiv w:val="1"/>
      <w:marLeft w:val="0"/>
      <w:marRight w:val="0"/>
      <w:marTop w:val="0"/>
      <w:marBottom w:val="0"/>
      <w:divBdr>
        <w:top w:val="none" w:sz="0" w:space="0" w:color="auto"/>
        <w:left w:val="none" w:sz="0" w:space="0" w:color="auto"/>
        <w:bottom w:val="none" w:sz="0" w:space="0" w:color="auto"/>
        <w:right w:val="none" w:sz="0" w:space="0" w:color="auto"/>
      </w:divBdr>
      <w:divsChild>
        <w:div w:id="1677733473">
          <w:marLeft w:val="0"/>
          <w:marRight w:val="0"/>
          <w:marTop w:val="0"/>
          <w:marBottom w:val="0"/>
          <w:divBdr>
            <w:top w:val="none" w:sz="0" w:space="0" w:color="auto"/>
            <w:left w:val="none" w:sz="0" w:space="0" w:color="auto"/>
            <w:bottom w:val="none" w:sz="0" w:space="0" w:color="auto"/>
            <w:right w:val="none" w:sz="0" w:space="0" w:color="auto"/>
          </w:divBdr>
        </w:div>
        <w:div w:id="1159615823">
          <w:marLeft w:val="0"/>
          <w:marRight w:val="0"/>
          <w:marTop w:val="0"/>
          <w:marBottom w:val="0"/>
          <w:divBdr>
            <w:top w:val="none" w:sz="0" w:space="0" w:color="auto"/>
            <w:left w:val="none" w:sz="0" w:space="0" w:color="auto"/>
            <w:bottom w:val="none" w:sz="0" w:space="0" w:color="auto"/>
            <w:right w:val="none" w:sz="0" w:space="0" w:color="auto"/>
          </w:divBdr>
        </w:div>
        <w:div w:id="1453742771">
          <w:marLeft w:val="0"/>
          <w:marRight w:val="0"/>
          <w:marTop w:val="0"/>
          <w:marBottom w:val="0"/>
          <w:divBdr>
            <w:top w:val="none" w:sz="0" w:space="0" w:color="auto"/>
            <w:left w:val="none" w:sz="0" w:space="0" w:color="auto"/>
            <w:bottom w:val="none" w:sz="0" w:space="0" w:color="auto"/>
            <w:right w:val="none" w:sz="0" w:space="0" w:color="auto"/>
          </w:divBdr>
        </w:div>
      </w:divsChild>
    </w:div>
    <w:div w:id="672757992">
      <w:bodyDiv w:val="1"/>
      <w:marLeft w:val="0"/>
      <w:marRight w:val="0"/>
      <w:marTop w:val="0"/>
      <w:marBottom w:val="0"/>
      <w:divBdr>
        <w:top w:val="none" w:sz="0" w:space="0" w:color="auto"/>
        <w:left w:val="none" w:sz="0" w:space="0" w:color="auto"/>
        <w:bottom w:val="none" w:sz="0" w:space="0" w:color="auto"/>
        <w:right w:val="none" w:sz="0" w:space="0" w:color="auto"/>
      </w:divBdr>
      <w:divsChild>
        <w:div w:id="1782797286">
          <w:marLeft w:val="0"/>
          <w:marRight w:val="0"/>
          <w:marTop w:val="0"/>
          <w:marBottom w:val="0"/>
          <w:divBdr>
            <w:top w:val="none" w:sz="0" w:space="0" w:color="auto"/>
            <w:left w:val="none" w:sz="0" w:space="0" w:color="auto"/>
            <w:bottom w:val="none" w:sz="0" w:space="0" w:color="auto"/>
            <w:right w:val="none" w:sz="0" w:space="0" w:color="auto"/>
          </w:divBdr>
        </w:div>
        <w:div w:id="925385691">
          <w:marLeft w:val="0"/>
          <w:marRight w:val="0"/>
          <w:marTop w:val="0"/>
          <w:marBottom w:val="0"/>
          <w:divBdr>
            <w:top w:val="none" w:sz="0" w:space="0" w:color="auto"/>
            <w:left w:val="none" w:sz="0" w:space="0" w:color="auto"/>
            <w:bottom w:val="none" w:sz="0" w:space="0" w:color="auto"/>
            <w:right w:val="none" w:sz="0" w:space="0" w:color="auto"/>
          </w:divBdr>
        </w:div>
        <w:div w:id="1012031154">
          <w:marLeft w:val="0"/>
          <w:marRight w:val="0"/>
          <w:marTop w:val="0"/>
          <w:marBottom w:val="0"/>
          <w:divBdr>
            <w:top w:val="none" w:sz="0" w:space="0" w:color="auto"/>
            <w:left w:val="none" w:sz="0" w:space="0" w:color="auto"/>
            <w:bottom w:val="none" w:sz="0" w:space="0" w:color="auto"/>
            <w:right w:val="none" w:sz="0" w:space="0" w:color="auto"/>
          </w:divBdr>
        </w:div>
        <w:div w:id="1925675741">
          <w:marLeft w:val="0"/>
          <w:marRight w:val="0"/>
          <w:marTop w:val="0"/>
          <w:marBottom w:val="0"/>
          <w:divBdr>
            <w:top w:val="none" w:sz="0" w:space="0" w:color="auto"/>
            <w:left w:val="none" w:sz="0" w:space="0" w:color="auto"/>
            <w:bottom w:val="none" w:sz="0" w:space="0" w:color="auto"/>
            <w:right w:val="none" w:sz="0" w:space="0" w:color="auto"/>
          </w:divBdr>
        </w:div>
      </w:divsChild>
    </w:div>
    <w:div w:id="787743811">
      <w:bodyDiv w:val="1"/>
      <w:marLeft w:val="0"/>
      <w:marRight w:val="0"/>
      <w:marTop w:val="0"/>
      <w:marBottom w:val="0"/>
      <w:divBdr>
        <w:top w:val="none" w:sz="0" w:space="0" w:color="auto"/>
        <w:left w:val="none" w:sz="0" w:space="0" w:color="auto"/>
        <w:bottom w:val="none" w:sz="0" w:space="0" w:color="auto"/>
        <w:right w:val="none" w:sz="0" w:space="0" w:color="auto"/>
      </w:divBdr>
    </w:div>
    <w:div w:id="845096428">
      <w:bodyDiv w:val="1"/>
      <w:marLeft w:val="0"/>
      <w:marRight w:val="0"/>
      <w:marTop w:val="0"/>
      <w:marBottom w:val="0"/>
      <w:divBdr>
        <w:top w:val="none" w:sz="0" w:space="0" w:color="auto"/>
        <w:left w:val="none" w:sz="0" w:space="0" w:color="auto"/>
        <w:bottom w:val="none" w:sz="0" w:space="0" w:color="auto"/>
        <w:right w:val="none" w:sz="0" w:space="0" w:color="auto"/>
      </w:divBdr>
      <w:divsChild>
        <w:div w:id="467432355">
          <w:marLeft w:val="0"/>
          <w:marRight w:val="0"/>
          <w:marTop w:val="0"/>
          <w:marBottom w:val="0"/>
          <w:divBdr>
            <w:top w:val="none" w:sz="0" w:space="0" w:color="auto"/>
            <w:left w:val="none" w:sz="0" w:space="0" w:color="auto"/>
            <w:bottom w:val="none" w:sz="0" w:space="0" w:color="auto"/>
            <w:right w:val="none" w:sz="0" w:space="0" w:color="auto"/>
          </w:divBdr>
        </w:div>
        <w:div w:id="1653632156">
          <w:marLeft w:val="0"/>
          <w:marRight w:val="0"/>
          <w:marTop w:val="0"/>
          <w:marBottom w:val="0"/>
          <w:divBdr>
            <w:top w:val="none" w:sz="0" w:space="0" w:color="auto"/>
            <w:left w:val="none" w:sz="0" w:space="0" w:color="auto"/>
            <w:bottom w:val="none" w:sz="0" w:space="0" w:color="auto"/>
            <w:right w:val="none" w:sz="0" w:space="0" w:color="auto"/>
          </w:divBdr>
        </w:div>
      </w:divsChild>
    </w:div>
    <w:div w:id="938483527">
      <w:bodyDiv w:val="1"/>
      <w:marLeft w:val="0"/>
      <w:marRight w:val="0"/>
      <w:marTop w:val="0"/>
      <w:marBottom w:val="0"/>
      <w:divBdr>
        <w:top w:val="none" w:sz="0" w:space="0" w:color="auto"/>
        <w:left w:val="none" w:sz="0" w:space="0" w:color="auto"/>
        <w:bottom w:val="none" w:sz="0" w:space="0" w:color="auto"/>
        <w:right w:val="none" w:sz="0" w:space="0" w:color="auto"/>
      </w:divBdr>
    </w:div>
    <w:div w:id="964040617">
      <w:bodyDiv w:val="1"/>
      <w:marLeft w:val="0"/>
      <w:marRight w:val="0"/>
      <w:marTop w:val="0"/>
      <w:marBottom w:val="0"/>
      <w:divBdr>
        <w:top w:val="none" w:sz="0" w:space="0" w:color="auto"/>
        <w:left w:val="none" w:sz="0" w:space="0" w:color="auto"/>
        <w:bottom w:val="none" w:sz="0" w:space="0" w:color="auto"/>
        <w:right w:val="none" w:sz="0" w:space="0" w:color="auto"/>
      </w:divBdr>
      <w:divsChild>
        <w:div w:id="1764646226">
          <w:marLeft w:val="0"/>
          <w:marRight w:val="0"/>
          <w:marTop w:val="0"/>
          <w:marBottom w:val="0"/>
          <w:divBdr>
            <w:top w:val="none" w:sz="0" w:space="0" w:color="auto"/>
            <w:left w:val="none" w:sz="0" w:space="0" w:color="auto"/>
            <w:bottom w:val="none" w:sz="0" w:space="0" w:color="auto"/>
            <w:right w:val="none" w:sz="0" w:space="0" w:color="auto"/>
          </w:divBdr>
        </w:div>
        <w:div w:id="660739573">
          <w:marLeft w:val="0"/>
          <w:marRight w:val="0"/>
          <w:marTop w:val="0"/>
          <w:marBottom w:val="0"/>
          <w:divBdr>
            <w:top w:val="none" w:sz="0" w:space="0" w:color="auto"/>
            <w:left w:val="none" w:sz="0" w:space="0" w:color="auto"/>
            <w:bottom w:val="none" w:sz="0" w:space="0" w:color="auto"/>
            <w:right w:val="none" w:sz="0" w:space="0" w:color="auto"/>
          </w:divBdr>
        </w:div>
        <w:div w:id="1917201009">
          <w:marLeft w:val="0"/>
          <w:marRight w:val="0"/>
          <w:marTop w:val="0"/>
          <w:marBottom w:val="0"/>
          <w:divBdr>
            <w:top w:val="none" w:sz="0" w:space="0" w:color="auto"/>
            <w:left w:val="none" w:sz="0" w:space="0" w:color="auto"/>
            <w:bottom w:val="none" w:sz="0" w:space="0" w:color="auto"/>
            <w:right w:val="none" w:sz="0" w:space="0" w:color="auto"/>
          </w:divBdr>
        </w:div>
      </w:divsChild>
    </w:div>
    <w:div w:id="1020081831">
      <w:bodyDiv w:val="1"/>
      <w:marLeft w:val="0"/>
      <w:marRight w:val="0"/>
      <w:marTop w:val="0"/>
      <w:marBottom w:val="0"/>
      <w:divBdr>
        <w:top w:val="none" w:sz="0" w:space="0" w:color="auto"/>
        <w:left w:val="none" w:sz="0" w:space="0" w:color="auto"/>
        <w:bottom w:val="none" w:sz="0" w:space="0" w:color="auto"/>
        <w:right w:val="none" w:sz="0" w:space="0" w:color="auto"/>
      </w:divBdr>
    </w:div>
    <w:div w:id="1044257688">
      <w:bodyDiv w:val="1"/>
      <w:marLeft w:val="0"/>
      <w:marRight w:val="0"/>
      <w:marTop w:val="0"/>
      <w:marBottom w:val="0"/>
      <w:divBdr>
        <w:top w:val="none" w:sz="0" w:space="0" w:color="auto"/>
        <w:left w:val="none" w:sz="0" w:space="0" w:color="auto"/>
        <w:bottom w:val="none" w:sz="0" w:space="0" w:color="auto"/>
        <w:right w:val="none" w:sz="0" w:space="0" w:color="auto"/>
      </w:divBdr>
      <w:divsChild>
        <w:div w:id="175929117">
          <w:marLeft w:val="0"/>
          <w:marRight w:val="0"/>
          <w:marTop w:val="0"/>
          <w:marBottom w:val="0"/>
          <w:divBdr>
            <w:top w:val="none" w:sz="0" w:space="0" w:color="auto"/>
            <w:left w:val="none" w:sz="0" w:space="0" w:color="auto"/>
            <w:bottom w:val="none" w:sz="0" w:space="0" w:color="auto"/>
            <w:right w:val="none" w:sz="0" w:space="0" w:color="auto"/>
          </w:divBdr>
          <w:divsChild>
            <w:div w:id="864640560">
              <w:marLeft w:val="0"/>
              <w:marRight w:val="0"/>
              <w:marTop w:val="0"/>
              <w:marBottom w:val="0"/>
              <w:divBdr>
                <w:top w:val="none" w:sz="0" w:space="0" w:color="auto"/>
                <w:left w:val="none" w:sz="0" w:space="0" w:color="auto"/>
                <w:bottom w:val="none" w:sz="0" w:space="0" w:color="auto"/>
                <w:right w:val="none" w:sz="0" w:space="0" w:color="auto"/>
              </w:divBdr>
              <w:divsChild>
                <w:div w:id="870535138">
                  <w:marLeft w:val="0"/>
                  <w:marRight w:val="0"/>
                  <w:marTop w:val="0"/>
                  <w:marBottom w:val="0"/>
                  <w:divBdr>
                    <w:top w:val="none" w:sz="0" w:space="0" w:color="auto"/>
                    <w:left w:val="none" w:sz="0" w:space="0" w:color="auto"/>
                    <w:bottom w:val="none" w:sz="0" w:space="0" w:color="auto"/>
                    <w:right w:val="none" w:sz="0" w:space="0" w:color="auto"/>
                  </w:divBdr>
                  <w:divsChild>
                    <w:div w:id="104809653">
                      <w:marLeft w:val="0"/>
                      <w:marRight w:val="0"/>
                      <w:marTop w:val="0"/>
                      <w:marBottom w:val="0"/>
                      <w:divBdr>
                        <w:top w:val="none" w:sz="0" w:space="0" w:color="auto"/>
                        <w:left w:val="none" w:sz="0" w:space="0" w:color="auto"/>
                        <w:bottom w:val="none" w:sz="0" w:space="0" w:color="auto"/>
                        <w:right w:val="none" w:sz="0" w:space="0" w:color="auto"/>
                      </w:divBdr>
                    </w:div>
                    <w:div w:id="1639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74112">
      <w:bodyDiv w:val="1"/>
      <w:marLeft w:val="0"/>
      <w:marRight w:val="0"/>
      <w:marTop w:val="0"/>
      <w:marBottom w:val="0"/>
      <w:divBdr>
        <w:top w:val="none" w:sz="0" w:space="0" w:color="auto"/>
        <w:left w:val="none" w:sz="0" w:space="0" w:color="auto"/>
        <w:bottom w:val="none" w:sz="0" w:space="0" w:color="auto"/>
        <w:right w:val="none" w:sz="0" w:space="0" w:color="auto"/>
      </w:divBdr>
    </w:div>
    <w:div w:id="1349870585">
      <w:bodyDiv w:val="1"/>
      <w:marLeft w:val="0"/>
      <w:marRight w:val="0"/>
      <w:marTop w:val="0"/>
      <w:marBottom w:val="0"/>
      <w:divBdr>
        <w:top w:val="none" w:sz="0" w:space="0" w:color="auto"/>
        <w:left w:val="none" w:sz="0" w:space="0" w:color="auto"/>
        <w:bottom w:val="none" w:sz="0" w:space="0" w:color="auto"/>
        <w:right w:val="none" w:sz="0" w:space="0" w:color="auto"/>
      </w:divBdr>
    </w:div>
    <w:div w:id="1828789653">
      <w:bodyDiv w:val="1"/>
      <w:marLeft w:val="0"/>
      <w:marRight w:val="0"/>
      <w:marTop w:val="0"/>
      <w:marBottom w:val="0"/>
      <w:divBdr>
        <w:top w:val="none" w:sz="0" w:space="0" w:color="auto"/>
        <w:left w:val="none" w:sz="0" w:space="0" w:color="auto"/>
        <w:bottom w:val="none" w:sz="0" w:space="0" w:color="auto"/>
        <w:right w:val="none" w:sz="0" w:space="0" w:color="auto"/>
      </w:divBdr>
      <w:divsChild>
        <w:div w:id="1034190054">
          <w:marLeft w:val="0"/>
          <w:marRight w:val="0"/>
          <w:marTop w:val="0"/>
          <w:marBottom w:val="0"/>
          <w:divBdr>
            <w:top w:val="none" w:sz="0" w:space="0" w:color="auto"/>
            <w:left w:val="none" w:sz="0" w:space="0" w:color="auto"/>
            <w:bottom w:val="none" w:sz="0" w:space="0" w:color="auto"/>
            <w:right w:val="none" w:sz="0" w:space="0" w:color="auto"/>
          </w:divBdr>
        </w:div>
        <w:div w:id="749011282">
          <w:marLeft w:val="0"/>
          <w:marRight w:val="0"/>
          <w:marTop w:val="0"/>
          <w:marBottom w:val="0"/>
          <w:divBdr>
            <w:top w:val="none" w:sz="0" w:space="0" w:color="auto"/>
            <w:left w:val="none" w:sz="0" w:space="0" w:color="auto"/>
            <w:bottom w:val="none" w:sz="0" w:space="0" w:color="auto"/>
            <w:right w:val="none" w:sz="0" w:space="0" w:color="auto"/>
          </w:divBdr>
        </w:div>
        <w:div w:id="999625505">
          <w:marLeft w:val="0"/>
          <w:marRight w:val="0"/>
          <w:marTop w:val="0"/>
          <w:marBottom w:val="0"/>
          <w:divBdr>
            <w:top w:val="none" w:sz="0" w:space="0" w:color="auto"/>
            <w:left w:val="none" w:sz="0" w:space="0" w:color="auto"/>
            <w:bottom w:val="none" w:sz="0" w:space="0" w:color="auto"/>
            <w:right w:val="none" w:sz="0" w:space="0" w:color="auto"/>
          </w:divBdr>
        </w:div>
        <w:div w:id="1560746467">
          <w:marLeft w:val="0"/>
          <w:marRight w:val="0"/>
          <w:marTop w:val="0"/>
          <w:marBottom w:val="0"/>
          <w:divBdr>
            <w:top w:val="none" w:sz="0" w:space="0" w:color="auto"/>
            <w:left w:val="none" w:sz="0" w:space="0" w:color="auto"/>
            <w:bottom w:val="none" w:sz="0" w:space="0" w:color="auto"/>
            <w:right w:val="none" w:sz="0" w:space="0" w:color="auto"/>
          </w:divBdr>
        </w:div>
        <w:div w:id="458571490">
          <w:marLeft w:val="0"/>
          <w:marRight w:val="0"/>
          <w:marTop w:val="0"/>
          <w:marBottom w:val="0"/>
          <w:divBdr>
            <w:top w:val="none" w:sz="0" w:space="0" w:color="auto"/>
            <w:left w:val="none" w:sz="0" w:space="0" w:color="auto"/>
            <w:bottom w:val="none" w:sz="0" w:space="0" w:color="auto"/>
            <w:right w:val="none" w:sz="0" w:space="0" w:color="auto"/>
          </w:divBdr>
        </w:div>
      </w:divsChild>
    </w:div>
    <w:div w:id="2032097916">
      <w:bodyDiv w:val="1"/>
      <w:marLeft w:val="0"/>
      <w:marRight w:val="0"/>
      <w:marTop w:val="0"/>
      <w:marBottom w:val="0"/>
      <w:divBdr>
        <w:top w:val="none" w:sz="0" w:space="0" w:color="auto"/>
        <w:left w:val="none" w:sz="0" w:space="0" w:color="auto"/>
        <w:bottom w:val="none" w:sz="0" w:space="0" w:color="auto"/>
        <w:right w:val="none" w:sz="0" w:space="0" w:color="auto"/>
      </w:divBdr>
    </w:div>
    <w:div w:id="2098088074">
      <w:bodyDiv w:val="1"/>
      <w:marLeft w:val="0"/>
      <w:marRight w:val="0"/>
      <w:marTop w:val="0"/>
      <w:marBottom w:val="0"/>
      <w:divBdr>
        <w:top w:val="none" w:sz="0" w:space="0" w:color="auto"/>
        <w:left w:val="none" w:sz="0" w:space="0" w:color="auto"/>
        <w:bottom w:val="none" w:sz="0" w:space="0" w:color="auto"/>
        <w:right w:val="none" w:sz="0" w:space="0" w:color="auto"/>
      </w:divBdr>
      <w:divsChild>
        <w:div w:id="2069572363">
          <w:marLeft w:val="0"/>
          <w:marRight w:val="0"/>
          <w:marTop w:val="0"/>
          <w:marBottom w:val="0"/>
          <w:divBdr>
            <w:top w:val="none" w:sz="0" w:space="0" w:color="auto"/>
            <w:left w:val="none" w:sz="0" w:space="0" w:color="auto"/>
            <w:bottom w:val="none" w:sz="0" w:space="0" w:color="auto"/>
            <w:right w:val="none" w:sz="0" w:space="0" w:color="auto"/>
          </w:divBdr>
        </w:div>
        <w:div w:id="167314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item/27-06-2017-joint-united-nations-statement-on-ending-discrimination-i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0" ma:contentTypeDescription="Create a new document." ma:contentTypeScope="" ma:versionID="d67d83bf316eafc89b9ec16bbede69e8">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dbc40ede9d40ddd29a53357338778b59"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F8366-9880-4697-9316-B5417D05B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0BEF9-81F7-4D1F-8B73-11679E2A4D97}">
  <ds:schemaRefs>
    <ds:schemaRef ds:uri="http://schemas.openxmlformats.org/officeDocument/2006/bibliography"/>
  </ds:schemaRefs>
</ds:datastoreItem>
</file>

<file path=customXml/itemProps3.xml><?xml version="1.0" encoding="utf-8"?>
<ds:datastoreItem xmlns:ds="http://schemas.openxmlformats.org/officeDocument/2006/customXml" ds:itemID="{D865DABC-097E-481F-9D6A-ED5C0100F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5030</Words>
  <Characters>26267</Characters>
  <Application>Microsoft Office Word</Application>
  <DocSecurity>0</DocSecurity>
  <Lines>472</Lines>
  <Paragraphs>126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cp:lastPrinted>2022-04-20T06:42:00Z</cp:lastPrinted>
  <dcterms:created xsi:type="dcterms:W3CDTF">2022-10-20T00:59:00Z</dcterms:created>
  <dcterms:modified xsi:type="dcterms:W3CDTF">2022-10-20T00:59:00Z</dcterms:modified>
</cp:coreProperties>
</file>