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F9EF" w14:textId="77777777" w:rsidR="007D4A14" w:rsidRDefault="007D4A14" w:rsidP="007D4A1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B6D2776" w14:textId="72201A41" w:rsidR="007D4A14" w:rsidRDefault="008A31BC" w:rsidP="007D4A14">
      <w:pPr>
        <w:pStyle w:val="Billname"/>
        <w:spacing w:before="700"/>
      </w:pPr>
      <w:r>
        <w:t xml:space="preserve">Bail Amendment </w:t>
      </w:r>
      <w:r w:rsidR="007D4A14" w:rsidRPr="0022199A">
        <w:t>Regulation 202</w:t>
      </w:r>
      <w:r>
        <w:t>1</w:t>
      </w:r>
      <w:r w:rsidR="009F6FA7">
        <w:t xml:space="preserve"> (No 1)</w:t>
      </w:r>
    </w:p>
    <w:p w14:paraId="758F810D" w14:textId="3539BF15" w:rsidR="007D4A14" w:rsidRDefault="007D4A14" w:rsidP="007D4A1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Subordinate law </w:t>
      </w:r>
      <w:r w:rsidRPr="006914DB">
        <w:rPr>
          <w:rFonts w:ascii="Arial" w:hAnsi="Arial" w:cs="Arial"/>
          <w:b/>
          <w:bCs/>
        </w:rPr>
        <w:t>SL202</w:t>
      </w:r>
      <w:r w:rsidR="008A31BC">
        <w:rPr>
          <w:rFonts w:ascii="Arial" w:hAnsi="Arial" w:cs="Arial"/>
          <w:b/>
          <w:bCs/>
        </w:rPr>
        <w:t>1</w:t>
      </w:r>
      <w:r w:rsidRPr="006914DB">
        <w:rPr>
          <w:rFonts w:ascii="Arial" w:hAnsi="Arial" w:cs="Arial"/>
          <w:b/>
          <w:bCs/>
        </w:rPr>
        <w:t>-</w:t>
      </w:r>
      <w:r w:rsidR="009F6FA7">
        <w:rPr>
          <w:rFonts w:ascii="Arial" w:hAnsi="Arial" w:cs="Arial"/>
          <w:b/>
          <w:bCs/>
        </w:rPr>
        <w:t>4</w:t>
      </w:r>
    </w:p>
    <w:p w14:paraId="1D56CFDA" w14:textId="77777777" w:rsidR="007D4A14" w:rsidRPr="00C37CAC" w:rsidRDefault="007D4A14" w:rsidP="007D4A14">
      <w:pPr>
        <w:pStyle w:val="madeunder"/>
        <w:spacing w:before="300" w:after="0"/>
        <w:rPr>
          <w:rFonts w:ascii="Arial" w:hAnsi="Arial" w:cs="Arial"/>
          <w:sz w:val="20"/>
        </w:rPr>
      </w:pPr>
      <w:r w:rsidRPr="00C37CAC">
        <w:rPr>
          <w:rFonts w:ascii="Arial" w:hAnsi="Arial" w:cs="Arial"/>
          <w:sz w:val="20"/>
        </w:rPr>
        <w:t xml:space="preserve">made under the  </w:t>
      </w:r>
    </w:p>
    <w:p w14:paraId="2670A90D" w14:textId="2D6FF428" w:rsidR="007D4A14" w:rsidRDefault="008A31BC" w:rsidP="007D4A1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Bail </w:t>
      </w:r>
      <w:r w:rsidR="007D4A14" w:rsidRPr="00C37CAC">
        <w:rPr>
          <w:rFonts w:cs="Arial"/>
          <w:sz w:val="20"/>
        </w:rPr>
        <w:t>Act</w:t>
      </w:r>
      <w:r w:rsidR="007D4A14">
        <w:rPr>
          <w:rFonts w:cs="Arial"/>
          <w:sz w:val="20"/>
        </w:rPr>
        <w:t xml:space="preserve"> 19</w:t>
      </w:r>
      <w:r>
        <w:rPr>
          <w:rFonts w:cs="Arial"/>
          <w:sz w:val="20"/>
        </w:rPr>
        <w:t>92</w:t>
      </w:r>
    </w:p>
    <w:p w14:paraId="4B121CCE" w14:textId="77777777" w:rsidR="007D4A14" w:rsidRDefault="007D4A14" w:rsidP="007D4A14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0E7F6D0" w14:textId="77777777" w:rsidR="007D4A14" w:rsidRDefault="007D4A14" w:rsidP="007D4A14">
      <w:pPr>
        <w:pStyle w:val="N-line3"/>
        <w:pBdr>
          <w:bottom w:val="none" w:sz="0" w:space="0" w:color="auto"/>
        </w:pBdr>
      </w:pPr>
    </w:p>
    <w:p w14:paraId="2DF43339" w14:textId="77777777" w:rsidR="007D4A14" w:rsidRDefault="007D4A14" w:rsidP="007D4A1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81A2FA5" w14:textId="26CBAD14" w:rsidR="008A31BC" w:rsidRDefault="008A31BC" w:rsidP="00156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34 of the </w:t>
      </w:r>
      <w:r w:rsidRPr="008A31BC">
        <w:rPr>
          <w:rFonts w:ascii="Arial" w:hAnsi="Arial" w:cs="Arial"/>
          <w:i/>
          <w:iCs/>
          <w:sz w:val="24"/>
          <w:szCs w:val="24"/>
        </w:rPr>
        <w:t>Bail</w:t>
      </w:r>
      <w:r w:rsidR="0099572B" w:rsidRPr="008A31BC">
        <w:rPr>
          <w:rFonts w:ascii="Arial" w:hAnsi="Arial" w:cs="Arial"/>
          <w:i/>
          <w:iCs/>
          <w:sz w:val="24"/>
          <w:szCs w:val="24"/>
        </w:rPr>
        <w:t xml:space="preserve"> Act</w:t>
      </w:r>
      <w:r w:rsidR="0099572B">
        <w:rPr>
          <w:rFonts w:ascii="Arial" w:hAnsi="Arial" w:cs="Arial"/>
          <w:i/>
          <w:iCs/>
          <w:sz w:val="24"/>
          <w:szCs w:val="24"/>
        </w:rPr>
        <w:t xml:space="preserve"> 19</w:t>
      </w:r>
      <w:r>
        <w:rPr>
          <w:rFonts w:ascii="Arial" w:hAnsi="Arial" w:cs="Arial"/>
          <w:i/>
          <w:iCs/>
          <w:sz w:val="24"/>
          <w:szCs w:val="24"/>
        </w:rPr>
        <w:t>92</w:t>
      </w:r>
      <w:r w:rsidR="0099572B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(the Act) </w:t>
      </w:r>
      <w:r w:rsidR="0099572B">
        <w:rPr>
          <w:rFonts w:ascii="Arial" w:hAnsi="Arial" w:cs="Arial"/>
          <w:sz w:val="24"/>
          <w:szCs w:val="24"/>
        </w:rPr>
        <w:t xml:space="preserve">provides that </w:t>
      </w:r>
      <w:r>
        <w:rPr>
          <w:rFonts w:ascii="Arial" w:hAnsi="Arial" w:cs="Arial"/>
          <w:sz w:val="24"/>
          <w:szCs w:val="24"/>
        </w:rPr>
        <w:t>an accused person granted bail must be given certain information about their bail, by written notice.</w:t>
      </w:r>
    </w:p>
    <w:p w14:paraId="7FF90720" w14:textId="7D76A90D" w:rsidR="004558AC" w:rsidRPr="004558AC" w:rsidRDefault="00255A46" w:rsidP="00255A4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The section also </w:t>
      </w:r>
      <w:r w:rsidR="00DB54E5">
        <w:rPr>
          <w:rFonts w:ascii="Arial" w:hAnsi="Arial" w:cs="Arial"/>
          <w:sz w:val="24"/>
          <w:szCs w:val="24"/>
        </w:rPr>
        <w:t xml:space="preserve">requires that a court continuing bail on an adjournment or postponement of proceedings </w:t>
      </w:r>
      <w:r w:rsidR="006D60A5">
        <w:rPr>
          <w:rFonts w:ascii="Arial" w:hAnsi="Arial" w:cs="Arial"/>
          <w:sz w:val="24"/>
          <w:szCs w:val="24"/>
        </w:rPr>
        <w:t xml:space="preserve">give </w:t>
      </w:r>
      <w:r>
        <w:rPr>
          <w:rFonts w:ascii="Arial" w:hAnsi="Arial" w:cs="Arial"/>
          <w:sz w:val="24"/>
          <w:szCs w:val="24"/>
        </w:rPr>
        <w:t xml:space="preserve">the accused person </w:t>
      </w:r>
      <w:r w:rsidR="006D60A5">
        <w:rPr>
          <w:rFonts w:ascii="Arial" w:hAnsi="Arial" w:cs="Arial"/>
          <w:sz w:val="24"/>
          <w:szCs w:val="24"/>
        </w:rPr>
        <w:t>a notice to continue bail</w:t>
      </w:r>
      <w:r w:rsidR="004558AC">
        <w:rPr>
          <w:rFonts w:ascii="Arial" w:hAnsi="Arial" w:cs="Arial"/>
          <w:sz w:val="24"/>
          <w:szCs w:val="24"/>
        </w:rPr>
        <w:t>.</w:t>
      </w:r>
    </w:p>
    <w:p w14:paraId="4DB19AB5" w14:textId="4C405D2B" w:rsidR="004128F5" w:rsidRDefault="004558AC" w:rsidP="00156A9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Section 4 of the </w:t>
      </w:r>
      <w:r w:rsidRPr="00156A90">
        <w:rPr>
          <w:rFonts w:ascii="Arial" w:hAnsi="Arial" w:cs="Arial"/>
          <w:i/>
          <w:iCs/>
          <w:sz w:val="24"/>
          <w:szCs w:val="24"/>
        </w:rPr>
        <w:t>Bail</w:t>
      </w:r>
      <w:r w:rsidRPr="00156A90">
        <w:rPr>
          <w:rFonts w:ascii="Arial" w:hAnsi="Arial" w:cs="Arial"/>
          <w:i/>
          <w:iCs/>
          <w:sz w:val="24"/>
          <w:szCs w:val="24"/>
          <w:lang w:val="en-US"/>
        </w:rPr>
        <w:t xml:space="preserve"> Regulation 1992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56A90">
        <w:rPr>
          <w:rFonts w:ascii="Arial" w:hAnsi="Arial" w:cs="Arial"/>
          <w:sz w:val="24"/>
          <w:szCs w:val="24"/>
          <w:lang w:val="en-US"/>
        </w:rPr>
        <w:t xml:space="preserve">(the Regulation) </w:t>
      </w:r>
      <w:r>
        <w:rPr>
          <w:rFonts w:ascii="Arial" w:hAnsi="Arial" w:cs="Arial"/>
          <w:sz w:val="24"/>
          <w:szCs w:val="24"/>
          <w:lang w:val="en-US"/>
        </w:rPr>
        <w:t>prescribes the me</w:t>
      </w:r>
      <w:r w:rsidR="004128F5">
        <w:rPr>
          <w:rFonts w:ascii="Arial" w:hAnsi="Arial" w:cs="Arial"/>
          <w:sz w:val="24"/>
          <w:szCs w:val="24"/>
          <w:lang w:val="en-US"/>
        </w:rPr>
        <w:t xml:space="preserve">thods of service </w:t>
      </w:r>
      <w:r w:rsidR="00255A46">
        <w:rPr>
          <w:rFonts w:ascii="Arial" w:hAnsi="Arial" w:cs="Arial"/>
          <w:sz w:val="24"/>
          <w:szCs w:val="24"/>
          <w:lang w:val="en-US"/>
        </w:rPr>
        <w:t>that can be used to give the accused person a notice to continue bail</w:t>
      </w:r>
      <w:r w:rsidR="004128F5">
        <w:rPr>
          <w:rFonts w:ascii="Arial" w:hAnsi="Arial" w:cs="Arial"/>
          <w:sz w:val="24"/>
          <w:szCs w:val="24"/>
          <w:lang w:val="en-US"/>
        </w:rPr>
        <w:t xml:space="preserve">. These are currently limited to </w:t>
      </w:r>
      <w:r w:rsidR="0018235F">
        <w:rPr>
          <w:rFonts w:ascii="Arial" w:hAnsi="Arial" w:cs="Arial"/>
          <w:sz w:val="24"/>
          <w:szCs w:val="24"/>
          <w:lang w:val="en-US"/>
        </w:rPr>
        <w:t>giving the notice to the person or leaving it at the person’s last known home or business address with someone who appears to be over 16 years old.</w:t>
      </w:r>
    </w:p>
    <w:p w14:paraId="35E2E2D1" w14:textId="4A25396B" w:rsidR="004558AC" w:rsidRPr="004558AC" w:rsidRDefault="004128F5" w:rsidP="00156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558AC" w:rsidRPr="004558AC">
        <w:rPr>
          <w:rFonts w:ascii="Arial" w:hAnsi="Arial" w:cs="Arial"/>
          <w:sz w:val="24"/>
          <w:szCs w:val="24"/>
        </w:rPr>
        <w:t xml:space="preserve">decision of the Chief Magistrate in </w:t>
      </w:r>
      <w:r w:rsidR="004558AC" w:rsidRPr="004558AC">
        <w:rPr>
          <w:rFonts w:ascii="Arial" w:hAnsi="Arial" w:cs="Arial"/>
          <w:i/>
          <w:iCs/>
          <w:sz w:val="24"/>
          <w:szCs w:val="24"/>
        </w:rPr>
        <w:t xml:space="preserve">Elder v Metyang </w:t>
      </w:r>
      <w:r w:rsidR="004558AC" w:rsidRPr="004558AC">
        <w:rPr>
          <w:rFonts w:ascii="Arial" w:hAnsi="Arial" w:cs="Arial"/>
          <w:color w:val="333333"/>
          <w:sz w:val="24"/>
          <w:szCs w:val="24"/>
          <w:shd w:val="clear" w:color="auto" w:fill="FFFFFF"/>
        </w:rPr>
        <w:t>[2020] ACTMC 24 (</w:t>
      </w:r>
      <w:r w:rsidR="004558AC" w:rsidRPr="004558AC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Elder</w:t>
      </w:r>
      <w:r w:rsidR="004558AC" w:rsidRPr="004558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has</w:t>
      </w:r>
      <w:r>
        <w:rPr>
          <w:rFonts w:ascii="Arial" w:hAnsi="Arial" w:cs="Arial"/>
          <w:sz w:val="24"/>
          <w:szCs w:val="24"/>
        </w:rPr>
        <w:t xml:space="preserve"> </w:t>
      </w:r>
      <w:r w:rsidR="004558AC" w:rsidRPr="004558AC">
        <w:rPr>
          <w:rFonts w:ascii="Arial" w:hAnsi="Arial" w:cs="Arial"/>
          <w:sz w:val="24"/>
          <w:szCs w:val="24"/>
        </w:rPr>
        <w:t>highlighted</w:t>
      </w:r>
      <w:r>
        <w:rPr>
          <w:rFonts w:ascii="Arial" w:hAnsi="Arial" w:cs="Arial"/>
          <w:sz w:val="24"/>
          <w:szCs w:val="24"/>
        </w:rPr>
        <w:t xml:space="preserve"> that the methods of serv</w:t>
      </w:r>
      <w:r w:rsidR="004558AC" w:rsidRPr="004558AC">
        <w:rPr>
          <w:rFonts w:ascii="Arial" w:hAnsi="Arial" w:cs="Arial"/>
          <w:sz w:val="24"/>
          <w:szCs w:val="24"/>
        </w:rPr>
        <w:t>ice available for notices to continue bail are unduly limited and do not reflect contemporary methods of communication.</w:t>
      </w:r>
    </w:p>
    <w:p w14:paraId="75700F10" w14:textId="57AEBE85" w:rsidR="004558AC" w:rsidRPr="004558AC" w:rsidRDefault="004558AC" w:rsidP="00156A90">
      <w:pPr>
        <w:spacing w:line="360" w:lineRule="auto"/>
        <w:rPr>
          <w:rFonts w:ascii="Arial" w:hAnsi="Arial" w:cs="Arial"/>
          <w:sz w:val="24"/>
          <w:szCs w:val="24"/>
        </w:rPr>
      </w:pPr>
      <w:r w:rsidRPr="004558AC">
        <w:rPr>
          <w:rFonts w:ascii="Arial" w:hAnsi="Arial" w:cs="Arial"/>
          <w:sz w:val="24"/>
          <w:szCs w:val="24"/>
        </w:rPr>
        <w:t xml:space="preserve">Clearly prescribing service requirements for notices to continue bail, reflecting </w:t>
      </w:r>
      <w:r w:rsidR="004C2AF9">
        <w:rPr>
          <w:rFonts w:ascii="Arial" w:hAnsi="Arial" w:cs="Arial"/>
          <w:sz w:val="24"/>
          <w:szCs w:val="24"/>
        </w:rPr>
        <w:t xml:space="preserve">more </w:t>
      </w:r>
      <w:r w:rsidRPr="004558AC">
        <w:rPr>
          <w:rFonts w:ascii="Arial" w:hAnsi="Arial" w:cs="Arial"/>
          <w:sz w:val="24"/>
          <w:szCs w:val="24"/>
        </w:rPr>
        <w:t>contemporary methods of communication, will remove any uncertainty on the approach to be taken in a given case</w:t>
      </w:r>
      <w:r w:rsidR="0018235F">
        <w:rPr>
          <w:rFonts w:ascii="Arial" w:hAnsi="Arial" w:cs="Arial"/>
          <w:sz w:val="24"/>
          <w:szCs w:val="24"/>
        </w:rPr>
        <w:t xml:space="preserve">, noting that other provisions of the Act provide for the service of notices by means other than personal service (section 30(4) </w:t>
      </w:r>
      <w:r w:rsidR="0018235F" w:rsidRPr="0018235F">
        <w:rPr>
          <w:rFonts w:ascii="Arial" w:hAnsi="Arial" w:cs="Arial"/>
          <w:i/>
          <w:iCs/>
          <w:sz w:val="24"/>
          <w:szCs w:val="24"/>
        </w:rPr>
        <w:t>Note 1</w:t>
      </w:r>
      <w:r w:rsidR="0018235F">
        <w:rPr>
          <w:rFonts w:ascii="Arial" w:hAnsi="Arial" w:cs="Arial"/>
          <w:sz w:val="24"/>
          <w:szCs w:val="24"/>
        </w:rPr>
        <w:t>)</w:t>
      </w:r>
      <w:r w:rsidRPr="004558AC">
        <w:rPr>
          <w:rFonts w:ascii="Arial" w:hAnsi="Arial" w:cs="Arial"/>
          <w:sz w:val="24"/>
          <w:szCs w:val="24"/>
        </w:rPr>
        <w:t xml:space="preserve">. </w:t>
      </w:r>
    </w:p>
    <w:p w14:paraId="12EC3CE5" w14:textId="6D06CF63" w:rsidR="004558AC" w:rsidRPr="004558AC" w:rsidRDefault="004128F5" w:rsidP="00156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Bail Amendment Regulation will </w:t>
      </w:r>
      <w:r w:rsidR="004558AC" w:rsidRPr="004558AC">
        <w:rPr>
          <w:rFonts w:ascii="Arial" w:hAnsi="Arial" w:cs="Arial"/>
          <w:sz w:val="24"/>
          <w:szCs w:val="24"/>
        </w:rPr>
        <w:t xml:space="preserve">put in place </w:t>
      </w:r>
      <w:r w:rsidR="0018235F">
        <w:rPr>
          <w:rFonts w:ascii="Arial" w:hAnsi="Arial" w:cs="Arial"/>
          <w:sz w:val="24"/>
          <w:szCs w:val="24"/>
        </w:rPr>
        <w:t xml:space="preserve">clear provisions for </w:t>
      </w:r>
      <w:r w:rsidR="004558AC" w:rsidRPr="004558AC">
        <w:rPr>
          <w:rFonts w:ascii="Arial" w:hAnsi="Arial" w:cs="Arial"/>
          <w:sz w:val="24"/>
          <w:szCs w:val="24"/>
        </w:rPr>
        <w:t>more flexible and contemporary methods of service for bail continuation notices</w:t>
      </w:r>
      <w:r w:rsidR="003332E3">
        <w:rPr>
          <w:rFonts w:ascii="Arial" w:hAnsi="Arial" w:cs="Arial"/>
          <w:sz w:val="24"/>
          <w:szCs w:val="24"/>
        </w:rPr>
        <w:t xml:space="preserve"> to support the </w:t>
      </w:r>
      <w:r w:rsidR="003332E3">
        <w:rPr>
          <w:rFonts w:ascii="Arial" w:hAnsi="Arial" w:cs="Arial"/>
          <w:sz w:val="24"/>
          <w:szCs w:val="24"/>
        </w:rPr>
        <w:lastRenderedPageBreak/>
        <w:t xml:space="preserve">amendments to section 34 of the Act proposed by the </w:t>
      </w:r>
      <w:r w:rsidR="003332E3">
        <w:rPr>
          <w:rFonts w:ascii="Arial" w:hAnsi="Arial" w:cs="Arial"/>
          <w:i/>
          <w:iCs/>
          <w:sz w:val="24"/>
          <w:szCs w:val="24"/>
        </w:rPr>
        <w:t>Crimes Legislation Amendment Bill 2020</w:t>
      </w:r>
      <w:r>
        <w:rPr>
          <w:rFonts w:ascii="Arial" w:hAnsi="Arial" w:cs="Arial"/>
          <w:sz w:val="24"/>
          <w:szCs w:val="24"/>
        </w:rPr>
        <w:t>.</w:t>
      </w:r>
      <w:r w:rsidR="004558AC" w:rsidRPr="004558AC">
        <w:rPr>
          <w:rFonts w:ascii="Arial" w:hAnsi="Arial" w:cs="Arial"/>
          <w:sz w:val="24"/>
          <w:szCs w:val="24"/>
        </w:rPr>
        <w:t xml:space="preserve">  </w:t>
      </w:r>
    </w:p>
    <w:p w14:paraId="08CC7828" w14:textId="77777777" w:rsidR="00F21A43" w:rsidRDefault="004128F5" w:rsidP="00F21A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128F5">
        <w:rPr>
          <w:rFonts w:ascii="Arial" w:hAnsi="Arial" w:cs="Arial"/>
          <w:b/>
          <w:bCs/>
          <w:sz w:val="24"/>
          <w:szCs w:val="24"/>
        </w:rPr>
        <w:t>Human Rights</w:t>
      </w:r>
    </w:p>
    <w:p w14:paraId="0C743882" w14:textId="36520662" w:rsidR="003805FA" w:rsidRPr="003805FA" w:rsidRDefault="00DF5247" w:rsidP="00F21A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805FA">
        <w:rPr>
          <w:rFonts w:ascii="Arial" w:hAnsi="Arial" w:cs="Arial"/>
          <w:sz w:val="24"/>
          <w:szCs w:val="24"/>
        </w:rPr>
        <w:t>Service of bail continuation</w:t>
      </w:r>
      <w:r w:rsidR="000202E7" w:rsidRPr="003805FA">
        <w:rPr>
          <w:rFonts w:ascii="Arial" w:hAnsi="Arial" w:cs="Arial"/>
          <w:sz w:val="24"/>
          <w:szCs w:val="24"/>
        </w:rPr>
        <w:t xml:space="preserve"> notices</w:t>
      </w:r>
      <w:r w:rsidRPr="003805FA">
        <w:rPr>
          <w:rFonts w:ascii="Arial" w:hAnsi="Arial" w:cs="Arial"/>
          <w:sz w:val="24"/>
          <w:szCs w:val="24"/>
        </w:rPr>
        <w:t xml:space="preserve"> may engage rights under the </w:t>
      </w:r>
      <w:r w:rsidRPr="003805FA">
        <w:rPr>
          <w:rFonts w:ascii="Arial" w:hAnsi="Arial" w:cs="Arial"/>
          <w:i/>
          <w:iCs/>
          <w:sz w:val="24"/>
          <w:szCs w:val="24"/>
        </w:rPr>
        <w:t xml:space="preserve">Human Rights Act 2004 </w:t>
      </w:r>
      <w:r w:rsidRPr="003805FA">
        <w:rPr>
          <w:rFonts w:ascii="Arial" w:hAnsi="Arial" w:cs="Arial"/>
          <w:sz w:val="24"/>
          <w:szCs w:val="24"/>
        </w:rPr>
        <w:t>(HR Act)</w:t>
      </w:r>
      <w:r w:rsidRPr="003805FA">
        <w:rPr>
          <w:rFonts w:ascii="Arial" w:hAnsi="Arial" w:cs="Arial"/>
          <w:i/>
          <w:iCs/>
          <w:sz w:val="24"/>
          <w:szCs w:val="24"/>
        </w:rPr>
        <w:t xml:space="preserve">, </w:t>
      </w:r>
      <w:r w:rsidRPr="003805FA">
        <w:rPr>
          <w:rFonts w:ascii="Arial" w:hAnsi="Arial" w:cs="Arial"/>
          <w:sz w:val="24"/>
          <w:szCs w:val="24"/>
        </w:rPr>
        <w:t xml:space="preserve">including </w:t>
      </w:r>
      <w:r w:rsidR="000202E7" w:rsidRPr="003805FA">
        <w:rPr>
          <w:rFonts w:ascii="Arial" w:hAnsi="Arial" w:cs="Arial"/>
          <w:sz w:val="24"/>
          <w:szCs w:val="24"/>
        </w:rPr>
        <w:t>section 18 (Right to liberty and security of person)</w:t>
      </w:r>
      <w:r w:rsidR="003332E3">
        <w:rPr>
          <w:rFonts w:ascii="Arial" w:hAnsi="Arial" w:cs="Arial"/>
          <w:sz w:val="24"/>
          <w:szCs w:val="24"/>
        </w:rPr>
        <w:t>, section 21 (Right to a fair trial)</w:t>
      </w:r>
      <w:r w:rsidR="000202E7" w:rsidRPr="003805FA">
        <w:rPr>
          <w:rFonts w:ascii="Arial" w:hAnsi="Arial" w:cs="Arial"/>
          <w:sz w:val="24"/>
          <w:szCs w:val="24"/>
        </w:rPr>
        <w:t xml:space="preserve"> and </w:t>
      </w:r>
      <w:r w:rsidRPr="003805FA">
        <w:rPr>
          <w:rFonts w:ascii="Arial" w:hAnsi="Arial" w:cs="Arial"/>
          <w:sz w:val="24"/>
          <w:szCs w:val="24"/>
        </w:rPr>
        <w:t>section 22 (Rights in criminal proceedings)</w:t>
      </w:r>
      <w:r w:rsidR="000202E7" w:rsidRPr="003805FA">
        <w:rPr>
          <w:rFonts w:ascii="Arial" w:hAnsi="Arial" w:cs="Arial"/>
          <w:sz w:val="24"/>
          <w:szCs w:val="24"/>
        </w:rPr>
        <w:t>,</w:t>
      </w:r>
      <w:r w:rsidR="00B56700">
        <w:rPr>
          <w:rFonts w:ascii="Arial" w:hAnsi="Arial" w:cs="Arial"/>
          <w:sz w:val="24"/>
          <w:szCs w:val="24"/>
        </w:rPr>
        <w:t xml:space="preserve"> </w:t>
      </w:r>
      <w:r w:rsidR="000202E7" w:rsidRPr="003805FA">
        <w:rPr>
          <w:rFonts w:ascii="Arial" w:hAnsi="Arial" w:cs="Arial"/>
          <w:sz w:val="24"/>
          <w:szCs w:val="24"/>
        </w:rPr>
        <w:t xml:space="preserve">if a person is </w:t>
      </w:r>
      <w:r w:rsidR="003805FA" w:rsidRPr="003805FA">
        <w:rPr>
          <w:rFonts w:ascii="Arial" w:hAnsi="Arial" w:cs="Arial"/>
          <w:sz w:val="24"/>
          <w:szCs w:val="24"/>
        </w:rPr>
        <w:t xml:space="preserve">subsequently </w:t>
      </w:r>
      <w:r w:rsidR="000202E7" w:rsidRPr="003805FA">
        <w:rPr>
          <w:rFonts w:ascii="Arial" w:hAnsi="Arial" w:cs="Arial"/>
          <w:sz w:val="24"/>
          <w:szCs w:val="24"/>
        </w:rPr>
        <w:t>prosecuted for failing to answer bail under section 49 of the Act</w:t>
      </w:r>
      <w:r w:rsidRPr="003805FA">
        <w:rPr>
          <w:rFonts w:ascii="Arial" w:hAnsi="Arial" w:cs="Arial"/>
          <w:sz w:val="24"/>
          <w:szCs w:val="24"/>
        </w:rPr>
        <w:t>. Section 30 of the HR Act requires that all Territory laws be interpreted in a way that is compatible with human rights. The court</w:t>
      </w:r>
      <w:r w:rsidR="000202E7" w:rsidRPr="003805FA">
        <w:rPr>
          <w:rFonts w:ascii="Arial" w:hAnsi="Arial" w:cs="Arial"/>
          <w:sz w:val="24"/>
          <w:szCs w:val="24"/>
        </w:rPr>
        <w:t xml:space="preserve">, in </w:t>
      </w:r>
      <w:r w:rsidR="003805FA" w:rsidRPr="003805FA">
        <w:rPr>
          <w:rFonts w:ascii="Arial" w:hAnsi="Arial" w:cs="Arial"/>
          <w:sz w:val="24"/>
          <w:szCs w:val="24"/>
        </w:rPr>
        <w:t>considering the</w:t>
      </w:r>
      <w:r w:rsidR="000202E7" w:rsidRPr="003805FA">
        <w:rPr>
          <w:rFonts w:ascii="Arial" w:hAnsi="Arial" w:cs="Arial"/>
          <w:sz w:val="24"/>
          <w:szCs w:val="24"/>
        </w:rPr>
        <w:t xml:space="preserve"> service methods in section 4 of the amended Regulation, should </w:t>
      </w:r>
      <w:r w:rsidR="003805FA" w:rsidRPr="003805FA">
        <w:rPr>
          <w:rFonts w:ascii="Arial" w:hAnsi="Arial" w:cs="Arial"/>
          <w:sz w:val="24"/>
          <w:szCs w:val="24"/>
        </w:rPr>
        <w:t>adopt</w:t>
      </w:r>
      <w:r w:rsidR="000202E7" w:rsidRPr="003805FA">
        <w:rPr>
          <w:rFonts w:ascii="Arial" w:hAnsi="Arial" w:cs="Arial"/>
          <w:sz w:val="24"/>
          <w:szCs w:val="24"/>
        </w:rPr>
        <w:t xml:space="preserve"> a method that is compatible with the rights of the accused person. </w:t>
      </w:r>
      <w:r w:rsidRPr="003805FA">
        <w:rPr>
          <w:rFonts w:ascii="Arial" w:hAnsi="Arial" w:cs="Arial"/>
          <w:sz w:val="24"/>
          <w:szCs w:val="24"/>
        </w:rPr>
        <w:t xml:space="preserve">The method adopted may vary with the particular circumstances of </w:t>
      </w:r>
      <w:r w:rsidR="003805FA" w:rsidRPr="003805FA">
        <w:rPr>
          <w:rFonts w:ascii="Arial" w:hAnsi="Arial" w:cs="Arial"/>
          <w:sz w:val="24"/>
          <w:szCs w:val="24"/>
        </w:rPr>
        <w:t>each</w:t>
      </w:r>
      <w:r w:rsidRPr="003805FA">
        <w:rPr>
          <w:rFonts w:ascii="Arial" w:hAnsi="Arial" w:cs="Arial"/>
          <w:sz w:val="24"/>
          <w:szCs w:val="24"/>
        </w:rPr>
        <w:t xml:space="preserve"> accused perso</w:t>
      </w:r>
      <w:r w:rsidR="000202E7" w:rsidRPr="003805FA">
        <w:rPr>
          <w:rFonts w:ascii="Arial" w:hAnsi="Arial" w:cs="Arial"/>
          <w:sz w:val="24"/>
          <w:szCs w:val="24"/>
        </w:rPr>
        <w:t>n</w:t>
      </w:r>
      <w:r w:rsidR="003805FA" w:rsidRPr="003805FA">
        <w:rPr>
          <w:rFonts w:ascii="Arial" w:hAnsi="Arial" w:cs="Arial"/>
          <w:sz w:val="24"/>
          <w:szCs w:val="24"/>
        </w:rPr>
        <w:t xml:space="preserve"> and consideration may be given to factors such as whether the accused person is legally represented or attended court on the previous occasion.  </w:t>
      </w:r>
    </w:p>
    <w:p w14:paraId="693FDD0B" w14:textId="6DF8F523" w:rsidR="008A31BC" w:rsidRDefault="004558AC" w:rsidP="00020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805FA">
        <w:rPr>
          <w:rFonts w:ascii="Arial" w:hAnsi="Arial" w:cs="Arial"/>
          <w:sz w:val="24"/>
          <w:szCs w:val="24"/>
        </w:rPr>
        <w:t xml:space="preserve">In the event of any prosecution for the offence of </w:t>
      </w:r>
      <w:r w:rsidR="003805FA" w:rsidRPr="003805FA">
        <w:rPr>
          <w:rFonts w:ascii="Arial" w:hAnsi="Arial" w:cs="Arial"/>
          <w:sz w:val="24"/>
          <w:szCs w:val="24"/>
        </w:rPr>
        <w:t>failing</w:t>
      </w:r>
      <w:r w:rsidRPr="003805FA">
        <w:rPr>
          <w:rFonts w:ascii="Arial" w:hAnsi="Arial" w:cs="Arial"/>
          <w:sz w:val="24"/>
          <w:szCs w:val="24"/>
        </w:rPr>
        <w:t xml:space="preserve"> to answer bail</w:t>
      </w:r>
      <w:r w:rsidR="003805FA" w:rsidRPr="003805FA">
        <w:rPr>
          <w:rFonts w:ascii="Arial" w:hAnsi="Arial" w:cs="Arial"/>
          <w:sz w:val="24"/>
          <w:szCs w:val="24"/>
        </w:rPr>
        <w:t xml:space="preserve">, </w:t>
      </w:r>
      <w:r w:rsidRPr="003805FA">
        <w:rPr>
          <w:rFonts w:ascii="Arial" w:hAnsi="Arial" w:cs="Arial"/>
          <w:sz w:val="24"/>
          <w:szCs w:val="24"/>
        </w:rPr>
        <w:t xml:space="preserve">there is a defence of reasonable excuse </w:t>
      </w:r>
      <w:r w:rsidR="003805FA" w:rsidRPr="003805FA">
        <w:rPr>
          <w:rFonts w:ascii="Arial" w:hAnsi="Arial" w:cs="Arial"/>
          <w:sz w:val="24"/>
          <w:szCs w:val="24"/>
        </w:rPr>
        <w:t>available</w:t>
      </w:r>
      <w:r w:rsidRPr="003805FA">
        <w:rPr>
          <w:rFonts w:ascii="Arial" w:hAnsi="Arial" w:cs="Arial"/>
          <w:sz w:val="24"/>
          <w:szCs w:val="24"/>
        </w:rPr>
        <w:t xml:space="preserve"> to the accused person and the opportunity to raise non-receipt of a bail continuation notice as a reasonable excuse. Whether the court accepts this excuse will be a matter of evidence.</w:t>
      </w:r>
    </w:p>
    <w:p w14:paraId="02E1241F" w14:textId="12337C07" w:rsidR="003332E3" w:rsidRDefault="003332E3" w:rsidP="00020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C29C5F3" w14:textId="3FA75DD8" w:rsidR="003332E3" w:rsidRDefault="003332E3" w:rsidP="00020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more detailed analysis of the human rights implications is set out in the explanatory statement to the </w:t>
      </w:r>
      <w:r>
        <w:rPr>
          <w:rFonts w:ascii="Arial" w:hAnsi="Arial" w:cs="Arial"/>
          <w:i/>
          <w:iCs/>
          <w:sz w:val="24"/>
          <w:szCs w:val="24"/>
        </w:rPr>
        <w:t>Crimes Legislation Amendment Bill 2020</w:t>
      </w:r>
      <w:r>
        <w:rPr>
          <w:rFonts w:ascii="Arial" w:hAnsi="Arial" w:cs="Arial"/>
          <w:sz w:val="24"/>
          <w:szCs w:val="24"/>
        </w:rPr>
        <w:t>.</w:t>
      </w:r>
      <w:r w:rsidRPr="004558AC">
        <w:rPr>
          <w:rFonts w:ascii="Arial" w:hAnsi="Arial" w:cs="Arial"/>
          <w:sz w:val="24"/>
          <w:szCs w:val="24"/>
        </w:rPr>
        <w:t xml:space="preserve">  </w:t>
      </w:r>
    </w:p>
    <w:p w14:paraId="36077D2A" w14:textId="77777777" w:rsidR="000202E7" w:rsidRDefault="000202E7" w:rsidP="00020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A895113" w14:textId="1A7F3C01" w:rsidR="00CF15A6" w:rsidRDefault="0099572B" w:rsidP="00156A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Clause notes </w:t>
      </w:r>
    </w:p>
    <w:p w14:paraId="389828F2" w14:textId="67453A03" w:rsidR="00CF15A6" w:rsidRDefault="00CF15A6" w:rsidP="00156A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1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Name of regulation </w:t>
      </w:r>
    </w:p>
    <w:p w14:paraId="65CF7435" w14:textId="5CAF2DC1" w:rsidR="00236308" w:rsidRPr="00236308" w:rsidRDefault="00236308" w:rsidP="00156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clause provides that the name of the regulation is th</w:t>
      </w:r>
      <w:r w:rsidRPr="00562665">
        <w:rPr>
          <w:rFonts w:ascii="Arial" w:hAnsi="Arial" w:cs="Arial"/>
          <w:sz w:val="24"/>
          <w:szCs w:val="24"/>
        </w:rPr>
        <w:t>e</w:t>
      </w:r>
      <w:r w:rsidRPr="008D0DA4">
        <w:rPr>
          <w:rFonts w:ascii="Arial" w:hAnsi="Arial" w:cs="Arial"/>
          <w:i/>
          <w:iCs/>
          <w:sz w:val="24"/>
          <w:szCs w:val="24"/>
        </w:rPr>
        <w:t xml:space="preserve"> </w:t>
      </w:r>
      <w:r w:rsidR="0018235F">
        <w:rPr>
          <w:rFonts w:ascii="Arial" w:hAnsi="Arial" w:cs="Arial"/>
          <w:i/>
          <w:iCs/>
          <w:sz w:val="24"/>
          <w:szCs w:val="24"/>
        </w:rPr>
        <w:t xml:space="preserve">Bail Amendment </w:t>
      </w:r>
      <w:r w:rsidRPr="0022199A">
        <w:rPr>
          <w:rFonts w:ascii="Arial" w:hAnsi="Arial" w:cs="Arial"/>
          <w:i/>
          <w:iCs/>
          <w:sz w:val="24"/>
          <w:szCs w:val="24"/>
        </w:rPr>
        <w:t>Regulation 202</w:t>
      </w:r>
      <w:r w:rsidR="0018235F">
        <w:rPr>
          <w:rFonts w:ascii="Arial" w:hAnsi="Arial" w:cs="Arial"/>
          <w:i/>
          <w:iCs/>
          <w:sz w:val="24"/>
          <w:szCs w:val="24"/>
        </w:rPr>
        <w:t>1</w:t>
      </w:r>
      <w:r w:rsidR="009F6FA7">
        <w:rPr>
          <w:rFonts w:ascii="Arial" w:hAnsi="Arial" w:cs="Arial"/>
          <w:i/>
          <w:iCs/>
          <w:sz w:val="24"/>
          <w:szCs w:val="24"/>
        </w:rPr>
        <w:t xml:space="preserve"> (No 1)</w:t>
      </w:r>
      <w:r w:rsidRPr="0022199A">
        <w:rPr>
          <w:rFonts w:ascii="Arial" w:hAnsi="Arial" w:cs="Arial"/>
          <w:sz w:val="24"/>
          <w:szCs w:val="24"/>
        </w:rPr>
        <w:t>.</w:t>
      </w:r>
    </w:p>
    <w:p w14:paraId="5598937B" w14:textId="50DA4673" w:rsidR="00CF15A6" w:rsidRDefault="00CF15A6" w:rsidP="00156A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2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Commencement </w:t>
      </w:r>
    </w:p>
    <w:p w14:paraId="60CD7946" w14:textId="64998B7E" w:rsidR="00236308" w:rsidRPr="00236308" w:rsidRDefault="00236308" w:rsidP="00156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provides that the regulation </w:t>
      </w:r>
      <w:r w:rsidRPr="00BB2A3E">
        <w:rPr>
          <w:rFonts w:ascii="Arial" w:hAnsi="Arial" w:cs="Arial"/>
          <w:sz w:val="24"/>
          <w:szCs w:val="24"/>
        </w:rPr>
        <w:t xml:space="preserve">commences the </w:t>
      </w:r>
      <w:r w:rsidR="00562665" w:rsidRPr="00BB2A3E">
        <w:rPr>
          <w:rFonts w:ascii="Arial" w:hAnsi="Arial" w:cs="Arial"/>
          <w:sz w:val="24"/>
          <w:szCs w:val="24"/>
        </w:rPr>
        <w:t>day after its notification day.</w:t>
      </w:r>
    </w:p>
    <w:p w14:paraId="669A84D3" w14:textId="0B244281" w:rsidR="00CF15A6" w:rsidRDefault="00CF15A6" w:rsidP="00156A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8235F">
        <w:rPr>
          <w:rFonts w:ascii="Arial" w:hAnsi="Arial" w:cs="Arial"/>
          <w:b/>
          <w:bCs/>
          <w:sz w:val="24"/>
          <w:szCs w:val="24"/>
        </w:rPr>
        <w:t>Legislation amended</w:t>
      </w:r>
    </w:p>
    <w:p w14:paraId="3DA230C5" w14:textId="595A63F6" w:rsidR="00562665" w:rsidRPr="00562665" w:rsidRDefault="00562665" w:rsidP="00156A90">
      <w:pPr>
        <w:rPr>
          <w:rFonts w:ascii="Arial" w:hAnsi="Arial" w:cs="Arial"/>
          <w:sz w:val="24"/>
          <w:szCs w:val="24"/>
        </w:rPr>
      </w:pPr>
      <w:r w:rsidRPr="00562665">
        <w:rPr>
          <w:rFonts w:ascii="Arial" w:hAnsi="Arial" w:cs="Arial"/>
          <w:sz w:val="24"/>
          <w:szCs w:val="24"/>
        </w:rPr>
        <w:t xml:space="preserve">This clause provides that the </w:t>
      </w:r>
      <w:r w:rsidR="0018235F">
        <w:rPr>
          <w:rFonts w:ascii="Arial" w:hAnsi="Arial" w:cs="Arial"/>
          <w:sz w:val="24"/>
          <w:szCs w:val="24"/>
        </w:rPr>
        <w:t xml:space="preserve">regulation amended is the </w:t>
      </w:r>
      <w:r w:rsidR="0018235F" w:rsidRPr="0018235F">
        <w:rPr>
          <w:rFonts w:ascii="Arial" w:hAnsi="Arial" w:cs="Arial"/>
          <w:i/>
          <w:iCs/>
          <w:sz w:val="24"/>
          <w:szCs w:val="24"/>
        </w:rPr>
        <w:t>Bail Regulation 1992</w:t>
      </w:r>
      <w:r w:rsidR="0018235F">
        <w:rPr>
          <w:rFonts w:ascii="Arial" w:hAnsi="Arial" w:cs="Arial"/>
          <w:sz w:val="24"/>
          <w:szCs w:val="24"/>
        </w:rPr>
        <w:t>.</w:t>
      </w:r>
    </w:p>
    <w:p w14:paraId="6B416D5F" w14:textId="110AD456" w:rsidR="00CF15A6" w:rsidRDefault="00CF15A6" w:rsidP="00156A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8235F">
        <w:rPr>
          <w:rFonts w:ascii="Arial" w:hAnsi="Arial" w:cs="Arial"/>
          <w:b/>
          <w:bCs/>
          <w:sz w:val="24"/>
          <w:szCs w:val="24"/>
        </w:rPr>
        <w:t>Section 4</w:t>
      </w:r>
    </w:p>
    <w:p w14:paraId="618EFE85" w14:textId="6EBB9BD9" w:rsidR="00562665" w:rsidRDefault="00562665" w:rsidP="00156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clause </w:t>
      </w:r>
      <w:r w:rsidR="0018235F">
        <w:rPr>
          <w:rFonts w:ascii="Arial" w:hAnsi="Arial" w:cs="Arial"/>
          <w:sz w:val="24"/>
          <w:szCs w:val="24"/>
        </w:rPr>
        <w:t xml:space="preserve">substitutes a </w:t>
      </w:r>
      <w:r w:rsidR="00156A90">
        <w:rPr>
          <w:rFonts w:ascii="Arial" w:hAnsi="Arial" w:cs="Arial"/>
          <w:sz w:val="24"/>
          <w:szCs w:val="24"/>
        </w:rPr>
        <w:t>replacement section 4 in the Regulation. Th</w:t>
      </w:r>
      <w:r w:rsidR="00E50B8D">
        <w:rPr>
          <w:rFonts w:ascii="Arial" w:hAnsi="Arial" w:cs="Arial"/>
          <w:sz w:val="24"/>
          <w:szCs w:val="24"/>
        </w:rPr>
        <w:t>e</w:t>
      </w:r>
      <w:r w:rsidR="00156A90">
        <w:rPr>
          <w:rFonts w:ascii="Arial" w:hAnsi="Arial" w:cs="Arial"/>
          <w:sz w:val="24"/>
          <w:szCs w:val="24"/>
        </w:rPr>
        <w:t xml:space="preserve"> change effected by this regulation is that, in addition to being able to serve a notice of continuation of bail by giving it to the accused person personally, or leaving it with someone aged over 16 at the accused person’s home or business address, service </w:t>
      </w:r>
      <w:r w:rsidR="00E50B8D">
        <w:rPr>
          <w:rFonts w:ascii="Arial" w:hAnsi="Arial" w:cs="Arial"/>
          <w:sz w:val="24"/>
          <w:szCs w:val="24"/>
        </w:rPr>
        <w:t xml:space="preserve">of the notice </w:t>
      </w:r>
      <w:r w:rsidR="00156A90">
        <w:rPr>
          <w:rFonts w:ascii="Arial" w:hAnsi="Arial" w:cs="Arial"/>
          <w:sz w:val="24"/>
          <w:szCs w:val="24"/>
        </w:rPr>
        <w:t>may also be by:</w:t>
      </w:r>
    </w:p>
    <w:p w14:paraId="28DE44A8" w14:textId="40738CE6" w:rsidR="00156A90" w:rsidRDefault="00156A90" w:rsidP="00156A9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sending it by registered post to the person’s home or business address;</w:t>
      </w:r>
      <w:r w:rsidR="003332E3">
        <w:rPr>
          <w:rFonts w:ascii="Arial" w:hAnsi="Arial" w:cs="Arial"/>
          <w:sz w:val="24"/>
          <w:szCs w:val="24"/>
        </w:rPr>
        <w:t xml:space="preserve"> or</w:t>
      </w:r>
    </w:p>
    <w:p w14:paraId="63433F63" w14:textId="70DE8839" w:rsidR="00156A90" w:rsidRDefault="00156A90" w:rsidP="00D477A5">
      <w:pPr>
        <w:pStyle w:val="ListParagraph"/>
        <w:numPr>
          <w:ilvl w:val="0"/>
          <w:numId w:val="6"/>
        </w:numPr>
        <w:spacing w:line="360" w:lineRule="auto"/>
      </w:pPr>
      <w:r>
        <w:rPr>
          <w:rFonts w:ascii="Arial" w:hAnsi="Arial" w:cs="Arial"/>
          <w:sz w:val="24"/>
          <w:szCs w:val="24"/>
        </w:rPr>
        <w:t>emailing it to an email address of the accused person</w:t>
      </w:r>
      <w:r w:rsidR="00B56700">
        <w:rPr>
          <w:rFonts w:ascii="Arial" w:hAnsi="Arial" w:cs="Arial"/>
          <w:sz w:val="24"/>
          <w:szCs w:val="24"/>
        </w:rPr>
        <w:t>.</w:t>
      </w:r>
    </w:p>
    <w:p w14:paraId="282A4780" w14:textId="77777777" w:rsidR="00156A90" w:rsidRPr="00156A90" w:rsidRDefault="00156A90" w:rsidP="00156A90">
      <w:pPr>
        <w:pStyle w:val="ListParagraph"/>
        <w:rPr>
          <w:rFonts w:ascii="Arial" w:hAnsi="Arial" w:cs="Arial"/>
          <w:sz w:val="24"/>
          <w:szCs w:val="24"/>
        </w:rPr>
      </w:pPr>
    </w:p>
    <w:p w14:paraId="538C080F" w14:textId="69082F10" w:rsidR="006B5C70" w:rsidRPr="00BB2A3E" w:rsidRDefault="00156A90" w:rsidP="00156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substituted section 4 of the Regulation makes clear that a home</w:t>
      </w:r>
      <w:r w:rsidR="008B08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business </w:t>
      </w:r>
      <w:r w:rsidR="008B0850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, email address can be provided by the accused person or their lawyer.</w:t>
      </w:r>
    </w:p>
    <w:p w14:paraId="142C8E02" w14:textId="77777777" w:rsidR="00CF15A6" w:rsidRPr="00CF15A6" w:rsidRDefault="00CF15A6" w:rsidP="00156A90">
      <w:pPr>
        <w:rPr>
          <w:rFonts w:ascii="Arial" w:hAnsi="Arial" w:cs="Arial"/>
          <w:b/>
          <w:bCs/>
          <w:sz w:val="24"/>
          <w:szCs w:val="24"/>
        </w:rPr>
      </w:pPr>
    </w:p>
    <w:sectPr w:rsidR="00CF15A6" w:rsidRPr="00CF15A6" w:rsidSect="00F41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58A0" w14:textId="77777777" w:rsidR="002B5FBF" w:rsidRDefault="002B5FBF">
      <w:pPr>
        <w:spacing w:after="0" w:line="240" w:lineRule="auto"/>
      </w:pPr>
      <w:r>
        <w:separator/>
      </w:r>
    </w:p>
  </w:endnote>
  <w:endnote w:type="continuationSeparator" w:id="0">
    <w:p w14:paraId="5064777D" w14:textId="77777777" w:rsidR="002B5FBF" w:rsidRDefault="002B5FBF">
      <w:pPr>
        <w:spacing w:after="0" w:line="240" w:lineRule="auto"/>
      </w:pPr>
      <w:r>
        <w:continuationSeparator/>
      </w:r>
    </w:p>
  </w:endnote>
  <w:endnote w:type="continuationNotice" w:id="1">
    <w:p w14:paraId="3BABBEEE" w14:textId="77777777" w:rsidR="002B5FBF" w:rsidRDefault="002B5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64BAE" w14:textId="77777777" w:rsidR="0040777C" w:rsidRDefault="00407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7F91" w14:textId="45F10E25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4BB88459" w14:textId="00BA1B2F" w:rsidR="00E52D84" w:rsidRPr="00E52D84" w:rsidRDefault="00E52D84" w:rsidP="00E52D84">
    <w:pPr>
      <w:pStyle w:val="Footer"/>
      <w:spacing w:before="60" w:line="240" w:lineRule="auto"/>
      <w:jc w:val="center"/>
      <w:rPr>
        <w:rFonts w:cs="Arial"/>
        <w:sz w:val="14"/>
      </w:rPr>
    </w:pPr>
    <w:r w:rsidRPr="00E52D8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75DD" w14:textId="56BAB694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53FB3916" w14:textId="67C9DB5B" w:rsidR="00E52D84" w:rsidRPr="00E52D84" w:rsidRDefault="00E52D84" w:rsidP="00E52D84">
    <w:pPr>
      <w:pStyle w:val="Footer"/>
      <w:jc w:val="center"/>
      <w:rPr>
        <w:rFonts w:cs="Arial"/>
        <w:sz w:val="14"/>
      </w:rPr>
    </w:pPr>
    <w:r w:rsidRPr="00E52D8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5BE8" w14:textId="77777777" w:rsidR="002B5FBF" w:rsidRDefault="002B5FBF">
      <w:pPr>
        <w:spacing w:after="0" w:line="240" w:lineRule="auto"/>
      </w:pPr>
      <w:r>
        <w:separator/>
      </w:r>
    </w:p>
  </w:footnote>
  <w:footnote w:type="continuationSeparator" w:id="0">
    <w:p w14:paraId="69062363" w14:textId="77777777" w:rsidR="002B5FBF" w:rsidRDefault="002B5FBF">
      <w:pPr>
        <w:spacing w:after="0" w:line="240" w:lineRule="auto"/>
      </w:pPr>
      <w:r>
        <w:continuationSeparator/>
      </w:r>
    </w:p>
  </w:footnote>
  <w:footnote w:type="continuationNotice" w:id="1">
    <w:p w14:paraId="2E2138E0" w14:textId="77777777" w:rsidR="002B5FBF" w:rsidRDefault="002B5F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733D" w14:textId="77777777" w:rsidR="0040777C" w:rsidRDefault="00407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E85D" w14:textId="77777777" w:rsidR="0040777C" w:rsidRDefault="00407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D61F" w14:textId="77777777" w:rsidR="0040777C" w:rsidRDefault="00407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1D8A"/>
    <w:multiLevelType w:val="hybridMultilevel"/>
    <w:tmpl w:val="D9C2A7BE"/>
    <w:lvl w:ilvl="0" w:tplc="5DA4F9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4BD"/>
    <w:multiLevelType w:val="hybridMultilevel"/>
    <w:tmpl w:val="17069B7E"/>
    <w:lvl w:ilvl="0" w:tplc="C45219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53F3C"/>
    <w:multiLevelType w:val="hybridMultilevel"/>
    <w:tmpl w:val="2E8E6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C92426A"/>
    <w:multiLevelType w:val="hybridMultilevel"/>
    <w:tmpl w:val="28DE4D3E"/>
    <w:lvl w:ilvl="0" w:tplc="32F8D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2E7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1AC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0859"/>
    <w:rsid w:val="000B136E"/>
    <w:rsid w:val="000B13E0"/>
    <w:rsid w:val="000B14AF"/>
    <w:rsid w:val="000B1634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3DB2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184"/>
    <w:rsid w:val="00115FCF"/>
    <w:rsid w:val="00116274"/>
    <w:rsid w:val="0011672E"/>
    <w:rsid w:val="0011691E"/>
    <w:rsid w:val="0011712A"/>
    <w:rsid w:val="0011792C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614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6A90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6540"/>
    <w:rsid w:val="001773B7"/>
    <w:rsid w:val="00177EEA"/>
    <w:rsid w:val="00180319"/>
    <w:rsid w:val="00180A76"/>
    <w:rsid w:val="00181F6C"/>
    <w:rsid w:val="0018235F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27"/>
    <w:rsid w:val="00215DD1"/>
    <w:rsid w:val="00215F81"/>
    <w:rsid w:val="0021608C"/>
    <w:rsid w:val="002163D7"/>
    <w:rsid w:val="00216B01"/>
    <w:rsid w:val="0021720E"/>
    <w:rsid w:val="00217363"/>
    <w:rsid w:val="002200C2"/>
    <w:rsid w:val="002208F0"/>
    <w:rsid w:val="0022199A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308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6A5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5A46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4E80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2DA4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5FBF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26D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2E3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959"/>
    <w:rsid w:val="00357D5C"/>
    <w:rsid w:val="00360233"/>
    <w:rsid w:val="0036028E"/>
    <w:rsid w:val="0036091C"/>
    <w:rsid w:val="0036102E"/>
    <w:rsid w:val="00361309"/>
    <w:rsid w:val="0036130C"/>
    <w:rsid w:val="00362387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05FA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1AF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E4C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77C"/>
    <w:rsid w:val="00407F0F"/>
    <w:rsid w:val="004108E5"/>
    <w:rsid w:val="00411053"/>
    <w:rsid w:val="004126F8"/>
    <w:rsid w:val="004128F5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2AF"/>
    <w:rsid w:val="004533C8"/>
    <w:rsid w:val="00453F08"/>
    <w:rsid w:val="00454089"/>
    <w:rsid w:val="00454BB4"/>
    <w:rsid w:val="004557D1"/>
    <w:rsid w:val="004558AC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AF9"/>
    <w:rsid w:val="004C2CD6"/>
    <w:rsid w:val="004C33BC"/>
    <w:rsid w:val="004C4753"/>
    <w:rsid w:val="004C551E"/>
    <w:rsid w:val="004C56A9"/>
    <w:rsid w:val="004C56FE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1DF6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10A8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6CBA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65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3EB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79E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573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15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25F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4DB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5FC0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5C70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2B41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0A5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55C7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6F01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3BE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8B6"/>
    <w:rsid w:val="00771B9A"/>
    <w:rsid w:val="007729F5"/>
    <w:rsid w:val="00772B39"/>
    <w:rsid w:val="00772C86"/>
    <w:rsid w:val="00773057"/>
    <w:rsid w:val="00773ABF"/>
    <w:rsid w:val="00773EFA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4A14"/>
    <w:rsid w:val="007D528D"/>
    <w:rsid w:val="007D5FC0"/>
    <w:rsid w:val="007D63F7"/>
    <w:rsid w:val="007D6581"/>
    <w:rsid w:val="007D660F"/>
    <w:rsid w:val="007D6C41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BB0"/>
    <w:rsid w:val="00812E49"/>
    <w:rsid w:val="00812FCC"/>
    <w:rsid w:val="00813F4B"/>
    <w:rsid w:val="008153D6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1BC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0850"/>
    <w:rsid w:val="008B12A4"/>
    <w:rsid w:val="008B1350"/>
    <w:rsid w:val="008B18FC"/>
    <w:rsid w:val="008B2868"/>
    <w:rsid w:val="008B3B9E"/>
    <w:rsid w:val="008B3E84"/>
    <w:rsid w:val="008B4B6E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0DA4"/>
    <w:rsid w:val="008D188E"/>
    <w:rsid w:val="008D1C3A"/>
    <w:rsid w:val="008D2D83"/>
    <w:rsid w:val="008D38E0"/>
    <w:rsid w:val="008D485E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413"/>
    <w:rsid w:val="009008B1"/>
    <w:rsid w:val="00900EA4"/>
    <w:rsid w:val="009028C1"/>
    <w:rsid w:val="00903D29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2D83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5FE8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572B"/>
    <w:rsid w:val="00996329"/>
    <w:rsid w:val="0099670B"/>
    <w:rsid w:val="0099693C"/>
    <w:rsid w:val="00996E02"/>
    <w:rsid w:val="0099749D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0C5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6FA7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3D61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CAC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192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4F2A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0A8B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5EBB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1D1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6700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2A3E"/>
    <w:rsid w:val="00BB3183"/>
    <w:rsid w:val="00BB3587"/>
    <w:rsid w:val="00BB35DA"/>
    <w:rsid w:val="00BB387E"/>
    <w:rsid w:val="00BB396F"/>
    <w:rsid w:val="00BB3991"/>
    <w:rsid w:val="00BB3C7F"/>
    <w:rsid w:val="00BB4265"/>
    <w:rsid w:val="00BB5BB8"/>
    <w:rsid w:val="00BB5F4C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37CAC"/>
    <w:rsid w:val="00C403B4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B7DF8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5A6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7A5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DD2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4E5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247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0B8D"/>
    <w:rsid w:val="00E516EA"/>
    <w:rsid w:val="00E51C8C"/>
    <w:rsid w:val="00E52448"/>
    <w:rsid w:val="00E52D84"/>
    <w:rsid w:val="00E54B25"/>
    <w:rsid w:val="00E54E03"/>
    <w:rsid w:val="00E54F4F"/>
    <w:rsid w:val="00E54F90"/>
    <w:rsid w:val="00E5526F"/>
    <w:rsid w:val="00E55A01"/>
    <w:rsid w:val="00E55F4E"/>
    <w:rsid w:val="00E56430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670A2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879C0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1A43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67DCF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4774"/>
    <w:rsid w:val="00F85089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3F0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6F2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Billname">
    <w:name w:val="Billname"/>
    <w:basedOn w:val="Normal"/>
    <w:rsid w:val="007D4A14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D4A14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7D4A14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7D4A14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EF2C-7EFA-4C4F-B6D3-65C1B0639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2A575-85DB-4E4A-B535-3F85A017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3310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2019-05-13T07:51:00Z</cp:lastPrinted>
  <dcterms:created xsi:type="dcterms:W3CDTF">2021-04-01T00:02:00Z</dcterms:created>
  <dcterms:modified xsi:type="dcterms:W3CDTF">2021-04-01T00:02:00Z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1316440</vt:lpwstr>
  </property>
  <property fmtid="{D5CDD505-2E9C-101B-9397-08002B2CF9AE}" pid="4" name="JMSREQUIREDCHECKIN">
    <vt:lpwstr/>
  </property>
</Properties>
</file>