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08A42" w14:textId="77777777" w:rsidR="00CA30D1" w:rsidRDefault="00CA30D1">
      <w:pPr>
        <w:pStyle w:val="Title"/>
        <w:rPr>
          <w:rFonts w:ascii="Times New Roman" w:hAnsi="Times New Roman" w:cs="Times New Roman"/>
        </w:rPr>
      </w:pPr>
    </w:p>
    <w:p w14:paraId="5954BBB3" w14:textId="77777777" w:rsidR="00826BD5" w:rsidRDefault="00826BD5" w:rsidP="00826BD5">
      <w:pPr>
        <w:spacing w:before="120"/>
      </w:pPr>
      <w:r>
        <w:t>Australian Capital Territory</w:t>
      </w:r>
    </w:p>
    <w:p w14:paraId="22B1A4EF" w14:textId="066AA2C1" w:rsidR="00826BD5" w:rsidRDefault="00826BD5" w:rsidP="00826BD5">
      <w:pPr>
        <w:pStyle w:val="Billname"/>
        <w:spacing w:before="700"/>
      </w:pPr>
      <w:r>
        <w:t>Public T</w:t>
      </w:r>
      <w:r w:rsidR="00093353">
        <w:t>rustee</w:t>
      </w:r>
      <w:r w:rsidR="001B0358">
        <w:t xml:space="preserve"> and Guardian</w:t>
      </w:r>
      <w:r w:rsidR="00093353">
        <w:t xml:space="preserve"> (Fees) </w:t>
      </w:r>
      <w:r w:rsidR="00F23C7B">
        <w:t>D</w:t>
      </w:r>
      <w:r w:rsidR="00093353">
        <w:t>etermination 20</w:t>
      </w:r>
      <w:r w:rsidR="000B7467">
        <w:t>2</w:t>
      </w:r>
      <w:r w:rsidR="00925471">
        <w:t>1</w:t>
      </w:r>
    </w:p>
    <w:p w14:paraId="141135AD" w14:textId="5E39D2E5" w:rsidR="00826BD5" w:rsidRDefault="00E26B37" w:rsidP="00826BD5">
      <w:pPr>
        <w:spacing w:before="240" w:after="60"/>
        <w:rPr>
          <w:b/>
          <w:bCs/>
        </w:rPr>
      </w:pPr>
      <w:r>
        <w:rPr>
          <w:b/>
          <w:bCs/>
        </w:rPr>
        <w:t xml:space="preserve">Disallowable </w:t>
      </w:r>
      <w:r w:rsidRPr="00222C34">
        <w:rPr>
          <w:b/>
          <w:bCs/>
        </w:rPr>
        <w:t>instrument DI</w:t>
      </w:r>
      <w:r w:rsidR="00AE4398" w:rsidRPr="00222C34">
        <w:rPr>
          <w:b/>
          <w:bCs/>
        </w:rPr>
        <w:t>20</w:t>
      </w:r>
      <w:r w:rsidR="000B7467">
        <w:rPr>
          <w:b/>
          <w:bCs/>
        </w:rPr>
        <w:t>2</w:t>
      </w:r>
      <w:r w:rsidR="00925471">
        <w:rPr>
          <w:b/>
          <w:bCs/>
        </w:rPr>
        <w:t>1-</w:t>
      </w:r>
      <w:r w:rsidR="0089493C">
        <w:rPr>
          <w:b/>
          <w:bCs/>
        </w:rPr>
        <w:t>85</w:t>
      </w:r>
    </w:p>
    <w:p w14:paraId="7344E0F2" w14:textId="77777777" w:rsidR="00F23C7B" w:rsidRDefault="00826BD5" w:rsidP="00F23C7B">
      <w:pPr>
        <w:pStyle w:val="madeunder"/>
        <w:spacing w:after="240"/>
        <w:rPr>
          <w:snapToGrid w:val="0"/>
        </w:rPr>
      </w:pPr>
      <w:r>
        <w:rPr>
          <w:rFonts w:ascii="Times New Roman" w:hAnsi="Times New Roman" w:cs="Times New Roman"/>
        </w:rPr>
        <w:t xml:space="preserve">made under the </w:t>
      </w:r>
    </w:p>
    <w:p w14:paraId="34769F79" w14:textId="77777777" w:rsidR="00F23C7B" w:rsidRDefault="00826BD5" w:rsidP="00826BD5">
      <w:pPr>
        <w:pStyle w:val="CoverActName"/>
        <w:spacing w:before="0" w:after="0"/>
        <w:rPr>
          <w:sz w:val="20"/>
          <w:szCs w:val="20"/>
        </w:rPr>
      </w:pPr>
      <w:r w:rsidRPr="00F23C7B">
        <w:rPr>
          <w:snapToGrid w:val="0"/>
          <w:color w:val="000000"/>
          <w:sz w:val="20"/>
          <w:szCs w:val="20"/>
        </w:rPr>
        <w:t>Public Trustee</w:t>
      </w:r>
      <w:r w:rsidR="001B0358" w:rsidRPr="00F23C7B">
        <w:rPr>
          <w:snapToGrid w:val="0"/>
          <w:color w:val="000000"/>
          <w:sz w:val="20"/>
          <w:szCs w:val="20"/>
        </w:rPr>
        <w:t xml:space="preserve"> and Guardian</w:t>
      </w:r>
      <w:r w:rsidRPr="00F23C7B">
        <w:rPr>
          <w:snapToGrid w:val="0"/>
          <w:color w:val="000000"/>
          <w:sz w:val="20"/>
          <w:szCs w:val="20"/>
        </w:rPr>
        <w:t xml:space="preserve"> Act 1985</w:t>
      </w:r>
      <w:r>
        <w:rPr>
          <w:snapToGrid w:val="0"/>
          <w:color w:val="000000"/>
          <w:sz w:val="20"/>
          <w:szCs w:val="20"/>
        </w:rPr>
        <w:t>, s 75 (</w:t>
      </w:r>
      <w:r>
        <w:rPr>
          <w:sz w:val="20"/>
          <w:szCs w:val="20"/>
        </w:rPr>
        <w:t>Determination of fees and charges)</w:t>
      </w:r>
    </w:p>
    <w:p w14:paraId="45D0ACAA" w14:textId="77777777" w:rsidR="00F23C7B" w:rsidRDefault="00F23C7B" w:rsidP="00F23C7B">
      <w:pPr>
        <w:pStyle w:val="CoverActName"/>
        <w:spacing w:before="0" w:after="0"/>
      </w:pPr>
    </w:p>
    <w:p w14:paraId="717CC913" w14:textId="77777777" w:rsidR="00826BD5" w:rsidRPr="00F23C7B" w:rsidRDefault="00826BD5" w:rsidP="00F23C7B">
      <w:pPr>
        <w:pStyle w:val="Header"/>
        <w:pBdr>
          <w:bottom w:val="single" w:sz="12" w:space="1" w:color="auto"/>
        </w:pBdr>
        <w:tabs>
          <w:tab w:val="left" w:pos="720"/>
        </w:tabs>
        <w:rPr>
          <w:b/>
          <w:bCs/>
          <w:sz w:val="8"/>
          <w:szCs w:val="8"/>
        </w:rPr>
      </w:pPr>
      <w:r w:rsidRPr="00F23C7B">
        <w:rPr>
          <w:b/>
          <w:bCs/>
          <w:sz w:val="28"/>
          <w:szCs w:val="28"/>
        </w:rPr>
        <w:t>EXPLANATORY STATEMENT</w:t>
      </w:r>
    </w:p>
    <w:p w14:paraId="5B3ADD81" w14:textId="77777777" w:rsidR="00F23C7B" w:rsidRDefault="00F23C7B" w:rsidP="00826BD5">
      <w:pPr>
        <w:pStyle w:val="Header"/>
        <w:tabs>
          <w:tab w:val="left" w:pos="720"/>
        </w:tabs>
        <w:rPr>
          <w:b/>
          <w:bCs/>
        </w:rPr>
      </w:pPr>
    </w:p>
    <w:p w14:paraId="7C508496" w14:textId="5B010842" w:rsidR="00826BD5" w:rsidRDefault="00F23C7B" w:rsidP="00FE06C0">
      <w:pPr>
        <w:pStyle w:val="LongTitle"/>
        <w:spacing w:before="0" w:after="0"/>
        <w:jc w:val="left"/>
        <w:rPr>
          <w:color w:val="000000"/>
        </w:rPr>
      </w:pPr>
      <w:r w:rsidRPr="005F0FC9">
        <w:rPr>
          <w:color w:val="000000"/>
        </w:rPr>
        <w:t>T</w:t>
      </w:r>
      <w:r w:rsidR="00826BD5" w:rsidRPr="005F0FC9">
        <w:rPr>
          <w:color w:val="000000"/>
        </w:rPr>
        <w:t xml:space="preserve">he Minister </w:t>
      </w:r>
      <w:r w:rsidR="000946E2" w:rsidRPr="005F0FC9">
        <w:rPr>
          <w:color w:val="000000"/>
        </w:rPr>
        <w:t>has power to</w:t>
      </w:r>
      <w:r w:rsidR="00826BD5" w:rsidRPr="005F0FC9">
        <w:rPr>
          <w:color w:val="000000"/>
        </w:rPr>
        <w:t xml:space="preserve"> </w:t>
      </w:r>
      <w:r w:rsidRPr="005F0FC9">
        <w:rPr>
          <w:color w:val="000000"/>
        </w:rPr>
        <w:t xml:space="preserve">determine </w:t>
      </w:r>
      <w:r w:rsidR="00826BD5" w:rsidRPr="005F0FC9">
        <w:rPr>
          <w:color w:val="000000"/>
        </w:rPr>
        <w:t>fees for the purposes of th</w:t>
      </w:r>
      <w:r w:rsidRPr="005F0FC9">
        <w:rPr>
          <w:color w:val="000000"/>
        </w:rPr>
        <w:t xml:space="preserve">e </w:t>
      </w:r>
      <w:r w:rsidRPr="005F0FC9">
        <w:rPr>
          <w:i/>
          <w:color w:val="000000"/>
        </w:rPr>
        <w:t>Public Trustee and Guardian Act 1985</w:t>
      </w:r>
      <w:r w:rsidR="00826BD5" w:rsidRPr="005F0FC9">
        <w:rPr>
          <w:color w:val="000000"/>
        </w:rPr>
        <w:t>.</w:t>
      </w:r>
    </w:p>
    <w:p w14:paraId="51A6B5D9" w14:textId="039B38ED" w:rsidR="00AC3A0F" w:rsidRDefault="00AC3A0F" w:rsidP="00FE06C0">
      <w:pPr>
        <w:pStyle w:val="LongTitle"/>
        <w:spacing w:before="0" w:after="0"/>
        <w:jc w:val="left"/>
        <w:rPr>
          <w:color w:val="000000"/>
        </w:rPr>
      </w:pPr>
    </w:p>
    <w:p w14:paraId="74E38F92" w14:textId="1AFED6A6" w:rsidR="00AC3A0F" w:rsidRPr="00AC3A0F" w:rsidRDefault="00AC3A0F" w:rsidP="009C49C2">
      <w:pPr>
        <w:pStyle w:val="LongTitle"/>
        <w:spacing w:before="0" w:after="120"/>
        <w:jc w:val="left"/>
        <w:rPr>
          <w:color w:val="000000"/>
        </w:rPr>
      </w:pPr>
      <w:r>
        <w:rPr>
          <w:color w:val="000000"/>
        </w:rPr>
        <w:t xml:space="preserve">The new determination (the </w:t>
      </w:r>
      <w:r w:rsidRPr="002E5954">
        <w:rPr>
          <w:color w:val="000000"/>
        </w:rPr>
        <w:t>2021 determination) sets the</w:t>
      </w:r>
      <w:r w:rsidR="002E5954" w:rsidRPr="002E5954">
        <w:rPr>
          <w:color w:val="000000"/>
        </w:rPr>
        <w:t xml:space="preserve"> Public Trustee and Guardian</w:t>
      </w:r>
      <w:r w:rsidRPr="002E5954">
        <w:rPr>
          <w:color w:val="000000"/>
        </w:rPr>
        <w:t xml:space="preserve"> fees</w:t>
      </w:r>
      <w:r w:rsidR="002E5954" w:rsidRPr="002E5954">
        <w:rPr>
          <w:color w:val="000000"/>
        </w:rPr>
        <w:t>,</w:t>
      </w:r>
      <w:r w:rsidRPr="002E5954">
        <w:rPr>
          <w:color w:val="000000"/>
        </w:rPr>
        <w:t xml:space="preserve"> that will apply from </w:t>
      </w:r>
      <w:r w:rsidR="00B04FCA" w:rsidRPr="002E5954">
        <w:rPr>
          <w:color w:val="000000"/>
        </w:rPr>
        <w:t xml:space="preserve">the day after the </w:t>
      </w:r>
      <w:r w:rsidRPr="002E5954">
        <w:rPr>
          <w:color w:val="000000"/>
        </w:rPr>
        <w:t>2021</w:t>
      </w:r>
      <w:r w:rsidR="00B04FCA" w:rsidRPr="002E5954">
        <w:rPr>
          <w:color w:val="000000"/>
        </w:rPr>
        <w:t xml:space="preserve"> determination</w:t>
      </w:r>
      <w:r w:rsidR="002E5954" w:rsidRPr="002E5954">
        <w:rPr>
          <w:color w:val="000000"/>
        </w:rPr>
        <w:t>’s notification</w:t>
      </w:r>
      <w:r w:rsidR="002E5954">
        <w:rPr>
          <w:color w:val="000000"/>
        </w:rPr>
        <w:t xml:space="preserve"> day.</w:t>
      </w:r>
      <w:r w:rsidR="00184059">
        <w:rPr>
          <w:color w:val="000000"/>
        </w:rPr>
        <w:t xml:space="preserve"> The 2021 determination</w:t>
      </w:r>
      <w:r>
        <w:rPr>
          <w:color w:val="000000"/>
        </w:rPr>
        <w:t xml:space="preserve"> repeals the Public Trustee and Guardian (Fees) Determination 2020 (the 2020 determination) a</w:t>
      </w:r>
      <w:r w:rsidR="00184059">
        <w:rPr>
          <w:color w:val="000000"/>
        </w:rPr>
        <w:t>nd</w:t>
      </w:r>
      <w:r w:rsidR="001B3C8B">
        <w:rPr>
          <w:color w:val="000000"/>
        </w:rPr>
        <w:t xml:space="preserve"> </w:t>
      </w:r>
      <w:r>
        <w:rPr>
          <w:color w:val="000000"/>
        </w:rPr>
        <w:t xml:space="preserve">provides for fee increases </w:t>
      </w:r>
      <w:r w:rsidR="00E4419D">
        <w:rPr>
          <w:color w:val="000000"/>
        </w:rPr>
        <w:t xml:space="preserve">to reflect the changing nature of the Public Trustee and Guardian’s work, including increased workload, increased complexity, </w:t>
      </w:r>
      <w:r w:rsidR="009B41CD">
        <w:rPr>
          <w:color w:val="000000"/>
        </w:rPr>
        <w:t xml:space="preserve">the </w:t>
      </w:r>
      <w:r w:rsidR="00E4419D">
        <w:rPr>
          <w:color w:val="000000"/>
        </w:rPr>
        <w:t>higher number of clients seeking subsidies or concessions and increasing need for qualified specialist</w:t>
      </w:r>
      <w:r w:rsidR="009B41CD">
        <w:rPr>
          <w:color w:val="000000"/>
        </w:rPr>
        <w:t>s</w:t>
      </w:r>
      <w:r>
        <w:rPr>
          <w:color w:val="000000"/>
        </w:rPr>
        <w:t xml:space="preserve">. </w:t>
      </w:r>
    </w:p>
    <w:p w14:paraId="2603FCD6" w14:textId="1EBFE3B0" w:rsidR="009C49C2" w:rsidRDefault="009C49C2" w:rsidP="009C49C2">
      <w:pPr>
        <w:pStyle w:val="CS-Paragraphnumbering"/>
        <w:numPr>
          <w:ilvl w:val="0"/>
          <w:numId w:val="0"/>
        </w:numPr>
        <w:rPr>
          <w:rFonts w:ascii="Times New Roman" w:eastAsia="Times New Roman" w:hAnsi="Times New Roman" w:cs="Times New Roman"/>
          <w:color w:val="000000"/>
        </w:rPr>
      </w:pPr>
      <w:bookmarkStart w:id="0" w:name="_Hlk68766569"/>
      <w:r>
        <w:rPr>
          <w:rFonts w:ascii="Times New Roman" w:eastAsia="Times New Roman" w:hAnsi="Times New Roman" w:cs="Times New Roman"/>
          <w:color w:val="000000"/>
        </w:rPr>
        <w:t xml:space="preserve">Changes to </w:t>
      </w:r>
      <w:r w:rsidR="009B41CD">
        <w:rPr>
          <w:rFonts w:ascii="Times New Roman" w:eastAsia="Times New Roman" w:hAnsi="Times New Roman" w:cs="Times New Roman"/>
          <w:color w:val="000000"/>
        </w:rPr>
        <w:t xml:space="preserve">maximum </w:t>
      </w:r>
      <w:r>
        <w:rPr>
          <w:rFonts w:ascii="Times New Roman" w:eastAsia="Times New Roman" w:hAnsi="Times New Roman" w:cs="Times New Roman"/>
          <w:color w:val="000000"/>
        </w:rPr>
        <w:t>fees are summarised below:</w:t>
      </w:r>
    </w:p>
    <w:p w14:paraId="4075D440" w14:textId="0C40BB24" w:rsidR="009C49C2" w:rsidRPr="009C49C2" w:rsidRDefault="009C49C2" w:rsidP="009C49C2">
      <w:pPr>
        <w:pStyle w:val="CS-Paragraphnumbering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Changes to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 fees 64 and 86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a new additional hourly rate of $450 </w:t>
      </w:r>
      <w:r>
        <w:rPr>
          <w:rFonts w:ascii="Times New Roman" w:eastAsia="Times New Roman" w:hAnsi="Times New Roman" w:cs="Times New Roman"/>
          <w:color w:val="000000"/>
        </w:rPr>
        <w:t>has been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 introduced where services of a professional nature are provided by a qualified in-house practitioner.  </w:t>
      </w:r>
    </w:p>
    <w:p w14:paraId="035C73D2" w14:textId="488A12A6" w:rsidR="009C49C2" w:rsidRPr="009C49C2" w:rsidRDefault="009C49C2" w:rsidP="009C49C2">
      <w:pPr>
        <w:pStyle w:val="CS-Paragraphnumbering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Changes to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 fees 67 and 432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the current income commission </w:t>
      </w:r>
      <w:r>
        <w:rPr>
          <w:rFonts w:ascii="Times New Roman" w:eastAsia="Times New Roman" w:hAnsi="Times New Roman" w:cs="Times New Roman"/>
          <w:color w:val="000000"/>
        </w:rPr>
        <w:t xml:space="preserve">has been 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increased to 6.6% from 5.5%.  </w:t>
      </w:r>
    </w:p>
    <w:p w14:paraId="1F5A74CC" w14:textId="04EAD53A" w:rsidR="00962C70" w:rsidRDefault="009C49C2" w:rsidP="009C49C2">
      <w:pPr>
        <w:pStyle w:val="CS-Paragraphnumbering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Change</w:t>
      </w:r>
      <w:r w:rsidR="00962C70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to 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fee 68 </w:t>
      </w:r>
      <w:r w:rsidR="00962C70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F78870B" w14:textId="77777777" w:rsidR="00962C70" w:rsidRDefault="00962C70" w:rsidP="00962C70">
      <w:pPr>
        <w:pStyle w:val="CS-Paragraphnumbering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9C49C2">
        <w:rPr>
          <w:rFonts w:ascii="Times New Roman" w:eastAsia="Times New Roman" w:hAnsi="Times New Roman" w:cs="Times New Roman"/>
          <w:color w:val="000000"/>
        </w:rPr>
        <w:t xml:space="preserve">the minimum charge for an Estate Administration </w:t>
      </w:r>
      <w:r>
        <w:rPr>
          <w:rFonts w:ascii="Times New Roman" w:eastAsia="Times New Roman" w:hAnsi="Times New Roman" w:cs="Times New Roman"/>
          <w:color w:val="000000"/>
        </w:rPr>
        <w:t xml:space="preserve">has </w:t>
      </w:r>
      <w:r w:rsidRPr="009C49C2"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</w:rPr>
        <w:t>en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 increased to $2,880 from $2,618</w:t>
      </w:r>
      <w:r>
        <w:rPr>
          <w:rFonts w:ascii="Times New Roman" w:eastAsia="Times New Roman" w:hAnsi="Times New Roman" w:cs="Times New Roman"/>
          <w:color w:val="000000"/>
        </w:rPr>
        <w:t>; and</w:t>
      </w:r>
    </w:p>
    <w:p w14:paraId="0CD3E73B" w14:textId="4002C03A" w:rsidR="009C49C2" w:rsidRPr="009C49C2" w:rsidRDefault="00962C70" w:rsidP="00962C70">
      <w:pPr>
        <w:pStyle w:val="CS-Paragraphnumbering"/>
        <w:numPr>
          <w:ilvl w:val="1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</w:t>
      </w:r>
      <w:r w:rsidR="009C49C2" w:rsidRPr="009C49C2">
        <w:rPr>
          <w:rFonts w:ascii="Times New Roman" w:eastAsia="Times New Roman" w:hAnsi="Times New Roman" w:cs="Times New Roman"/>
          <w:color w:val="000000"/>
        </w:rPr>
        <w:t xml:space="preserve"> sliding scale applied to property values </w:t>
      </w:r>
      <w:r w:rsidR="009C49C2">
        <w:rPr>
          <w:rFonts w:ascii="Times New Roman" w:eastAsia="Times New Roman" w:hAnsi="Times New Roman" w:cs="Times New Roman"/>
          <w:color w:val="000000"/>
        </w:rPr>
        <w:t xml:space="preserve">has </w:t>
      </w:r>
      <w:r w:rsidR="009C49C2" w:rsidRPr="009C49C2">
        <w:rPr>
          <w:rFonts w:ascii="Times New Roman" w:eastAsia="Times New Roman" w:hAnsi="Times New Roman" w:cs="Times New Roman"/>
          <w:color w:val="000000"/>
        </w:rPr>
        <w:t>be</w:t>
      </w:r>
      <w:r w:rsidR="009C49C2">
        <w:rPr>
          <w:rFonts w:ascii="Times New Roman" w:eastAsia="Times New Roman" w:hAnsi="Times New Roman" w:cs="Times New Roman"/>
          <w:color w:val="000000"/>
        </w:rPr>
        <w:t>en</w:t>
      </w:r>
      <w:r w:rsidR="009C49C2" w:rsidRPr="009C49C2">
        <w:rPr>
          <w:rFonts w:ascii="Times New Roman" w:eastAsia="Times New Roman" w:hAnsi="Times New Roman" w:cs="Times New Roman"/>
          <w:color w:val="000000"/>
        </w:rPr>
        <w:t xml:space="preserve"> amended to increase from increments of $200,000 to increments $300,000:</w:t>
      </w:r>
    </w:p>
    <w:p w14:paraId="385A6ECB" w14:textId="04D7BC85" w:rsidR="009C49C2" w:rsidRPr="009C49C2" w:rsidRDefault="009C49C2" w:rsidP="009C49C2">
      <w:pPr>
        <w:pStyle w:val="CS-Paragraphnumbering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9C49C2">
        <w:rPr>
          <w:rFonts w:ascii="Times New Roman" w:eastAsia="Times New Roman" w:hAnsi="Times New Roman" w:cs="Times New Roman"/>
          <w:color w:val="000000"/>
        </w:rPr>
        <w:t>4.4% of the first $300,000 (</w:t>
      </w:r>
      <w:r>
        <w:rPr>
          <w:rFonts w:ascii="Times New Roman" w:eastAsia="Times New Roman" w:hAnsi="Times New Roman" w:cs="Times New Roman"/>
          <w:color w:val="000000"/>
        </w:rPr>
        <w:t>previously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 $200,000) </w:t>
      </w:r>
    </w:p>
    <w:p w14:paraId="0059299B" w14:textId="77777777" w:rsidR="009C49C2" w:rsidRPr="009C49C2" w:rsidRDefault="009C49C2" w:rsidP="009C49C2">
      <w:pPr>
        <w:pStyle w:val="CS-Paragraphnumbering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9C49C2">
        <w:rPr>
          <w:rFonts w:ascii="Times New Roman" w:eastAsia="Times New Roman" w:hAnsi="Times New Roman" w:cs="Times New Roman"/>
          <w:color w:val="000000"/>
        </w:rPr>
        <w:t xml:space="preserve">3.3% of the next $300,000 (i.e. $300,000 to $600,000) </w:t>
      </w:r>
    </w:p>
    <w:p w14:paraId="779DDA33" w14:textId="77777777" w:rsidR="009C49C2" w:rsidRPr="009C49C2" w:rsidRDefault="009C49C2" w:rsidP="009C49C2">
      <w:pPr>
        <w:pStyle w:val="CS-Paragraphnumbering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9C49C2">
        <w:rPr>
          <w:rFonts w:ascii="Times New Roman" w:eastAsia="Times New Roman" w:hAnsi="Times New Roman" w:cs="Times New Roman"/>
          <w:color w:val="000000"/>
        </w:rPr>
        <w:t xml:space="preserve">2.2% of the next $300,000 (i.e. $600,000 to $900,000) </w:t>
      </w:r>
    </w:p>
    <w:p w14:paraId="7DC8CDE3" w14:textId="36A4D180" w:rsidR="009C49C2" w:rsidRPr="009C49C2" w:rsidRDefault="009C49C2" w:rsidP="009C49C2">
      <w:pPr>
        <w:pStyle w:val="CS-Paragraphnumbering"/>
        <w:numPr>
          <w:ilvl w:val="2"/>
          <w:numId w:val="3"/>
        </w:numPr>
        <w:rPr>
          <w:rFonts w:ascii="Times New Roman" w:eastAsia="Times New Roman" w:hAnsi="Times New Roman" w:cs="Times New Roman"/>
          <w:color w:val="000000"/>
        </w:rPr>
      </w:pPr>
      <w:r w:rsidRPr="009C49C2">
        <w:rPr>
          <w:rFonts w:ascii="Times New Roman" w:eastAsia="Times New Roman" w:hAnsi="Times New Roman" w:cs="Times New Roman"/>
          <w:color w:val="000000"/>
        </w:rPr>
        <w:t>1.1% of the amount greater than $900,000</w:t>
      </w:r>
      <w:r w:rsidR="002B4AA5">
        <w:rPr>
          <w:rFonts w:ascii="Times New Roman" w:eastAsia="Times New Roman" w:hAnsi="Times New Roman" w:cs="Times New Roman"/>
          <w:color w:val="000000"/>
        </w:rPr>
        <w:t>.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9482CB6" w14:textId="74D23447" w:rsidR="009C49C2" w:rsidRPr="009C49C2" w:rsidRDefault="009C49C2" w:rsidP="009C49C2">
      <w:pPr>
        <w:pStyle w:val="CS-Paragraphnumbering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Change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 to fee 89 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 </w:t>
      </w:r>
      <w:r w:rsidR="00962C70">
        <w:rPr>
          <w:rFonts w:ascii="Times New Roman" w:eastAsia="Times New Roman" w:hAnsi="Times New Roman" w:cs="Times New Roman"/>
          <w:color w:val="000000"/>
        </w:rPr>
        <w:t>the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 maximum fee for preparing a Will </w:t>
      </w:r>
      <w:r>
        <w:rPr>
          <w:rFonts w:ascii="Times New Roman" w:eastAsia="Times New Roman" w:hAnsi="Times New Roman" w:cs="Times New Roman"/>
          <w:color w:val="000000"/>
        </w:rPr>
        <w:t xml:space="preserve">has </w:t>
      </w:r>
      <w:r w:rsidRPr="009C49C2"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</w:rPr>
        <w:t>en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 increased to $2,250 from </w:t>
      </w:r>
      <w:r w:rsidR="00962C70">
        <w:rPr>
          <w:rFonts w:ascii="Times New Roman" w:eastAsia="Times New Roman" w:hAnsi="Times New Roman" w:cs="Times New Roman"/>
          <w:color w:val="000000"/>
        </w:rPr>
        <w:t>the previous maximum of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 $654.  </w:t>
      </w:r>
      <w:r w:rsidR="00962C70">
        <w:rPr>
          <w:rFonts w:ascii="Times New Roman" w:eastAsia="Times New Roman" w:hAnsi="Times New Roman" w:cs="Times New Roman"/>
          <w:color w:val="000000"/>
        </w:rPr>
        <w:t xml:space="preserve">The new hourly fee 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of $450 </w:t>
      </w:r>
      <w:r>
        <w:rPr>
          <w:rFonts w:ascii="Times New Roman" w:eastAsia="Times New Roman" w:hAnsi="Times New Roman" w:cs="Times New Roman"/>
          <w:color w:val="000000"/>
        </w:rPr>
        <w:t>will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 be charged for complex Will</w:t>
      </w:r>
      <w:r w:rsidR="00962C70">
        <w:rPr>
          <w:rFonts w:ascii="Times New Roman" w:eastAsia="Times New Roman" w:hAnsi="Times New Roman" w:cs="Times New Roman"/>
          <w:color w:val="000000"/>
        </w:rPr>
        <w:t xml:space="preserve"> preparation while the current hourly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 fee of $293 </w:t>
      </w:r>
      <w:r>
        <w:rPr>
          <w:rFonts w:ascii="Times New Roman" w:eastAsia="Times New Roman" w:hAnsi="Times New Roman" w:cs="Times New Roman"/>
          <w:color w:val="000000"/>
        </w:rPr>
        <w:t>will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 be charged for non-complex Will</w:t>
      </w:r>
      <w:r w:rsidR="00962C70">
        <w:rPr>
          <w:rFonts w:ascii="Times New Roman" w:eastAsia="Times New Roman" w:hAnsi="Times New Roman" w:cs="Times New Roman"/>
          <w:color w:val="000000"/>
        </w:rPr>
        <w:t xml:space="preserve"> preparation.</w:t>
      </w:r>
      <w:r w:rsidRPr="009C49C2">
        <w:rPr>
          <w:rFonts w:ascii="Times New Roman" w:eastAsia="Times New Roman" w:hAnsi="Times New Roman" w:cs="Times New Roman"/>
          <w:color w:val="000000"/>
        </w:rPr>
        <w:t xml:space="preserve"> </w:t>
      </w:r>
    </w:p>
    <w:bookmarkEnd w:id="0"/>
    <w:p w14:paraId="71EBD4BB" w14:textId="5F67A80D" w:rsidR="00F23C7B" w:rsidRPr="005F0FC9" w:rsidRDefault="00F23C7B" w:rsidP="00826BD5">
      <w:pPr>
        <w:pStyle w:val="LongTitle"/>
        <w:spacing w:before="0" w:after="0"/>
        <w:rPr>
          <w:color w:val="000000"/>
        </w:rPr>
      </w:pPr>
    </w:p>
    <w:p w14:paraId="7F4CFBE5" w14:textId="77777777" w:rsidR="00C54801" w:rsidRPr="005F0FC9" w:rsidRDefault="000946E2" w:rsidP="00FE06C0">
      <w:pPr>
        <w:pStyle w:val="LongTitle"/>
        <w:spacing w:before="0" w:after="0"/>
        <w:jc w:val="left"/>
        <w:rPr>
          <w:color w:val="000000"/>
        </w:rPr>
      </w:pPr>
      <w:r w:rsidRPr="005F0FC9">
        <w:rPr>
          <w:color w:val="000000"/>
        </w:rPr>
        <w:t>Item numbers, included in the schedule, column 2, enable the comparison of past fees set under the Act with those set by this instrument.</w:t>
      </w:r>
      <w:r w:rsidR="00C54801" w:rsidRPr="005F0FC9">
        <w:rPr>
          <w:color w:val="000000"/>
        </w:rPr>
        <w:t xml:space="preserve"> </w:t>
      </w:r>
    </w:p>
    <w:p w14:paraId="47688B09" w14:textId="77777777" w:rsidR="00D35512" w:rsidRPr="005F0FC9" w:rsidRDefault="00D35512" w:rsidP="00D35512">
      <w:pPr>
        <w:rPr>
          <w:rFonts w:ascii="Times New Roman" w:hAnsi="Times New Roman" w:cs="Times New Roman"/>
          <w:color w:val="000000"/>
        </w:rPr>
      </w:pPr>
    </w:p>
    <w:p w14:paraId="10AAA214" w14:textId="77777777" w:rsidR="00D35512" w:rsidRPr="00D35512" w:rsidRDefault="00D35512" w:rsidP="00FE06C0">
      <w:pPr>
        <w:jc w:val="both"/>
        <w:rPr>
          <w:rFonts w:ascii="Times New Roman" w:hAnsi="Times New Roman" w:cs="Times New Roman"/>
          <w:color w:val="000000"/>
        </w:rPr>
      </w:pPr>
      <w:r w:rsidRPr="005F0FC9">
        <w:rPr>
          <w:rFonts w:ascii="Times New Roman" w:hAnsi="Times New Roman" w:cs="Times New Roman"/>
          <w:color w:val="000000"/>
        </w:rPr>
        <w:t xml:space="preserve">The instrument contains further explanatory notes about the </w:t>
      </w:r>
      <w:r w:rsidR="00C54801" w:rsidRPr="005F0FC9">
        <w:rPr>
          <w:rFonts w:ascii="Times New Roman" w:hAnsi="Times New Roman" w:cs="Times New Roman"/>
          <w:color w:val="000000"/>
        </w:rPr>
        <w:t>hourly rate</w:t>
      </w:r>
      <w:r w:rsidR="00D44538" w:rsidRPr="005F0FC9">
        <w:rPr>
          <w:rFonts w:ascii="Times New Roman" w:hAnsi="Times New Roman" w:cs="Times New Roman"/>
          <w:color w:val="000000"/>
        </w:rPr>
        <w:t xml:space="preserve"> and fees</w:t>
      </w:r>
      <w:r w:rsidRPr="005F0FC9">
        <w:rPr>
          <w:rFonts w:ascii="Times New Roman" w:hAnsi="Times New Roman" w:cs="Times New Roman"/>
          <w:color w:val="000000"/>
        </w:rPr>
        <w:t xml:space="preserve"> for </w:t>
      </w:r>
      <w:r w:rsidR="000A0F12" w:rsidRPr="005F0FC9">
        <w:rPr>
          <w:rFonts w:ascii="Times New Roman" w:hAnsi="Times New Roman" w:cs="Times New Roman"/>
          <w:color w:val="000000"/>
        </w:rPr>
        <w:t>each item</w:t>
      </w:r>
      <w:r w:rsidRPr="005F0FC9">
        <w:rPr>
          <w:rFonts w:ascii="Times New Roman" w:hAnsi="Times New Roman" w:cs="Times New Roman"/>
          <w:color w:val="000000"/>
        </w:rPr>
        <w:t xml:space="preserve"> in the past </w:t>
      </w:r>
      <w:r w:rsidR="000A0F12" w:rsidRPr="005F0FC9">
        <w:rPr>
          <w:rFonts w:ascii="Times New Roman" w:hAnsi="Times New Roman" w:cs="Times New Roman"/>
          <w:color w:val="000000"/>
        </w:rPr>
        <w:t>Financial Year</w:t>
      </w:r>
      <w:r w:rsidRPr="005F0FC9">
        <w:rPr>
          <w:rFonts w:ascii="Times New Roman" w:hAnsi="Times New Roman" w:cs="Times New Roman"/>
          <w:color w:val="000000"/>
        </w:rPr>
        <w:t>.</w:t>
      </w:r>
    </w:p>
    <w:p w14:paraId="7D188984" w14:textId="77777777" w:rsidR="00D35512" w:rsidRPr="00085A77" w:rsidRDefault="00D35512" w:rsidP="00826BD5">
      <w:pPr>
        <w:pStyle w:val="LongTitle"/>
        <w:spacing w:before="0" w:after="0"/>
        <w:rPr>
          <w:color w:val="000000"/>
        </w:rPr>
      </w:pPr>
    </w:p>
    <w:p w14:paraId="31608C42" w14:textId="77777777" w:rsidR="00826BD5" w:rsidRPr="00806AEB" w:rsidRDefault="00826BD5" w:rsidP="00C16077">
      <w:pPr>
        <w:spacing w:line="240" w:lineRule="exact"/>
        <w:rPr>
          <w:sz w:val="16"/>
          <w:szCs w:val="16"/>
        </w:rPr>
      </w:pPr>
    </w:p>
    <w:sectPr w:rsidR="00826BD5" w:rsidRPr="00806AEB" w:rsidSect="00996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265D" w14:textId="77777777" w:rsidR="00616EF4" w:rsidRDefault="00616EF4">
      <w:r>
        <w:separator/>
      </w:r>
    </w:p>
  </w:endnote>
  <w:endnote w:type="continuationSeparator" w:id="0">
    <w:p w14:paraId="7701ED60" w14:textId="77777777" w:rsidR="00616EF4" w:rsidRDefault="0061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9233" w14:textId="77777777" w:rsidR="001D72DC" w:rsidRDefault="001D7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6DB6" w14:textId="1662C94B" w:rsidR="001D72DC" w:rsidRPr="001D72DC" w:rsidRDefault="001D72DC" w:rsidP="001D72DC">
    <w:pPr>
      <w:pStyle w:val="Footer"/>
      <w:jc w:val="center"/>
      <w:rPr>
        <w:sz w:val="14"/>
      </w:rPr>
    </w:pPr>
    <w:r w:rsidRPr="001D72DC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E7DF3" w14:textId="77777777" w:rsidR="001D72DC" w:rsidRDefault="001D7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9868A" w14:textId="77777777" w:rsidR="00616EF4" w:rsidRDefault="00616EF4">
      <w:r>
        <w:separator/>
      </w:r>
    </w:p>
  </w:footnote>
  <w:footnote w:type="continuationSeparator" w:id="0">
    <w:p w14:paraId="5AD9ACD0" w14:textId="77777777" w:rsidR="00616EF4" w:rsidRDefault="0061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8182" w14:textId="77777777" w:rsidR="001D72DC" w:rsidRDefault="001D7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D7E3C" w14:textId="77777777" w:rsidR="00D12DAC" w:rsidRDefault="00D12DAC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5980BA68" w14:textId="77777777" w:rsidR="00D12DAC" w:rsidRDefault="00D12DAC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CE23A" w14:textId="77777777" w:rsidR="001D72DC" w:rsidRDefault="001D7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7114B"/>
    <w:multiLevelType w:val="hybridMultilevel"/>
    <w:tmpl w:val="101413D2"/>
    <w:lvl w:ilvl="0" w:tplc="CBCE2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72B8"/>
    <w:multiLevelType w:val="hybridMultilevel"/>
    <w:tmpl w:val="3994428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56895"/>
    <w:multiLevelType w:val="hybridMultilevel"/>
    <w:tmpl w:val="D79CF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0161"/>
    <w:rsid w:val="00000476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47139"/>
    <w:rsid w:val="0005173B"/>
    <w:rsid w:val="00051DE3"/>
    <w:rsid w:val="000610E8"/>
    <w:rsid w:val="00062706"/>
    <w:rsid w:val="00070CC1"/>
    <w:rsid w:val="00070E94"/>
    <w:rsid w:val="00071BD4"/>
    <w:rsid w:val="00072C33"/>
    <w:rsid w:val="00073138"/>
    <w:rsid w:val="0007350E"/>
    <w:rsid w:val="000735DC"/>
    <w:rsid w:val="00073CBA"/>
    <w:rsid w:val="00081110"/>
    <w:rsid w:val="000820B3"/>
    <w:rsid w:val="00085A77"/>
    <w:rsid w:val="0009054E"/>
    <w:rsid w:val="00092434"/>
    <w:rsid w:val="00093353"/>
    <w:rsid w:val="0009352C"/>
    <w:rsid w:val="000946E2"/>
    <w:rsid w:val="00094D53"/>
    <w:rsid w:val="00095B9F"/>
    <w:rsid w:val="0009797F"/>
    <w:rsid w:val="000A0F12"/>
    <w:rsid w:val="000A24E2"/>
    <w:rsid w:val="000A39BF"/>
    <w:rsid w:val="000A53BD"/>
    <w:rsid w:val="000B213B"/>
    <w:rsid w:val="000B4672"/>
    <w:rsid w:val="000B7467"/>
    <w:rsid w:val="000C2F11"/>
    <w:rsid w:val="000C35DE"/>
    <w:rsid w:val="000C3EB9"/>
    <w:rsid w:val="000C5B81"/>
    <w:rsid w:val="000C6379"/>
    <w:rsid w:val="000D1427"/>
    <w:rsid w:val="000D15DE"/>
    <w:rsid w:val="000D1EAF"/>
    <w:rsid w:val="000D3008"/>
    <w:rsid w:val="000E1337"/>
    <w:rsid w:val="000E236B"/>
    <w:rsid w:val="000E246F"/>
    <w:rsid w:val="000E4DD1"/>
    <w:rsid w:val="000F07E0"/>
    <w:rsid w:val="000F1EE2"/>
    <w:rsid w:val="000F2035"/>
    <w:rsid w:val="000F242B"/>
    <w:rsid w:val="000F5A40"/>
    <w:rsid w:val="000F65F5"/>
    <w:rsid w:val="00100B65"/>
    <w:rsid w:val="00104752"/>
    <w:rsid w:val="00105442"/>
    <w:rsid w:val="00107E48"/>
    <w:rsid w:val="00110D61"/>
    <w:rsid w:val="00113511"/>
    <w:rsid w:val="001138EA"/>
    <w:rsid w:val="00114D0C"/>
    <w:rsid w:val="00116EE4"/>
    <w:rsid w:val="00117BD5"/>
    <w:rsid w:val="00121A21"/>
    <w:rsid w:val="00122D8A"/>
    <w:rsid w:val="00127C7B"/>
    <w:rsid w:val="00130639"/>
    <w:rsid w:val="001426D2"/>
    <w:rsid w:val="001464BE"/>
    <w:rsid w:val="00146B2F"/>
    <w:rsid w:val="00147037"/>
    <w:rsid w:val="00150023"/>
    <w:rsid w:val="0015309B"/>
    <w:rsid w:val="0015759A"/>
    <w:rsid w:val="0016087C"/>
    <w:rsid w:val="00160DD4"/>
    <w:rsid w:val="00161BDF"/>
    <w:rsid w:val="00165E06"/>
    <w:rsid w:val="00167AF6"/>
    <w:rsid w:val="00172D4D"/>
    <w:rsid w:val="00173A2A"/>
    <w:rsid w:val="00175CD7"/>
    <w:rsid w:val="00177765"/>
    <w:rsid w:val="00184059"/>
    <w:rsid w:val="00185950"/>
    <w:rsid w:val="00185AB2"/>
    <w:rsid w:val="00185E74"/>
    <w:rsid w:val="00190D36"/>
    <w:rsid w:val="00193C03"/>
    <w:rsid w:val="001971C4"/>
    <w:rsid w:val="001A0AF8"/>
    <w:rsid w:val="001B0358"/>
    <w:rsid w:val="001B0752"/>
    <w:rsid w:val="001B0C90"/>
    <w:rsid w:val="001B0F94"/>
    <w:rsid w:val="001B23F6"/>
    <w:rsid w:val="001B3A32"/>
    <w:rsid w:val="001B3C8B"/>
    <w:rsid w:val="001B4DA6"/>
    <w:rsid w:val="001B666F"/>
    <w:rsid w:val="001C2A3B"/>
    <w:rsid w:val="001D03CC"/>
    <w:rsid w:val="001D3C5D"/>
    <w:rsid w:val="001D714C"/>
    <w:rsid w:val="001D72DC"/>
    <w:rsid w:val="001E0674"/>
    <w:rsid w:val="001E3CA7"/>
    <w:rsid w:val="001E64B3"/>
    <w:rsid w:val="001E6BF8"/>
    <w:rsid w:val="001F291C"/>
    <w:rsid w:val="001F5677"/>
    <w:rsid w:val="001F604E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22C34"/>
    <w:rsid w:val="00226CD5"/>
    <w:rsid w:val="00232B32"/>
    <w:rsid w:val="002335BD"/>
    <w:rsid w:val="002340C8"/>
    <w:rsid w:val="002346D9"/>
    <w:rsid w:val="00237764"/>
    <w:rsid w:val="0024230E"/>
    <w:rsid w:val="00244A98"/>
    <w:rsid w:val="00252340"/>
    <w:rsid w:val="00252FA2"/>
    <w:rsid w:val="00253961"/>
    <w:rsid w:val="00253EE6"/>
    <w:rsid w:val="00254834"/>
    <w:rsid w:val="00262FEE"/>
    <w:rsid w:val="002649A8"/>
    <w:rsid w:val="00266B59"/>
    <w:rsid w:val="002704CD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92CF5"/>
    <w:rsid w:val="002A16B2"/>
    <w:rsid w:val="002A6B73"/>
    <w:rsid w:val="002A796A"/>
    <w:rsid w:val="002B4AA5"/>
    <w:rsid w:val="002C0299"/>
    <w:rsid w:val="002C0790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D7F93"/>
    <w:rsid w:val="002E207B"/>
    <w:rsid w:val="002E2C30"/>
    <w:rsid w:val="002E5954"/>
    <w:rsid w:val="002F787C"/>
    <w:rsid w:val="003004DC"/>
    <w:rsid w:val="00307F8D"/>
    <w:rsid w:val="00307FDD"/>
    <w:rsid w:val="0031291E"/>
    <w:rsid w:val="00315C01"/>
    <w:rsid w:val="00320C13"/>
    <w:rsid w:val="0032256F"/>
    <w:rsid w:val="00324033"/>
    <w:rsid w:val="0032684C"/>
    <w:rsid w:val="00330B4C"/>
    <w:rsid w:val="0033657D"/>
    <w:rsid w:val="00337DA3"/>
    <w:rsid w:val="003459DC"/>
    <w:rsid w:val="00350032"/>
    <w:rsid w:val="00350C58"/>
    <w:rsid w:val="0035145F"/>
    <w:rsid w:val="00357403"/>
    <w:rsid w:val="00361399"/>
    <w:rsid w:val="0036223D"/>
    <w:rsid w:val="00363481"/>
    <w:rsid w:val="0036457A"/>
    <w:rsid w:val="00365605"/>
    <w:rsid w:val="0037000A"/>
    <w:rsid w:val="0037078F"/>
    <w:rsid w:val="003720F2"/>
    <w:rsid w:val="00374095"/>
    <w:rsid w:val="0037589C"/>
    <w:rsid w:val="00375927"/>
    <w:rsid w:val="00376BFC"/>
    <w:rsid w:val="00377446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5838"/>
    <w:rsid w:val="00396913"/>
    <w:rsid w:val="003A2892"/>
    <w:rsid w:val="003A62A9"/>
    <w:rsid w:val="003A62BB"/>
    <w:rsid w:val="003B2239"/>
    <w:rsid w:val="003B3232"/>
    <w:rsid w:val="003B3670"/>
    <w:rsid w:val="003B6EEA"/>
    <w:rsid w:val="003B71C7"/>
    <w:rsid w:val="003C2F51"/>
    <w:rsid w:val="003C5009"/>
    <w:rsid w:val="003D3654"/>
    <w:rsid w:val="003D3F54"/>
    <w:rsid w:val="003D60A8"/>
    <w:rsid w:val="003D63DD"/>
    <w:rsid w:val="003D79EF"/>
    <w:rsid w:val="003D7DF7"/>
    <w:rsid w:val="003E0B9E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0F50"/>
    <w:rsid w:val="0041141C"/>
    <w:rsid w:val="0041171B"/>
    <w:rsid w:val="00411E9F"/>
    <w:rsid w:val="0041261F"/>
    <w:rsid w:val="004135B2"/>
    <w:rsid w:val="00416078"/>
    <w:rsid w:val="00420320"/>
    <w:rsid w:val="00421AAF"/>
    <w:rsid w:val="00421BF9"/>
    <w:rsid w:val="00422CF7"/>
    <w:rsid w:val="00430225"/>
    <w:rsid w:val="00433370"/>
    <w:rsid w:val="004336D2"/>
    <w:rsid w:val="00435365"/>
    <w:rsid w:val="004415CA"/>
    <w:rsid w:val="00441F02"/>
    <w:rsid w:val="004427E9"/>
    <w:rsid w:val="00442CE9"/>
    <w:rsid w:val="00443D48"/>
    <w:rsid w:val="004443A7"/>
    <w:rsid w:val="00444F21"/>
    <w:rsid w:val="00446DA3"/>
    <w:rsid w:val="00450F9E"/>
    <w:rsid w:val="004823C5"/>
    <w:rsid w:val="00483F3E"/>
    <w:rsid w:val="00486788"/>
    <w:rsid w:val="00494BAB"/>
    <w:rsid w:val="00495EAE"/>
    <w:rsid w:val="00497033"/>
    <w:rsid w:val="004A101F"/>
    <w:rsid w:val="004A1180"/>
    <w:rsid w:val="004A27B8"/>
    <w:rsid w:val="004A4063"/>
    <w:rsid w:val="004A474B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6B0F"/>
    <w:rsid w:val="004E77CF"/>
    <w:rsid w:val="004F0EE3"/>
    <w:rsid w:val="004F17BC"/>
    <w:rsid w:val="004F3022"/>
    <w:rsid w:val="00500F9D"/>
    <w:rsid w:val="00502593"/>
    <w:rsid w:val="00502A5D"/>
    <w:rsid w:val="00504825"/>
    <w:rsid w:val="005136ED"/>
    <w:rsid w:val="00514A90"/>
    <w:rsid w:val="00521BFE"/>
    <w:rsid w:val="005263E3"/>
    <w:rsid w:val="005332DE"/>
    <w:rsid w:val="005335C1"/>
    <w:rsid w:val="00533D28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265F"/>
    <w:rsid w:val="00574774"/>
    <w:rsid w:val="0057489C"/>
    <w:rsid w:val="0057564F"/>
    <w:rsid w:val="005758A5"/>
    <w:rsid w:val="005772C2"/>
    <w:rsid w:val="00581B26"/>
    <w:rsid w:val="0058702A"/>
    <w:rsid w:val="00590C8E"/>
    <w:rsid w:val="005912D1"/>
    <w:rsid w:val="00594233"/>
    <w:rsid w:val="0059567B"/>
    <w:rsid w:val="00597B02"/>
    <w:rsid w:val="00597F27"/>
    <w:rsid w:val="005A18DE"/>
    <w:rsid w:val="005A23BE"/>
    <w:rsid w:val="005A2E64"/>
    <w:rsid w:val="005A57F2"/>
    <w:rsid w:val="005A6186"/>
    <w:rsid w:val="005A69A8"/>
    <w:rsid w:val="005B04BC"/>
    <w:rsid w:val="005B2DBA"/>
    <w:rsid w:val="005B4F3F"/>
    <w:rsid w:val="005B5C7F"/>
    <w:rsid w:val="005C0A75"/>
    <w:rsid w:val="005C281E"/>
    <w:rsid w:val="005C2A14"/>
    <w:rsid w:val="005C314E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0FC9"/>
    <w:rsid w:val="005F121D"/>
    <w:rsid w:val="005F29D2"/>
    <w:rsid w:val="005F70DD"/>
    <w:rsid w:val="005F75F0"/>
    <w:rsid w:val="005F7FA8"/>
    <w:rsid w:val="00603D6F"/>
    <w:rsid w:val="006068CA"/>
    <w:rsid w:val="0061013A"/>
    <w:rsid w:val="0061166B"/>
    <w:rsid w:val="00613AAD"/>
    <w:rsid w:val="00616005"/>
    <w:rsid w:val="00616AF0"/>
    <w:rsid w:val="00616EF4"/>
    <w:rsid w:val="00616FBF"/>
    <w:rsid w:val="006220A1"/>
    <w:rsid w:val="0062294C"/>
    <w:rsid w:val="00622C02"/>
    <w:rsid w:val="0062367B"/>
    <w:rsid w:val="0062496B"/>
    <w:rsid w:val="0062783C"/>
    <w:rsid w:val="00627F8C"/>
    <w:rsid w:val="0063152E"/>
    <w:rsid w:val="0063251C"/>
    <w:rsid w:val="00632BD1"/>
    <w:rsid w:val="00633993"/>
    <w:rsid w:val="00634931"/>
    <w:rsid w:val="0064212A"/>
    <w:rsid w:val="00642944"/>
    <w:rsid w:val="00644C3A"/>
    <w:rsid w:val="0065688A"/>
    <w:rsid w:val="006568F8"/>
    <w:rsid w:val="0065756C"/>
    <w:rsid w:val="00657CEF"/>
    <w:rsid w:val="00660A7E"/>
    <w:rsid w:val="006640AD"/>
    <w:rsid w:val="00664FCC"/>
    <w:rsid w:val="00665262"/>
    <w:rsid w:val="00666389"/>
    <w:rsid w:val="006707A6"/>
    <w:rsid w:val="00672189"/>
    <w:rsid w:val="00681F9D"/>
    <w:rsid w:val="00682049"/>
    <w:rsid w:val="0068739F"/>
    <w:rsid w:val="00693709"/>
    <w:rsid w:val="0069491E"/>
    <w:rsid w:val="006971B1"/>
    <w:rsid w:val="006972DB"/>
    <w:rsid w:val="006A0279"/>
    <w:rsid w:val="006A28BA"/>
    <w:rsid w:val="006A3028"/>
    <w:rsid w:val="006A3ECC"/>
    <w:rsid w:val="006A609C"/>
    <w:rsid w:val="006A61AB"/>
    <w:rsid w:val="006B18D7"/>
    <w:rsid w:val="006B6498"/>
    <w:rsid w:val="006B6EE1"/>
    <w:rsid w:val="006C2E03"/>
    <w:rsid w:val="006C353D"/>
    <w:rsid w:val="006C3820"/>
    <w:rsid w:val="006C5A40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6A22"/>
    <w:rsid w:val="006F7BB0"/>
    <w:rsid w:val="00701B0F"/>
    <w:rsid w:val="007034EC"/>
    <w:rsid w:val="007059C2"/>
    <w:rsid w:val="00707F57"/>
    <w:rsid w:val="00714718"/>
    <w:rsid w:val="00715848"/>
    <w:rsid w:val="0071729C"/>
    <w:rsid w:val="00717DBF"/>
    <w:rsid w:val="0072286D"/>
    <w:rsid w:val="007259BC"/>
    <w:rsid w:val="007261FA"/>
    <w:rsid w:val="00727E0F"/>
    <w:rsid w:val="00733234"/>
    <w:rsid w:val="00735FDA"/>
    <w:rsid w:val="00745B3A"/>
    <w:rsid w:val="00747174"/>
    <w:rsid w:val="007504A9"/>
    <w:rsid w:val="00753986"/>
    <w:rsid w:val="0075450D"/>
    <w:rsid w:val="007611E7"/>
    <w:rsid w:val="00762225"/>
    <w:rsid w:val="00764902"/>
    <w:rsid w:val="0076637E"/>
    <w:rsid w:val="007707FD"/>
    <w:rsid w:val="0077087E"/>
    <w:rsid w:val="00773D6F"/>
    <w:rsid w:val="007740FC"/>
    <w:rsid w:val="0077678D"/>
    <w:rsid w:val="00783B18"/>
    <w:rsid w:val="007910A1"/>
    <w:rsid w:val="00792422"/>
    <w:rsid w:val="0079260D"/>
    <w:rsid w:val="007930E6"/>
    <w:rsid w:val="007937EC"/>
    <w:rsid w:val="00797277"/>
    <w:rsid w:val="007A417E"/>
    <w:rsid w:val="007A587A"/>
    <w:rsid w:val="007A5A08"/>
    <w:rsid w:val="007A6482"/>
    <w:rsid w:val="007B434F"/>
    <w:rsid w:val="007B4C02"/>
    <w:rsid w:val="007B6E56"/>
    <w:rsid w:val="007B720D"/>
    <w:rsid w:val="007C0363"/>
    <w:rsid w:val="007C1767"/>
    <w:rsid w:val="007C1C6C"/>
    <w:rsid w:val="007C3F11"/>
    <w:rsid w:val="007C4D6A"/>
    <w:rsid w:val="007C4EA9"/>
    <w:rsid w:val="007D130D"/>
    <w:rsid w:val="007D1B9F"/>
    <w:rsid w:val="007D3CDD"/>
    <w:rsid w:val="007D4277"/>
    <w:rsid w:val="007D489C"/>
    <w:rsid w:val="007E3DC4"/>
    <w:rsid w:val="007E3F89"/>
    <w:rsid w:val="007E459C"/>
    <w:rsid w:val="007F1737"/>
    <w:rsid w:val="007F27B8"/>
    <w:rsid w:val="007F4EAA"/>
    <w:rsid w:val="007F52E0"/>
    <w:rsid w:val="007F5DDE"/>
    <w:rsid w:val="007F6928"/>
    <w:rsid w:val="00806AEB"/>
    <w:rsid w:val="0080744E"/>
    <w:rsid w:val="0081384F"/>
    <w:rsid w:val="00813A12"/>
    <w:rsid w:val="00822CA6"/>
    <w:rsid w:val="0082490C"/>
    <w:rsid w:val="0082515A"/>
    <w:rsid w:val="00826BD5"/>
    <w:rsid w:val="00830C6A"/>
    <w:rsid w:val="00831B2E"/>
    <w:rsid w:val="008323C5"/>
    <w:rsid w:val="00846198"/>
    <w:rsid w:val="0084621E"/>
    <w:rsid w:val="008467E9"/>
    <w:rsid w:val="00846E4E"/>
    <w:rsid w:val="00850BA1"/>
    <w:rsid w:val="008524E5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2445"/>
    <w:rsid w:val="008859CD"/>
    <w:rsid w:val="0089019E"/>
    <w:rsid w:val="008904FE"/>
    <w:rsid w:val="0089091C"/>
    <w:rsid w:val="00892DB4"/>
    <w:rsid w:val="00894690"/>
    <w:rsid w:val="0089493C"/>
    <w:rsid w:val="008A05DE"/>
    <w:rsid w:val="008A0BA0"/>
    <w:rsid w:val="008A0FD9"/>
    <w:rsid w:val="008A1358"/>
    <w:rsid w:val="008B0C24"/>
    <w:rsid w:val="008B0D9B"/>
    <w:rsid w:val="008B32E4"/>
    <w:rsid w:val="008B6F3C"/>
    <w:rsid w:val="008C0E93"/>
    <w:rsid w:val="008C127B"/>
    <w:rsid w:val="008C19A2"/>
    <w:rsid w:val="008C1B2C"/>
    <w:rsid w:val="008C1D4B"/>
    <w:rsid w:val="008C4A24"/>
    <w:rsid w:val="008C4B06"/>
    <w:rsid w:val="008C6532"/>
    <w:rsid w:val="008D11BB"/>
    <w:rsid w:val="008D7370"/>
    <w:rsid w:val="008E53E0"/>
    <w:rsid w:val="008E6CC2"/>
    <w:rsid w:val="008F0614"/>
    <w:rsid w:val="008F1149"/>
    <w:rsid w:val="008F24B0"/>
    <w:rsid w:val="008F36C7"/>
    <w:rsid w:val="008F3D22"/>
    <w:rsid w:val="008F40FB"/>
    <w:rsid w:val="008F5888"/>
    <w:rsid w:val="008F63B9"/>
    <w:rsid w:val="008F6737"/>
    <w:rsid w:val="009020F7"/>
    <w:rsid w:val="00905602"/>
    <w:rsid w:val="009066D6"/>
    <w:rsid w:val="00910A55"/>
    <w:rsid w:val="00911968"/>
    <w:rsid w:val="00912190"/>
    <w:rsid w:val="00913D90"/>
    <w:rsid w:val="00917E23"/>
    <w:rsid w:val="009212D6"/>
    <w:rsid w:val="00921EF4"/>
    <w:rsid w:val="00923BFC"/>
    <w:rsid w:val="00925471"/>
    <w:rsid w:val="00933909"/>
    <w:rsid w:val="00934334"/>
    <w:rsid w:val="00935665"/>
    <w:rsid w:val="00935CC8"/>
    <w:rsid w:val="00937083"/>
    <w:rsid w:val="009421E0"/>
    <w:rsid w:val="0094269C"/>
    <w:rsid w:val="00951542"/>
    <w:rsid w:val="0095476D"/>
    <w:rsid w:val="00957838"/>
    <w:rsid w:val="00960900"/>
    <w:rsid w:val="00960A98"/>
    <w:rsid w:val="00962C70"/>
    <w:rsid w:val="00964388"/>
    <w:rsid w:val="00965BE6"/>
    <w:rsid w:val="00967324"/>
    <w:rsid w:val="00967990"/>
    <w:rsid w:val="00971644"/>
    <w:rsid w:val="00971707"/>
    <w:rsid w:val="00971AC4"/>
    <w:rsid w:val="009766A6"/>
    <w:rsid w:val="0098023A"/>
    <w:rsid w:val="009808BC"/>
    <w:rsid w:val="00983AEC"/>
    <w:rsid w:val="00987035"/>
    <w:rsid w:val="009940F7"/>
    <w:rsid w:val="009942D1"/>
    <w:rsid w:val="00995BBE"/>
    <w:rsid w:val="00996596"/>
    <w:rsid w:val="00997F96"/>
    <w:rsid w:val="009A0568"/>
    <w:rsid w:val="009A4360"/>
    <w:rsid w:val="009A5235"/>
    <w:rsid w:val="009A5DA3"/>
    <w:rsid w:val="009A60D5"/>
    <w:rsid w:val="009A6F8A"/>
    <w:rsid w:val="009B41CD"/>
    <w:rsid w:val="009B51F0"/>
    <w:rsid w:val="009B5340"/>
    <w:rsid w:val="009B64A3"/>
    <w:rsid w:val="009C056B"/>
    <w:rsid w:val="009C1283"/>
    <w:rsid w:val="009C45E9"/>
    <w:rsid w:val="009C49C2"/>
    <w:rsid w:val="009C6368"/>
    <w:rsid w:val="009C6EA5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29D"/>
    <w:rsid w:val="009F1892"/>
    <w:rsid w:val="009F2927"/>
    <w:rsid w:val="009F36B7"/>
    <w:rsid w:val="009F433F"/>
    <w:rsid w:val="00A01890"/>
    <w:rsid w:val="00A022A7"/>
    <w:rsid w:val="00A0328A"/>
    <w:rsid w:val="00A046B6"/>
    <w:rsid w:val="00A046BA"/>
    <w:rsid w:val="00A06563"/>
    <w:rsid w:val="00A118DB"/>
    <w:rsid w:val="00A123BB"/>
    <w:rsid w:val="00A15010"/>
    <w:rsid w:val="00A20807"/>
    <w:rsid w:val="00A21C75"/>
    <w:rsid w:val="00A2347A"/>
    <w:rsid w:val="00A23B1D"/>
    <w:rsid w:val="00A31D43"/>
    <w:rsid w:val="00A32494"/>
    <w:rsid w:val="00A330ED"/>
    <w:rsid w:val="00A337A2"/>
    <w:rsid w:val="00A338F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118A"/>
    <w:rsid w:val="00A871DF"/>
    <w:rsid w:val="00A87FCA"/>
    <w:rsid w:val="00A917A6"/>
    <w:rsid w:val="00A91853"/>
    <w:rsid w:val="00A918AF"/>
    <w:rsid w:val="00A92667"/>
    <w:rsid w:val="00A92E89"/>
    <w:rsid w:val="00A96A8C"/>
    <w:rsid w:val="00A97D9C"/>
    <w:rsid w:val="00AA0225"/>
    <w:rsid w:val="00AA1C61"/>
    <w:rsid w:val="00AA1D99"/>
    <w:rsid w:val="00AA2E79"/>
    <w:rsid w:val="00AA5494"/>
    <w:rsid w:val="00AA6696"/>
    <w:rsid w:val="00AB4F53"/>
    <w:rsid w:val="00AB732F"/>
    <w:rsid w:val="00AC3464"/>
    <w:rsid w:val="00AC3A0F"/>
    <w:rsid w:val="00AC405D"/>
    <w:rsid w:val="00AC4D1D"/>
    <w:rsid w:val="00AC60E1"/>
    <w:rsid w:val="00AC692D"/>
    <w:rsid w:val="00AD06C2"/>
    <w:rsid w:val="00AD1507"/>
    <w:rsid w:val="00AD32F1"/>
    <w:rsid w:val="00AD46A7"/>
    <w:rsid w:val="00AD669C"/>
    <w:rsid w:val="00AD7DE4"/>
    <w:rsid w:val="00AD7EFB"/>
    <w:rsid w:val="00AE2200"/>
    <w:rsid w:val="00AE4398"/>
    <w:rsid w:val="00AE45CF"/>
    <w:rsid w:val="00AE7DAE"/>
    <w:rsid w:val="00AF1018"/>
    <w:rsid w:val="00AF5286"/>
    <w:rsid w:val="00AF52D9"/>
    <w:rsid w:val="00AF5EF0"/>
    <w:rsid w:val="00B0208A"/>
    <w:rsid w:val="00B0232B"/>
    <w:rsid w:val="00B02DAE"/>
    <w:rsid w:val="00B04FCA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57AD"/>
    <w:rsid w:val="00B362A6"/>
    <w:rsid w:val="00B36A19"/>
    <w:rsid w:val="00B37DC3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75DEA"/>
    <w:rsid w:val="00B804A5"/>
    <w:rsid w:val="00B82C08"/>
    <w:rsid w:val="00B83E3E"/>
    <w:rsid w:val="00B8509F"/>
    <w:rsid w:val="00B90799"/>
    <w:rsid w:val="00B93863"/>
    <w:rsid w:val="00B94357"/>
    <w:rsid w:val="00B94FAE"/>
    <w:rsid w:val="00B952D1"/>
    <w:rsid w:val="00B958E3"/>
    <w:rsid w:val="00B95B71"/>
    <w:rsid w:val="00B96104"/>
    <w:rsid w:val="00B97FD4"/>
    <w:rsid w:val="00BA1AC7"/>
    <w:rsid w:val="00BA340E"/>
    <w:rsid w:val="00BA6E70"/>
    <w:rsid w:val="00BB26B1"/>
    <w:rsid w:val="00BB42FC"/>
    <w:rsid w:val="00BB74B2"/>
    <w:rsid w:val="00BB7CFB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BF6CB7"/>
    <w:rsid w:val="00C003D1"/>
    <w:rsid w:val="00C06AE4"/>
    <w:rsid w:val="00C07C33"/>
    <w:rsid w:val="00C13B8B"/>
    <w:rsid w:val="00C1450C"/>
    <w:rsid w:val="00C15FC9"/>
    <w:rsid w:val="00C16077"/>
    <w:rsid w:val="00C16AC2"/>
    <w:rsid w:val="00C178C7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756"/>
    <w:rsid w:val="00C44AAF"/>
    <w:rsid w:val="00C46BB4"/>
    <w:rsid w:val="00C5077E"/>
    <w:rsid w:val="00C51B92"/>
    <w:rsid w:val="00C521F5"/>
    <w:rsid w:val="00C54801"/>
    <w:rsid w:val="00C57FB0"/>
    <w:rsid w:val="00C60909"/>
    <w:rsid w:val="00C635B7"/>
    <w:rsid w:val="00C7007E"/>
    <w:rsid w:val="00C72759"/>
    <w:rsid w:val="00C73861"/>
    <w:rsid w:val="00C73F2A"/>
    <w:rsid w:val="00C7756B"/>
    <w:rsid w:val="00C8107A"/>
    <w:rsid w:val="00C85D86"/>
    <w:rsid w:val="00C87758"/>
    <w:rsid w:val="00C9097A"/>
    <w:rsid w:val="00C92177"/>
    <w:rsid w:val="00C943A5"/>
    <w:rsid w:val="00C94A8E"/>
    <w:rsid w:val="00C9565F"/>
    <w:rsid w:val="00C9649E"/>
    <w:rsid w:val="00CA10EC"/>
    <w:rsid w:val="00CA12BD"/>
    <w:rsid w:val="00CA30D1"/>
    <w:rsid w:val="00CA53B3"/>
    <w:rsid w:val="00CA5A76"/>
    <w:rsid w:val="00CA6E64"/>
    <w:rsid w:val="00CA7986"/>
    <w:rsid w:val="00CB05D7"/>
    <w:rsid w:val="00CB1156"/>
    <w:rsid w:val="00CB707E"/>
    <w:rsid w:val="00CB7728"/>
    <w:rsid w:val="00CC2E51"/>
    <w:rsid w:val="00CC520D"/>
    <w:rsid w:val="00CC6AFE"/>
    <w:rsid w:val="00CC78A3"/>
    <w:rsid w:val="00CD25CE"/>
    <w:rsid w:val="00CD3549"/>
    <w:rsid w:val="00CD5461"/>
    <w:rsid w:val="00CD783C"/>
    <w:rsid w:val="00CE186F"/>
    <w:rsid w:val="00CE2C2F"/>
    <w:rsid w:val="00CE470E"/>
    <w:rsid w:val="00CE5DAE"/>
    <w:rsid w:val="00CF2381"/>
    <w:rsid w:val="00CF27D3"/>
    <w:rsid w:val="00CF3354"/>
    <w:rsid w:val="00CF3557"/>
    <w:rsid w:val="00CF6285"/>
    <w:rsid w:val="00CF738D"/>
    <w:rsid w:val="00D016C7"/>
    <w:rsid w:val="00D0277A"/>
    <w:rsid w:val="00D033A3"/>
    <w:rsid w:val="00D04784"/>
    <w:rsid w:val="00D05CFE"/>
    <w:rsid w:val="00D12A1B"/>
    <w:rsid w:val="00D12DAC"/>
    <w:rsid w:val="00D12F07"/>
    <w:rsid w:val="00D225B7"/>
    <w:rsid w:val="00D22A12"/>
    <w:rsid w:val="00D24CE0"/>
    <w:rsid w:val="00D30850"/>
    <w:rsid w:val="00D35512"/>
    <w:rsid w:val="00D35D17"/>
    <w:rsid w:val="00D36584"/>
    <w:rsid w:val="00D36A50"/>
    <w:rsid w:val="00D400EC"/>
    <w:rsid w:val="00D41698"/>
    <w:rsid w:val="00D419FB"/>
    <w:rsid w:val="00D428CE"/>
    <w:rsid w:val="00D44538"/>
    <w:rsid w:val="00D451F2"/>
    <w:rsid w:val="00D54E49"/>
    <w:rsid w:val="00D56B34"/>
    <w:rsid w:val="00D62A84"/>
    <w:rsid w:val="00D66BA3"/>
    <w:rsid w:val="00D700EA"/>
    <w:rsid w:val="00D71AFB"/>
    <w:rsid w:val="00D73890"/>
    <w:rsid w:val="00D763FA"/>
    <w:rsid w:val="00D82A6D"/>
    <w:rsid w:val="00D84180"/>
    <w:rsid w:val="00D84F10"/>
    <w:rsid w:val="00D85CE4"/>
    <w:rsid w:val="00D87E96"/>
    <w:rsid w:val="00D9046A"/>
    <w:rsid w:val="00D956F7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1DC1"/>
    <w:rsid w:val="00DE25F8"/>
    <w:rsid w:val="00DE2A8C"/>
    <w:rsid w:val="00DE3875"/>
    <w:rsid w:val="00DE5016"/>
    <w:rsid w:val="00DF47B0"/>
    <w:rsid w:val="00DF4F72"/>
    <w:rsid w:val="00DF6129"/>
    <w:rsid w:val="00E0052C"/>
    <w:rsid w:val="00E037CE"/>
    <w:rsid w:val="00E03E17"/>
    <w:rsid w:val="00E050F3"/>
    <w:rsid w:val="00E05DCA"/>
    <w:rsid w:val="00E061CA"/>
    <w:rsid w:val="00E06816"/>
    <w:rsid w:val="00E07E84"/>
    <w:rsid w:val="00E1089A"/>
    <w:rsid w:val="00E117A5"/>
    <w:rsid w:val="00E160D8"/>
    <w:rsid w:val="00E169D8"/>
    <w:rsid w:val="00E16A48"/>
    <w:rsid w:val="00E16C80"/>
    <w:rsid w:val="00E20E01"/>
    <w:rsid w:val="00E24175"/>
    <w:rsid w:val="00E26B37"/>
    <w:rsid w:val="00E27687"/>
    <w:rsid w:val="00E27C14"/>
    <w:rsid w:val="00E306F1"/>
    <w:rsid w:val="00E31CF4"/>
    <w:rsid w:val="00E362C3"/>
    <w:rsid w:val="00E371CC"/>
    <w:rsid w:val="00E40A34"/>
    <w:rsid w:val="00E43425"/>
    <w:rsid w:val="00E4419D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25CD"/>
    <w:rsid w:val="00E8792C"/>
    <w:rsid w:val="00E94964"/>
    <w:rsid w:val="00E95330"/>
    <w:rsid w:val="00E9711C"/>
    <w:rsid w:val="00EA5DEF"/>
    <w:rsid w:val="00EA6BB1"/>
    <w:rsid w:val="00EB05BB"/>
    <w:rsid w:val="00EB22AF"/>
    <w:rsid w:val="00EB23CE"/>
    <w:rsid w:val="00EB4082"/>
    <w:rsid w:val="00EC0AA2"/>
    <w:rsid w:val="00EC151E"/>
    <w:rsid w:val="00EC16EB"/>
    <w:rsid w:val="00EC2E7D"/>
    <w:rsid w:val="00EC3ECC"/>
    <w:rsid w:val="00ED022C"/>
    <w:rsid w:val="00ED5FA4"/>
    <w:rsid w:val="00ED6C70"/>
    <w:rsid w:val="00ED6F50"/>
    <w:rsid w:val="00ED7B71"/>
    <w:rsid w:val="00EE0B18"/>
    <w:rsid w:val="00EE1422"/>
    <w:rsid w:val="00EE1E15"/>
    <w:rsid w:val="00EE5D8D"/>
    <w:rsid w:val="00EE6C89"/>
    <w:rsid w:val="00EF4034"/>
    <w:rsid w:val="00F00A0C"/>
    <w:rsid w:val="00F00ADE"/>
    <w:rsid w:val="00F03C0E"/>
    <w:rsid w:val="00F04B04"/>
    <w:rsid w:val="00F100E0"/>
    <w:rsid w:val="00F11124"/>
    <w:rsid w:val="00F122C9"/>
    <w:rsid w:val="00F127FD"/>
    <w:rsid w:val="00F12CBE"/>
    <w:rsid w:val="00F16856"/>
    <w:rsid w:val="00F20B0E"/>
    <w:rsid w:val="00F20C8F"/>
    <w:rsid w:val="00F210E8"/>
    <w:rsid w:val="00F2209D"/>
    <w:rsid w:val="00F234E2"/>
    <w:rsid w:val="00F23C7B"/>
    <w:rsid w:val="00F303F0"/>
    <w:rsid w:val="00F30939"/>
    <w:rsid w:val="00F330C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295E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81F7E"/>
    <w:rsid w:val="00F81F99"/>
    <w:rsid w:val="00F83F50"/>
    <w:rsid w:val="00F855A3"/>
    <w:rsid w:val="00F860DE"/>
    <w:rsid w:val="00F90F0D"/>
    <w:rsid w:val="00F91FB3"/>
    <w:rsid w:val="00F9687E"/>
    <w:rsid w:val="00F97012"/>
    <w:rsid w:val="00F978B3"/>
    <w:rsid w:val="00FA2D80"/>
    <w:rsid w:val="00FB350C"/>
    <w:rsid w:val="00FB51B5"/>
    <w:rsid w:val="00FB5A80"/>
    <w:rsid w:val="00FB625A"/>
    <w:rsid w:val="00FC031A"/>
    <w:rsid w:val="00FC739B"/>
    <w:rsid w:val="00FD18A7"/>
    <w:rsid w:val="00FD3619"/>
    <w:rsid w:val="00FD50DA"/>
    <w:rsid w:val="00FE06C0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D0751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E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B7467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7467"/>
    <w:rPr>
      <w:rFonts w:ascii="Calibri" w:hAnsi="Calibri"/>
      <w:sz w:val="22"/>
      <w:szCs w:val="21"/>
      <w:lang w:eastAsia="en-US"/>
    </w:rPr>
  </w:style>
  <w:style w:type="paragraph" w:customStyle="1" w:styleId="CS-Paragraphnumbering">
    <w:name w:val="CS - Paragraph numbering"/>
    <w:basedOn w:val="Normal"/>
    <w:rsid w:val="009C49C2"/>
    <w:pPr>
      <w:numPr>
        <w:numId w:val="3"/>
      </w:numPr>
      <w:spacing w:after="120" w:line="276" w:lineRule="auto"/>
      <w:ind w:right="-45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4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AB39-ED34-4BCA-8837-58BFD9E0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1849</Characters>
  <Application>Microsoft Office Word</Application>
  <DocSecurity>0</DocSecurity>
  <Lines>73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2016-08-16T02:41:00Z</cp:lastPrinted>
  <dcterms:created xsi:type="dcterms:W3CDTF">2021-05-24T00:38:00Z</dcterms:created>
  <dcterms:modified xsi:type="dcterms:W3CDTF">2021-05-24T23:41:00Z</dcterms:modified>
</cp:coreProperties>
</file>